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48"/>
          <w:rtl w:val="0"/>
        </w:rPr>
        <w:t xml:space="preserve">Use Case: StartNewGame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Summary:</w:t>
      </w:r>
      <w:r w:rsidDel="00000000" w:rsidR="00000000" w:rsidRPr="00000000">
        <w:rPr>
          <w:rtl w:val="0"/>
        </w:rPr>
        <w:t xml:space="preserve"> This is what will happen after the player selects the “Play” in mainMenu.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Extends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Includes</w:t>
      </w:r>
      <w:r w:rsidDel="00000000" w:rsidR="00000000" w:rsidRPr="00000000">
        <w:rPr>
          <w:rtl w:val="0"/>
        </w:rPr>
        <w:t xml:space="preserve">: MoveInMainMenu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Participator</w:t>
      </w:r>
      <w:r w:rsidDel="00000000" w:rsidR="00000000" w:rsidRPr="00000000">
        <w:rPr>
          <w:rtl w:val="0"/>
        </w:rPr>
        <w:t xml:space="preserve">: One player,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rtl w:val="0"/>
        </w:rPr>
        <w:t xml:space="preserve">Normal flow of events</w:t>
      </w:r>
    </w:p>
    <w:p w:rsidR="00000000" w:rsidDel="00000000" w:rsidP="00000000" w:rsidRDefault="00000000" w:rsidRPr="00000000">
      <w:pPr>
        <w:contextualSpacing w:val="0"/>
      </w:pPr>
      <w:r w:rsidDel="00000000" w:rsidR="00000000" w:rsidRPr="00000000">
        <w:rPr>
          <w:rtl w:val="0"/>
        </w:rPr>
        <w:t xml:space="preserve">The player click on the “Play” button in the main menu.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050"/>
        <w:gridCol w:w="4335"/>
        <w:tblGridChange w:id="0">
          <w:tblGrid>
            <w:gridCol w:w="630"/>
            <w:gridCol w:w="4050"/>
            <w:gridCol w:w="43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player press enter when the player has selected the “Play” in MainMenu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player will see the Graphical user interface where the “action-part” is, in our game.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player will see a white triangle in the middle of the screen, which is the player.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player will see a current level in upper left corner which is set to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player will see a number showing how many kids he may fail to protect the shop from, which is below the current level in upper left corner.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player will see his current Money in upper right corner which is set to 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player will see a red area to the left which represent the Toyshop the player’s goal is to hinder kids to reach.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player will see the one candy type right next to current level, which is selected.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player will see empty area between the first candy and money, which will be filled with more candy when player unlock them in CandyShop after the player has completed the level.</w:t>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