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7324D"/>
          <w:sz w:val="34"/>
          <w:szCs w:val="34"/>
        </w:rPr>
        <w:t xml:space="preserve">House Price Prediction Using Polynomial Regression</w:t>
      </w:r>
    </w:p>
    <w:p>
      <w:pPr>
        <w:spacing w:after="300"/>
        <w:jc w:val="center"/>
      </w:pPr>
      <w:r>
        <w:rPr>
          <w:color w:val="2563A6"/>
          <w:sz w:val="23"/>
          <w:szCs w:val="23"/>
        </w:rPr>
        <w:t xml:space="preserve">Degree 1 vs Degree 2: Project Description, Decision, and Questions</w:t>
      </w:r>
    </w:p>
    <w:p>
      <w:pPr>
        <w:pStyle w:val="Heading1"/>
        <w:spacing w:after="120" w:before="260"/>
      </w:pPr>
      <w:r>
        <w:rPr>
          <w:b/>
          <w:bCs/>
          <w:color w:val="17324D"/>
        </w:rPr>
        <w:t xml:space="preserve">1. Project description</w:t>
      </w:r>
    </w:p>
    <w:p>
      <w:pPr>
        <w:spacing w:after="140" w:line="300"/>
      </w:pPr>
      <w:r>
        <w:rPr>
          <w:b w:val="false"/>
          <w:bCs w:val="false"/>
          <w:color w:val="1D2939"/>
          <w:sz w:val="21"/>
          <w:szCs w:val="21"/>
        </w:rPr>
        <w:t xml:space="preserve">This project uses the Kaggle House Prices dataset to train and compare polynomial regression at degrees 1 and 2. Both candidates use the same 1,458 modeling rows, 16 numeric and domain-derived features, median imputation, standardization, and log-transformed sale price. No advanced machine-learning model is introduced.</w:t>
      </w:r>
    </w:p>
    <w:p>
      <w:pPr>
        <w:pStyle w:val="Heading1"/>
        <w:spacing w:after="120" w:before="260"/>
      </w:pPr>
      <w:r>
        <w:rPr>
          <w:b/>
          <w:bCs/>
          <w:color w:val="17324D"/>
        </w:rPr>
        <w:t xml:space="preserve">2. Objective</w:t>
      </w:r>
    </w:p>
    <w:p>
      <w:pPr>
        <w:spacing w:after="140" w:line="300"/>
      </w:pPr>
      <w:r>
        <w:rPr>
          <w:b w:val="false"/>
          <w:bCs w:val="false"/>
          <w:color w:val="1D2939"/>
          <w:sz w:val="21"/>
          <w:szCs w:val="21"/>
        </w:rPr>
        <w:t xml:space="preserve">The objective is to decide whether first-order terms or added squared and interaction terms generalize better. The primary selection rule is the lowest mean RMSE across 25 matched splits from five-times repeated five-fold cross-validation. An independent 80/20 holdout is supporting evidence.</w:t>
      </w:r>
    </w:p>
    <w:p>
      <w:pPr>
        <w:pStyle w:val="Heading1"/>
        <w:spacing w:after="120" w:before="260"/>
      </w:pPr>
      <w:r>
        <w:rPr>
          <w:b/>
          <w:bCs/>
          <w:color w:val="17324D"/>
        </w:rPr>
        <w:t xml:space="preserve">3. Repeated cross-validation results</w:t>
      </w:r>
    </w:p>
    <w:tbl>
      <w:tblPr>
        <w:tblW w:type="dxa" w:w="9360"/>
        <w:tblBorders>
          <w:top w:val="single" w:color="D0D5DD" w:sz="3"/>
          <w:left w:val="single" w:color="D0D5DD" w:sz="3"/>
          <w:bottom w:val="single" w:color="D0D5DD" w:sz="3"/>
          <w:right w:val="single" w:color="D0D5DD" w:sz="3"/>
          <w:insideH w:val="single" w:color="D0D5DD" w:sz="3"/>
          <w:insideV w:val="single" w:color="D0D5DD" w:sz="3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Degree</w:t>
            </w:r>
          </w:p>
        </w:tc>
        <w:tc>
          <w:tcPr>
            <w:tcW w:type="dxa" w:w="204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 MAE</w:t>
            </w:r>
          </w:p>
        </w:tc>
        <w:tc>
          <w:tcPr>
            <w:tcW w:type="dxa" w:w="204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 RMSE</w:t>
            </w:r>
          </w:p>
        </w:tc>
        <w:tc>
          <w:tcPr>
            <w:tcW w:type="dxa" w:w="204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 R2</w:t>
            </w:r>
          </w:p>
        </w:tc>
        <w:tc>
          <w:tcPr>
            <w:tcW w:type="dxa" w:w="204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Terms</w:t>
            </w:r>
          </w:p>
        </w:tc>
      </w:tr>
      <w:tr>
        <w:tc>
          <w:tcPr>
            <w:tcW w:type="dxa" w:w="120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1 - selected</w:t>
            </w:r>
          </w:p>
        </w:tc>
        <w:tc>
          <w:tcPr>
            <w:tcW w:type="dxa" w:w="204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$17,685.81</w:t>
            </w:r>
          </w:p>
        </w:tc>
        <w:tc>
          <w:tcPr>
            <w:tcW w:type="dxa" w:w="204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$25,773.41</w:t>
            </w:r>
          </w:p>
        </w:tc>
        <w:tc>
          <w:tcPr>
            <w:tcW w:type="dxa" w:w="204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0.8930</w:t>
            </w:r>
          </w:p>
        </w:tc>
        <w:tc>
          <w:tcPr>
            <w:tcW w:type="dxa" w:w="204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</w:t>
            </w:r>
          </w:p>
        </w:tc>
        <w:tc>
          <w:tcPr>
            <w:tcW w:type="dxa" w:w="204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$18,238.90</w:t>
            </w:r>
          </w:p>
        </w:tc>
        <w:tc>
          <w:tcPr>
            <w:tcW w:type="dxa" w:w="204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$27,335.27</w:t>
            </w:r>
          </w:p>
        </w:tc>
        <w:tc>
          <w:tcPr>
            <w:tcW w:type="dxa" w:w="204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0.8795</w:t>
            </w:r>
          </w:p>
        </w:tc>
        <w:tc>
          <w:tcPr>
            <w:tcW w:type="dxa" w:w="204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152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7324D"/>
        </w:rPr>
        <w:t xml:space="preserve">4. Independent holdout results</w:t>
      </w:r>
    </w:p>
    <w:tbl>
      <w:tblPr>
        <w:tblW w:type="dxa" w:w="9360"/>
        <w:tblBorders>
          <w:top w:val="single" w:color="D0D5DD" w:sz="3"/>
          <w:left w:val="single" w:color="D0D5DD" w:sz="3"/>
          <w:bottom w:val="single" w:color="D0D5DD" w:sz="3"/>
          <w:right w:val="single" w:color="D0D5DD" w:sz="3"/>
          <w:insideH w:val="single" w:color="D0D5DD" w:sz="3"/>
          <w:insideV w:val="single" w:color="D0D5DD" w:sz="3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Degree</w:t>
            </w:r>
          </w:p>
        </w:tc>
        <w:tc>
          <w:tcPr>
            <w:tcW w:type="dxa" w:w="272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Holdout MAE</w:t>
            </w:r>
          </w:p>
        </w:tc>
        <w:tc>
          <w:tcPr>
            <w:tcW w:type="dxa" w:w="272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Holdout RMSE</w:t>
            </w:r>
          </w:p>
        </w:tc>
        <w:tc>
          <w:tcPr>
            <w:tcW w:type="dxa" w:w="2720"/>
            <w:shd w:fill="17324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Holdout R2</w:t>
            </w:r>
          </w:p>
        </w:tc>
      </w:tr>
      <w:tr>
        <w:tc>
          <w:tcPr>
            <w:tcW w:type="dxa" w:w="120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1 - selected</w:t>
            </w:r>
          </w:p>
        </w:tc>
        <w:tc>
          <w:tcPr>
            <w:tcW w:type="dxa" w:w="272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$17,957.65</w:t>
            </w:r>
          </w:p>
        </w:tc>
        <w:tc>
          <w:tcPr>
            <w:tcW w:type="dxa" w:w="272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$24,450.04</w:t>
            </w:r>
          </w:p>
        </w:tc>
        <w:tc>
          <w:tcPr>
            <w:tcW w:type="dxa" w:w="2720"/>
            <w:shd w:fill="E7F6E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18794E"/>
                <w:sz w:val="19"/>
                <w:szCs w:val="19"/>
              </w:rPr>
              <w:t xml:space="preserve">0.8918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</w:t>
            </w:r>
          </w:p>
        </w:tc>
        <w:tc>
          <w:tcPr>
            <w:tcW w:type="dxa" w:w="272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$17,464.30</w:t>
            </w:r>
          </w:p>
        </w:tc>
        <w:tc>
          <w:tcPr>
            <w:tcW w:type="dxa" w:w="272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$24,112.02</w:t>
            </w:r>
          </w:p>
        </w:tc>
        <w:tc>
          <w:tcPr>
            <w:tcW w:type="dxa" w:w="2720"/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0.8947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7324D"/>
        </w:rPr>
        <w:t xml:space="preserve">5. Best polynomial degree</w:t>
      </w:r>
    </w:p>
    <w:p>
      <w:pPr>
        <w:spacing w:after="140" w:line="300"/>
      </w:pPr>
      <w:r>
        <w:rPr>
          <w:b/>
          <w:bCs/>
          <w:color w:val="18794E"/>
          <w:sz w:val="21"/>
          <w:szCs w:val="21"/>
        </w:rPr>
        <w:t xml:space="preserve">Degree 1 is selected. It wins 84% of 25 matched splits and lowers RMSE by $1,561.86 on average; the approximate 95% difference interval is $972.61 to $2,151.10. Degree 2 is narrowly better on the single holdout, but Degree 1 is more stable and uses only 16 terms rather than 152.</w:t>
      </w:r>
    </w:p>
    <w:p>
      <w:pPr>
        <w:pStyle w:val="Heading1"/>
        <w:spacing w:after="120" w:before="260"/>
      </w:pPr>
      <w:r>
        <w:rPr>
          <w:b/>
          <w:bCs/>
          <w:color w:val="17324D"/>
        </w:rPr>
        <w:t xml:space="preserve">6. Repository behavior</w:t>
      </w:r>
    </w:p>
    <w:p>
      <w:pPr>
        <w:spacing w:after="140" w:line="300"/>
      </w:pPr>
      <w:r>
        <w:rPr>
          <w:b w:val="false"/>
          <w:bCs w:val="false"/>
          <w:color w:val="1D2939"/>
          <w:sz w:val="21"/>
          <w:szCs w:val="21"/>
        </w:rPr>
        <w:t xml:space="preserve">The training script fits and evaluates both degrees, saves both submissions, selects the lowest CV RMSE, and writes the selected predictions to polynomial_submission.csv. The Streamlit app reads best_degree from outputs/metrics.json. The notebook reproduces the same comparison.</w:t>
      </w:r>
    </w:p>
    <w:p>
      <w:pPr>
        <w:pStyle w:val="Heading1"/>
        <w:spacing w:after="120" w:before="260"/>
      </w:pPr>
      <w:r>
        <w:rPr>
          <w:b/>
          <w:bCs/>
          <w:color w:val="17324D"/>
        </w:rPr>
        <w:t xml:space="preserve">7. Portfolio questions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1. What is the difference between polynomial degrees 1 and 2?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2. Why does degree 2 create 152 terms from 16 model features?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3. How are both degrees trained with identical preprocessing?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4. Why is five-times repeated five-fold cross-validation more reliable than one holdout split?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5. Why does degree 2 win the holdout while degree 1 wins cross-validation?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6. Which metric is used to select the final degree, and why?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7. How does log1p(SalePrice) help the regression model?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8. How are missing values and feature scaling handled without leakage?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9. Why is degree 1 still part of the polynomial-regression family?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10. What evidence supports selecting degree 1?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11. How are separate predictions saved for both degrees?</w:t>
      </w:r>
    </w:p>
    <w:p>
      <w:pPr>
        <w:spacing w:after="90" w:line="280"/>
      </w:pPr>
      <w:r>
        <w:rPr>
          <w:b w:val="false"/>
          <w:bCs w:val="false"/>
          <w:color w:val="1D2939"/>
          <w:sz w:val="21"/>
          <w:szCs w:val="21"/>
        </w:rPr>
        <w:t xml:space="preserve">12. What limitations could cause the preferred degree to change?</w:t>
      </w:r>
    </w:p>
    <w:p>
      <w:pPr>
        <w:pStyle w:val="Heading1"/>
        <w:spacing w:after="120" w:before="260"/>
      </w:pPr>
      <w:r>
        <w:rPr>
          <w:b/>
          <w:bCs/>
          <w:color w:val="17324D"/>
        </w:rPr>
        <w:t xml:space="preserve">8. Honest conclusion</w:t>
      </w:r>
    </w:p>
    <w:p>
      <w:pPr>
        <w:spacing w:after="140" w:line="300"/>
      </w:pPr>
      <w:r>
        <w:rPr>
          <w:b w:val="false"/>
          <w:bCs w:val="false"/>
          <w:color w:val="1D2939"/>
          <w:sz w:val="21"/>
          <w:szCs w:val="21"/>
        </w:rPr>
        <w:t xml:space="preserve">For the current features and validation design, degree 1 is best. This conclusion can change if the feature set, outlier rule, target transformation, or data distribution changes. The comparison should therefore be rerun whenever the data workflow changes.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2026-09-13T15:55:06.986Z</dcterms:created>
  <dcterms:modified xsi:type="dcterms:W3CDTF">2026-09-13T15:55:06.987Z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