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2E23" w14:textId="77777777" w:rsidR="005406F2" w:rsidRDefault="00000000">
      <w:pPr>
        <w:spacing w:before="157" w:after="157" w:line="270" w:lineRule="auto"/>
      </w:pPr>
      <w:bookmarkStart w:id="0" w:name="nexustech_b2b_solutions"/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NexusTech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B2B Solutions</w:t>
      </w:r>
      <w:bookmarkEnd w:id="0"/>
    </w:p>
    <w:p w14:paraId="2A27B142" w14:textId="551FD819" w:rsidR="005406F2" w:rsidRDefault="00000000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NexusTech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B2B Solutions is a React-based promotional enterprise software website created as a </w:t>
      </w:r>
      <w:proofErr w:type="spellStart"/>
      <w:r>
        <w:rPr>
          <w:rFonts w:ascii="source serif 4" w:eastAsia="source serif 4" w:hAnsi="source serif 4" w:cs="source serif 4"/>
          <w:color w:val="000000"/>
        </w:rPr>
        <w:t>WebProg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final requirement. The project is designed as a conversion-focused promotional portal for business software, with interactive sections that present product value, configurable modules, and guided user actions.</w:t>
      </w:r>
    </w:p>
    <w:p w14:paraId="4FC801D3" w14:textId="77777777" w:rsidR="005406F2" w:rsidRDefault="00000000">
      <w:pPr>
        <w:spacing w:before="315" w:after="105" w:line="360" w:lineRule="auto"/>
        <w:ind w:left="-30"/>
      </w:pPr>
      <w:bookmarkStart w:id="1" w:name="project_overview"/>
      <w:r>
        <w:rPr>
          <w:rFonts w:ascii="source serif 4" w:eastAsia="source serif 4" w:hAnsi="source serif 4" w:cs="source serif 4"/>
          <w:b/>
          <w:color w:val="000000"/>
          <w:sz w:val="24"/>
        </w:rPr>
        <w:t>Project Overview</w:t>
      </w:r>
      <w:bookmarkEnd w:id="1"/>
    </w:p>
    <w:p w14:paraId="46FAD51E" w14:textId="564C74A6" w:rsidR="005406F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website was developed as an academic capstone-style project focused on UI/UX strategy for a B2B software promotional experience. Instead of functioning as a basic transactional store, the site is positioned as a lead-generation and product-education portal for enterprise software such as ERP, HRIS, and POS solutions</w:t>
      </w:r>
    </w:p>
    <w:p w14:paraId="1FCEB518" w14:textId="77777777" w:rsidR="005406F2" w:rsidRDefault="00000000">
      <w:pPr>
        <w:spacing w:before="315" w:after="105" w:line="360" w:lineRule="auto"/>
        <w:ind w:left="-30"/>
      </w:pPr>
      <w:bookmarkStart w:id="2" w:name="objectives"/>
      <w:r>
        <w:rPr>
          <w:rFonts w:ascii="source serif 4" w:eastAsia="source serif 4" w:hAnsi="source serif 4" w:cs="source serif 4"/>
          <w:b/>
          <w:color w:val="000000"/>
          <w:sz w:val="24"/>
        </w:rPr>
        <w:t>Objectives</w:t>
      </w:r>
      <w:bookmarkEnd w:id="2"/>
    </w:p>
    <w:p w14:paraId="58062159" w14:textId="5321CB30" w:rsidR="005406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Present enterprise software solutions in a modern and professional web interface.</w:t>
      </w:r>
    </w:p>
    <w:p w14:paraId="7E3A460B" w14:textId="19126FD6" w:rsidR="005406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Guide users from product discovery to meaningful actions such as demo requests or proposal export.</w:t>
      </w:r>
    </w:p>
    <w:p w14:paraId="1C9E17B9" w14:textId="3FC022F3" w:rsidR="005406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Demonstrate interactive React-based components suitable for a promotional SaaS website.</w:t>
      </w:r>
    </w:p>
    <w:p w14:paraId="7800D445" w14:textId="1245A817" w:rsidR="005406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Apply UI/UX principles, modular component structure, and responsive presentation in a final </w:t>
      </w:r>
      <w:proofErr w:type="spellStart"/>
      <w:r>
        <w:rPr>
          <w:rFonts w:ascii="source serif 4" w:eastAsia="source serif 4" w:hAnsi="source serif 4" w:cs="source serif 4"/>
          <w:color w:val="000000"/>
        </w:rPr>
        <w:t>WebProg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project.</w:t>
      </w:r>
    </w:p>
    <w:p w14:paraId="52DC4085" w14:textId="77777777" w:rsidR="005406F2" w:rsidRDefault="00000000">
      <w:pPr>
        <w:spacing w:before="315" w:after="105" w:line="360" w:lineRule="auto"/>
        <w:ind w:left="-30"/>
      </w:pPr>
      <w:bookmarkStart w:id="3" w:name="main_features"/>
      <w:r>
        <w:rPr>
          <w:rFonts w:ascii="source serif 4" w:eastAsia="source serif 4" w:hAnsi="source serif 4" w:cs="source serif 4"/>
          <w:b/>
          <w:color w:val="000000"/>
          <w:sz w:val="24"/>
        </w:rPr>
        <w:t>Main Features</w:t>
      </w:r>
      <w:bookmarkEnd w:id="3"/>
    </w:p>
    <w:p w14:paraId="66A4060E" w14:textId="04E8CA59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Hero section with a clear call to action for prospects.</w:t>
      </w:r>
    </w:p>
    <w:p w14:paraId="3D893BD3" w14:textId="57BD5AF4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Interactive product showcase with live-style feature presentation.</w:t>
      </w:r>
    </w:p>
    <w:p w14:paraId="54C8E757" w14:textId="27DB01A0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ROI and cost calculator for estimating business value based on user input.</w:t>
      </w:r>
    </w:p>
    <w:p w14:paraId="3A5FDEB4" w14:textId="64EDDFBE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Interactive module configurator with selectable add-ons and dynamic updates.</w:t>
      </w:r>
    </w:p>
    <w:p w14:paraId="0AEF8107" w14:textId="591A0D13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Feature comparison presentation for modular ERP and related systems.</w:t>
      </w:r>
    </w:p>
    <w:p w14:paraId="213590A8" w14:textId="2CBCF700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Client proof or testimonial section to build trust and credibility.</w:t>
      </w:r>
    </w:p>
    <w:p w14:paraId="1EFB4FD4" w14:textId="421495CC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Sticky configuration bar to maintain a visible conversion path while scrolling.</w:t>
      </w:r>
    </w:p>
    <w:p w14:paraId="2A3246D8" w14:textId="28FDAF3B" w:rsidR="005406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Sandbox or demo request flow for lead capture.</w:t>
      </w:r>
    </w:p>
    <w:p w14:paraId="65D4833D" w14:textId="77777777" w:rsidR="005406F2" w:rsidRDefault="00000000">
      <w:pPr>
        <w:spacing w:before="315" w:after="105" w:line="360" w:lineRule="auto"/>
        <w:ind w:left="-30"/>
      </w:pPr>
      <w:bookmarkStart w:id="4" w:name="technologies_used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Technologies Used</w:t>
      </w:r>
      <w:bookmarkEnd w:id="4"/>
    </w:p>
    <w:p w14:paraId="24BBB2E6" w14:textId="30BD6FD9" w:rsidR="005406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React JS for component-based interface development.</w:t>
      </w:r>
    </w:p>
    <w:p w14:paraId="4FCADF12" w14:textId="282ADAD0" w:rsidR="005406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JavaScript for interactive calculations and dynamic state updates</w:t>
      </w:r>
      <w:r w:rsidR="008D3666">
        <w:rPr>
          <w:rFonts w:ascii="source serif 4" w:eastAsia="source serif 4" w:hAnsi="source serif 4" w:cs="source serif 4"/>
          <w:color w:val="000000"/>
        </w:rPr>
        <w:t>.</w:t>
      </w:r>
    </w:p>
    <w:p w14:paraId="34DC9440" w14:textId="51F9E3EC" w:rsidR="005406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CSS for custom styling, dark-mode visuals, and responsive layout implementation.</w:t>
      </w:r>
    </w:p>
    <w:p w14:paraId="0D302582" w14:textId="77777777" w:rsidR="005406F2" w:rsidRDefault="00000000">
      <w:pPr>
        <w:spacing w:before="315" w:after="105" w:line="360" w:lineRule="auto"/>
        <w:ind w:left="-30"/>
      </w:pPr>
      <w:bookmarkStart w:id="5" w:name="design_approach"/>
      <w:r>
        <w:rPr>
          <w:rFonts w:ascii="source serif 4" w:eastAsia="source serif 4" w:hAnsi="source serif 4" w:cs="source serif 4"/>
          <w:b/>
          <w:color w:val="000000"/>
          <w:sz w:val="24"/>
        </w:rPr>
        <w:t>Design Approach</w:t>
      </w:r>
      <w:bookmarkEnd w:id="5"/>
    </w:p>
    <w:p w14:paraId="0B1B9FEE" w14:textId="3F8E878B" w:rsidR="005406F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project follows a tech-inspired visual direction that uses dark surfaces, neon-accent styling, micro-interactions, and modular UI </w:t>
      </w:r>
      <w:proofErr w:type="gramStart"/>
      <w:r>
        <w:rPr>
          <w:rFonts w:ascii="source serif 4" w:eastAsia="source serif 4" w:hAnsi="source serif 4" w:cs="source serif 4"/>
          <w:color w:val="000000"/>
        </w:rPr>
        <w:t>presentation</w:t>
      </w:r>
      <w:proofErr w:type="gramEnd"/>
      <w:r>
        <w:rPr>
          <w:rFonts w:ascii="source serif 4" w:eastAsia="source serif 4" w:hAnsi="source serif 4" w:cs="source serif 4"/>
          <w:color w:val="000000"/>
        </w:rPr>
        <w:t>. The overall design goal is to educate potential clients, highlight product capabilities, and support conversion within a few user interactions.</w:t>
      </w:r>
    </w:p>
    <w:p w14:paraId="3DD32DAD" w14:textId="77777777" w:rsidR="005406F2" w:rsidRDefault="00000000">
      <w:pPr>
        <w:spacing w:before="315" w:after="105" w:line="360" w:lineRule="auto"/>
        <w:ind w:left="-30"/>
      </w:pPr>
      <w:bookmarkStart w:id="6" w:name="academic_focus"/>
      <w:r>
        <w:rPr>
          <w:rFonts w:ascii="source serif 4" w:eastAsia="source serif 4" w:hAnsi="source serif 4" w:cs="source serif 4"/>
          <w:b/>
          <w:color w:val="000000"/>
          <w:sz w:val="24"/>
        </w:rPr>
        <w:t>Academic Focus</w:t>
      </w:r>
      <w:bookmarkEnd w:id="6"/>
    </w:p>
    <w:p w14:paraId="698C12DF" w14:textId="742659A6" w:rsidR="005406F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project aligns with three key evaluation areas described in the case study: UX conversion design, React component modularity, and state-management performance. These criteria shaped the structure of the interface, the use of interactive widgets, and the handling of dynamic updates across the site.</w:t>
      </w:r>
    </w:p>
    <w:p w14:paraId="3DBCEAB9" w14:textId="77777777" w:rsidR="005406F2" w:rsidRDefault="00000000">
      <w:pPr>
        <w:spacing w:before="315" w:after="105" w:line="360" w:lineRule="auto"/>
        <w:ind w:left="-30"/>
      </w:pPr>
      <w:bookmarkStart w:id="7" w:name="author"/>
      <w:r>
        <w:rPr>
          <w:rFonts w:ascii="source serif 4" w:eastAsia="source serif 4" w:hAnsi="source serif 4" w:cs="source serif 4"/>
          <w:b/>
          <w:color w:val="000000"/>
          <w:sz w:val="24"/>
        </w:rPr>
        <w:t>Author</w:t>
      </w:r>
      <w:bookmarkEnd w:id="7"/>
    </w:p>
    <w:p w14:paraId="1385A2C3" w14:textId="77777777" w:rsidR="005406F2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Developed by </w:t>
      </w:r>
      <w:r>
        <w:rPr>
          <w:rFonts w:ascii="source serif 4" w:eastAsia="source serif 4" w:hAnsi="source serif 4" w:cs="source serif 4"/>
          <w:b/>
          <w:color w:val="000000"/>
        </w:rPr>
        <w:t>July Asuncion</w:t>
      </w:r>
      <w:r>
        <w:rPr>
          <w:rFonts w:ascii="source serif 4" w:eastAsia="source serif 4" w:hAnsi="source serif 4" w:cs="source serif 4"/>
          <w:color w:val="000000"/>
        </w:rPr>
        <w:t xml:space="preserve"> for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WebProg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final requirement.</w:t>
      </w:r>
    </w:p>
    <w:sectPr w:rsidR="005406F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7DCB"/>
    <w:multiLevelType w:val="hybridMultilevel"/>
    <w:tmpl w:val="7728DDD2"/>
    <w:lvl w:ilvl="0" w:tplc="40509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8C0D4E">
      <w:numFmt w:val="decimal"/>
      <w:lvlText w:val=""/>
      <w:lvlJc w:val="left"/>
    </w:lvl>
    <w:lvl w:ilvl="2" w:tplc="AD4A637E">
      <w:numFmt w:val="decimal"/>
      <w:lvlText w:val=""/>
      <w:lvlJc w:val="left"/>
    </w:lvl>
    <w:lvl w:ilvl="3" w:tplc="55065EFC">
      <w:numFmt w:val="decimal"/>
      <w:lvlText w:val=""/>
      <w:lvlJc w:val="left"/>
    </w:lvl>
    <w:lvl w:ilvl="4" w:tplc="8586D720">
      <w:numFmt w:val="decimal"/>
      <w:lvlText w:val=""/>
      <w:lvlJc w:val="left"/>
    </w:lvl>
    <w:lvl w:ilvl="5" w:tplc="9D22CF6A">
      <w:numFmt w:val="decimal"/>
      <w:lvlText w:val=""/>
      <w:lvlJc w:val="left"/>
    </w:lvl>
    <w:lvl w:ilvl="6" w:tplc="C4E05996">
      <w:numFmt w:val="decimal"/>
      <w:lvlText w:val=""/>
      <w:lvlJc w:val="left"/>
    </w:lvl>
    <w:lvl w:ilvl="7" w:tplc="634CD6EC">
      <w:numFmt w:val="decimal"/>
      <w:lvlText w:val=""/>
      <w:lvlJc w:val="left"/>
    </w:lvl>
    <w:lvl w:ilvl="8" w:tplc="DD7ED034">
      <w:numFmt w:val="decimal"/>
      <w:lvlText w:val=""/>
      <w:lvlJc w:val="left"/>
    </w:lvl>
  </w:abstractNum>
  <w:abstractNum w:abstractNumId="1" w15:restartNumberingAfterBreak="0">
    <w:nsid w:val="3310256B"/>
    <w:multiLevelType w:val="hybridMultilevel"/>
    <w:tmpl w:val="5F5CDB00"/>
    <w:lvl w:ilvl="0" w:tplc="292E4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68A094">
      <w:numFmt w:val="decimal"/>
      <w:lvlText w:val=""/>
      <w:lvlJc w:val="left"/>
    </w:lvl>
    <w:lvl w:ilvl="2" w:tplc="CC8A52AC">
      <w:numFmt w:val="decimal"/>
      <w:lvlText w:val=""/>
      <w:lvlJc w:val="left"/>
    </w:lvl>
    <w:lvl w:ilvl="3" w:tplc="0D8ADBAE">
      <w:numFmt w:val="decimal"/>
      <w:lvlText w:val=""/>
      <w:lvlJc w:val="left"/>
    </w:lvl>
    <w:lvl w:ilvl="4" w:tplc="65BE9D8C">
      <w:numFmt w:val="decimal"/>
      <w:lvlText w:val=""/>
      <w:lvlJc w:val="left"/>
    </w:lvl>
    <w:lvl w:ilvl="5" w:tplc="A6581F6E">
      <w:numFmt w:val="decimal"/>
      <w:lvlText w:val=""/>
      <w:lvlJc w:val="left"/>
    </w:lvl>
    <w:lvl w:ilvl="6" w:tplc="48A8CCB2">
      <w:numFmt w:val="decimal"/>
      <w:lvlText w:val=""/>
      <w:lvlJc w:val="left"/>
    </w:lvl>
    <w:lvl w:ilvl="7" w:tplc="67549448">
      <w:numFmt w:val="decimal"/>
      <w:lvlText w:val=""/>
      <w:lvlJc w:val="left"/>
    </w:lvl>
    <w:lvl w:ilvl="8" w:tplc="0BC258C2">
      <w:numFmt w:val="decimal"/>
      <w:lvlText w:val=""/>
      <w:lvlJc w:val="left"/>
    </w:lvl>
  </w:abstractNum>
  <w:abstractNum w:abstractNumId="2" w15:restartNumberingAfterBreak="0">
    <w:nsid w:val="448D0E49"/>
    <w:multiLevelType w:val="hybridMultilevel"/>
    <w:tmpl w:val="DD720AAA"/>
    <w:lvl w:ilvl="0" w:tplc="9C501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78F426">
      <w:numFmt w:val="decimal"/>
      <w:lvlText w:val=""/>
      <w:lvlJc w:val="left"/>
    </w:lvl>
    <w:lvl w:ilvl="2" w:tplc="029C71AA">
      <w:numFmt w:val="decimal"/>
      <w:lvlText w:val=""/>
      <w:lvlJc w:val="left"/>
    </w:lvl>
    <w:lvl w:ilvl="3" w:tplc="11461BE0">
      <w:numFmt w:val="decimal"/>
      <w:lvlText w:val=""/>
      <w:lvlJc w:val="left"/>
    </w:lvl>
    <w:lvl w:ilvl="4" w:tplc="E86C0C00">
      <w:numFmt w:val="decimal"/>
      <w:lvlText w:val=""/>
      <w:lvlJc w:val="left"/>
    </w:lvl>
    <w:lvl w:ilvl="5" w:tplc="CD0CDD62">
      <w:numFmt w:val="decimal"/>
      <w:lvlText w:val=""/>
      <w:lvlJc w:val="left"/>
    </w:lvl>
    <w:lvl w:ilvl="6" w:tplc="B6E4F5C0">
      <w:numFmt w:val="decimal"/>
      <w:lvlText w:val=""/>
      <w:lvlJc w:val="left"/>
    </w:lvl>
    <w:lvl w:ilvl="7" w:tplc="544A2F94">
      <w:numFmt w:val="decimal"/>
      <w:lvlText w:val=""/>
      <w:lvlJc w:val="left"/>
    </w:lvl>
    <w:lvl w:ilvl="8" w:tplc="C5225298">
      <w:numFmt w:val="decimal"/>
      <w:lvlText w:val=""/>
      <w:lvlJc w:val="left"/>
    </w:lvl>
  </w:abstractNum>
  <w:num w:numId="1" w16cid:durableId="1656300516">
    <w:abstractNumId w:val="2"/>
  </w:num>
  <w:num w:numId="2" w16cid:durableId="2047874040">
    <w:abstractNumId w:val="1"/>
  </w:num>
  <w:num w:numId="3" w16cid:durableId="213228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6F2"/>
    <w:rsid w:val="002D6E3F"/>
    <w:rsid w:val="005406F2"/>
    <w:rsid w:val="008D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B2B0"/>
  <w15:docId w15:val="{DEC1D706-DC74-4CE1-923E-BEF44F62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July Asuncion</cp:lastModifiedBy>
  <cp:revision>3</cp:revision>
  <dcterms:created xsi:type="dcterms:W3CDTF">2026-10-11T04:33:00Z</dcterms:created>
  <dcterms:modified xsi:type="dcterms:W3CDTF">2026-10-11T04:52:00Z</dcterms:modified>
</cp:coreProperties>
</file>