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DengXian" w:cs="DengXian" w:eastAsia="DengXian" w:hAnsi="DengXian"/>
          <w:b/>
          <w:bCs/>
          <w:sz w:val="36"/>
          <w:szCs w:val="36"/>
        </w:rPr>
        <w:t xml:space="preserve">整体研究计划</w:t>
      </w:r>
    </w:p>
    <w:p>
      <w:pPr>
        <w:spacing w:after="300"/>
        <w:jc w:val="center"/>
      </w:pPr>
      <w:r>
        <w:rPr>
          <w:rFonts w:ascii="DengXian" w:cs="DengXian" w:eastAsia="DengXian" w:hAnsi="DengXian"/>
          <w:color w:val="666666"/>
          <w:sz w:val="20"/>
          <w:szCs w:val="20"/>
        </w:rPr>
        <w:t xml:space="preserve">《证据环路》v10.1 → SCI一区投稿 · 计划周期：2026-07-13 至 2026-12-27（24周）· 依据研判报告一至十</w:t>
      </w:r>
    </w:p>
    <w:p>
      <w:pPr>
        <w:pStyle w:val="Heading1"/>
        <w:spacing w:after="160" w:before="280"/>
      </w:pPr>
      <w:r>
        <w:rPr>
          <w:rFonts w:ascii="DengXian" w:cs="DengXian" w:eastAsia="DengXian" w:hAnsi="DengXian"/>
        </w:rPr>
        <w:t xml:space="preserve">0 计划总纲</w:t>
      </w:r>
    </w:p>
    <w:p>
      <w:pPr>
        <w:spacing w:after="120" w:line="310"/>
        <w:jc w:val="both"/>
      </w:pPr>
      <w:r>
        <w:rPr>
          <w:rFonts w:ascii="DengXian" w:cs="DengXian" w:eastAsia="DengXian" w:hAnsi="DengXian"/>
          <w:b w:val="false"/>
          <w:bCs w:val="false"/>
          <w:sz w:val="21"/>
          <w:szCs w:val="21"/>
        </w:rPr>
        <w:t xml:space="preserve">目标：2026年12月内向 Information Fusion 投出完整稿件。倒排依据：报告十判定创新3所在方向正在爆发、窗口约6个月；报告八确认论文结构已定稿（一条主线三个创新点）；机制层面已封版，本计划不含任何新概念工作。总原则三条：实验优先（一切写作让位于P0链）、缓存优先（大模型输出先缓存后消融）、并行推进（写作与实验从第10周起并行）。</w:t>
      </w:r>
    </w:p>
    <w:p>
      <w:pPr>
        <w:spacing w:after="60" w:before="100"/>
        <w:jc w:val="center"/>
      </w:pPr>
      <w:r>
        <w:rPr>
          <w:rFonts w:ascii="DengXian" w:cs="DengXian" w:eastAsia="DengXian" w:hAnsi="DengXian"/>
          <w:b/>
          <w:bCs/>
          <w:sz w:val="20"/>
          <w:szCs w:val="20"/>
        </w:rPr>
        <w:t xml:space="preserve">表1 五个阶段总览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200"/>
        <w:gridCol w:w="1926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周期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核心产出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对应里程碑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A 奠基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W1（7/13—7/19）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核心加固+数据申请+环境就绪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M1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B 数据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W2—W5（7/20—8/16）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benchmark v0.1（≥5000场景片段+数据卡）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M2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C 语义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W6—W8（8/17—9/6）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VLM/LLM证据管线+全量缓存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M3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D 实验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W7—W18（8/24—11/15）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P0→P1→P2实验结果+统计检验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M4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E 成稿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W10—W24（9/14—12/27）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图表、全文、对撞复检、投稿</w:t>
            </w:r>
          </w:p>
        </w:tc>
        <w:tc>
          <w:tcPr>
            <w:tcW w:type="dxa" w:w="1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M5</w:t>
            </w:r>
          </w:p>
        </w:tc>
      </w:tr>
    </w:tbl>
    <w:p>
      <w:pPr>
        <w:pStyle w:val="Heading1"/>
        <w:spacing w:after="160" w:before="280"/>
      </w:pPr>
      <w:r>
        <w:rPr>
          <w:rFonts w:ascii="DengXian" w:cs="DengXian" w:eastAsia="DengXian" w:hAnsi="DengXian"/>
        </w:rPr>
        <w:t xml:space="preserve">1 分周计划</w:t>
      </w:r>
    </w:p>
    <w:p>
      <w:pPr>
        <w:pStyle w:val="Heading2"/>
        <w:spacing w:after="120" w:before="220"/>
      </w:pPr>
      <w:r>
        <w:rPr>
          <w:rFonts w:ascii="DengXian" w:cs="DengXian" w:eastAsia="DengXian" w:hAnsi="DengXian"/>
        </w:rPr>
        <w:t xml:space="preserve">阶段A：奠基（W1）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DengXian" w:cs="DengXian" w:eastAsia="DengXian" w:hAnsi="DengXian"/>
          <w:sz w:val="21"/>
          <w:szCs w:val="21"/>
        </w:rPr>
        <w:t xml:space="preserve">立即行动（本周一）：向XJTU-SY课题组发送数据申请邮件（审批周期不可控，最高优先）；启动HA4M骨架数据子集下载（体积百GB级，先骨架后RGB）。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DengXian" w:cs="DengXian" w:eastAsia="DengXian" w:hAnsi="DengXian"/>
          <w:sz w:val="21"/>
          <w:szCs w:val="21"/>
        </w:rPr>
        <w:t xml:space="preserve">M1核心加固：PCR6组合规则实现并纳入测试；γ下界条件数值扫描（支撑附录B严格化）；完全冲突/空焦元/数值稳定性边界测试。验收：tests全绿+PCR6与加权平均法在折扣复合下的对比数据。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DengXian" w:cs="DengXian" w:eastAsia="DengXian" w:hAnsi="DengXian"/>
          <w:sz w:val="21"/>
          <w:szCs w:val="21"/>
        </w:rPr>
        <w:t xml:space="preserve">环境：GPU资源确认（M3需vLLM部署Qwen2.5-VL-72B，至少2×A100或等效；无本地资源则改用API+缓存）；大模型API预算审批（估算7.5万次调用，约500—800美元，缓存后不再产生增量）。</w:t>
      </w:r>
    </w:p>
    <w:p>
      <w:pPr>
        <w:pStyle w:val="Heading2"/>
        <w:spacing w:after="120" w:before="220"/>
      </w:pPr>
      <w:r>
        <w:rPr>
          <w:rFonts w:ascii="DengXian" w:cs="DengXian" w:eastAsia="DengXian" w:hAnsi="DengXian"/>
        </w:rPr>
        <w:t xml:space="preserve">阶段B：数据接入（W2—W5，关键路径）</w:t>
      </w:r>
    </w:p>
    <w:p>
      <w:pPr>
        <w:spacing w:after="60" w:before="100"/>
        <w:jc w:val="center"/>
      </w:pPr>
      <w:r>
        <w:rPr>
          <w:rFonts w:ascii="DengXian" w:cs="DengXian" w:eastAsia="DengXian" w:hAnsi="DengXian"/>
          <w:b/>
          <w:bCs/>
          <w:sz w:val="20"/>
          <w:szCs w:val="20"/>
        </w:rPr>
        <w:t xml:space="preserve">表2 五个加载器排期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3400"/>
        <w:gridCol w:w="2426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周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加载器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退路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W2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tep.py + gas.py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Harvard Dataverse扩展TEP（法/工艺+报警事件）；UCI气体传感（环）——两个最简单的先做，跑通装配管线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无风险，直下数据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W3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cwru.py / xjtu.py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CWRU直下先行；XJTU-SY到货则替换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XJTU未批则全用CWRU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W4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ha4m.py + mvtec.py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HA4M骨架数据→ST-GCN动作概率→{H}类BPA；MVTec-AD→PatchCore异常分→{T}类BPA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HA4M下载慢则先用骨架子集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W5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scenario_composer.py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耦合规则装配、连续真值轨迹R*(t)、异步节拍/乱序/丢包、慢变缺陷注入（E18用）、数据卡生成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规模先2000后扩5000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DengXian" w:cs="DengXian" w:eastAsia="DengXian" w:hAnsi="DengXian"/>
          <w:b/>
          <w:bCs/>
          <w:sz w:val="21"/>
          <w:szCs w:val="21"/>
        </w:rPr>
        <w:t xml:space="preserve">决策门G1（W5末）：</w:t>
      </w:r>
      <w:r>
        <w:rPr>
          <w:rFonts w:ascii="DengXian" w:cs="DengXian" w:eastAsia="DengXian" w:hAnsi="DengXian"/>
          <w:b w:val="false"/>
          <w:bCs w:val="false"/>
          <w:sz w:val="21"/>
          <w:szCs w:val="21"/>
        </w:rPr>
        <w:t xml:space="preserve">benchmark v0.1验收——≥2000场景片段、四级标签配比合规、连续轨迹可视化抽查20条无异常、数据卡字段完整。不过门则压缩P2实验为代价补时。</w:t>
      </w:r>
    </w:p>
    <w:p>
      <w:pPr>
        <w:pStyle w:val="Heading2"/>
        <w:spacing w:after="120" w:before="220"/>
      </w:pPr>
      <w:r>
        <w:rPr>
          <w:rFonts w:ascii="DengXian" w:cs="DengXian" w:eastAsia="DengXian" w:hAnsi="DengXian"/>
        </w:rPr>
        <w:t xml:space="preserve">阶段C：语义管线（W6—W8）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DengXian" w:cs="DengXian" w:eastAsia="DengXian" w:hAnsi="DengXian"/>
          <w:sz w:val="21"/>
          <w:szCs w:val="21"/>
        </w:rPr>
        <w:t xml:space="preserve">W6：结构化prompt模板（按元素编码组织摘要）+ JSON schema解析器 + 缓存层；在500样本子集上调通，解析失败率&lt;5%为验收线。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DengXian" w:cs="DengXian" w:eastAsia="DengXian" w:hAnsi="DengXian"/>
          <w:sz w:val="21"/>
          <w:szCs w:val="21"/>
        </w:rPr>
        <w:t xml:space="preserve">W7：VLM管线（Qwen2.5-VL主 + GPT-4o对照）全量跑批并缓存；记录失败率/拒答率。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DengXian" w:cs="DengXian" w:eastAsia="DengXian" w:hAnsi="DengXian"/>
          <w:sz w:val="21"/>
          <w:szCs w:val="21"/>
        </w:rPr>
        <w:t xml:space="preserve">W8：LLM管线（DeepSeek-R1/Qwen3/GPT-4o，K=5采样）全量缓存；温度缩放校准器在验证集拟合。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DengXian" w:cs="DengXian" w:eastAsia="DengXian" w:hAnsi="DengXian"/>
          <w:b/>
          <w:bCs/>
          <w:sz w:val="21"/>
          <w:szCs w:val="21"/>
        </w:rPr>
        <w:t xml:space="preserve">决策门G2（W8末）：</w:t>
      </w:r>
      <w:r>
        <w:rPr>
          <w:rFonts w:ascii="DengXian" w:cs="DengXian" w:eastAsia="DengXian" w:hAnsi="DengXian"/>
          <w:b w:val="false"/>
          <w:bCs w:val="false"/>
          <w:sz w:val="21"/>
          <w:szCs w:val="21"/>
        </w:rPr>
        <w:t xml:space="preserve">语义证据质量——校准后ECE&lt;0.10、合法BPA率&gt;90%。不过门：降级为单模型主配置并在论文如实报告，不追加调参周。</w:t>
      </w:r>
    </w:p>
    <w:p>
      <w:pPr>
        <w:pStyle w:val="Heading2"/>
        <w:spacing w:after="120" w:before="220"/>
      </w:pPr>
      <w:r>
        <w:rPr>
          <w:rFonts w:ascii="DengXian" w:cs="DengXian" w:eastAsia="DengXian" w:hAnsi="DengXian"/>
        </w:rPr>
        <w:t xml:space="preserve">阶段D：实验（W7—W18，与C部分并行）</w:t>
      </w:r>
    </w:p>
    <w:p>
      <w:pPr>
        <w:spacing w:after="60" w:before="100"/>
        <w:jc w:val="center"/>
      </w:pPr>
      <w:r>
        <w:rPr>
          <w:rFonts w:ascii="DengXian" w:cs="DengXian" w:eastAsia="DengXian" w:hAnsi="DengXian"/>
          <w:b/>
          <w:bCs/>
          <w:sz w:val="20"/>
          <w:szCs w:val="20"/>
        </w:rPr>
        <w:t xml:space="preserve">表3 实验排期（按创新点分簇）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3400"/>
        <w:gridCol w:w="2026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实验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级别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W7—W9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E1—E5b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基线链+组合规则对照（PCR6/EDL/注意力/平均）——可在语义缓存完成前用传感流先跑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W9—W11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E6—E8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语义证据隔离贡献（依赖C阶段缓存）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W11—W12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E9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对抗注入0—50%梯度（命题1实证）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W12—W14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E15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连续vs离散、预警提前量、γ消融、残留半衰期、乱序注入（命题2实证）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W15—W16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E10/E12/E16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校准消融、证据缺失、冷启动（推论1实证）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W16—W17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E11/E17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HM-SYNC真实两流验证、记忆消融+污染门禁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W18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E13/E14/E18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主动获取、即插即用、预兆检出——时间不足则各取一个代表性设置作为案例研究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DengXian" w:cs="DengXian" w:eastAsia="DengXian" w:hAnsi="DengXian"/>
          <w:b/>
          <w:bCs/>
          <w:sz w:val="21"/>
          <w:szCs w:val="21"/>
        </w:rPr>
        <w:t xml:space="preserve">决策门G3（W14末）：</w:t>
      </w:r>
      <w:r>
        <w:rPr>
          <w:rFonts w:ascii="DengXian" w:cs="DengXian" w:eastAsia="DengXian" w:hAnsi="DengXian"/>
          <w:b w:val="false"/>
          <w:bCs w:val="false"/>
          <w:sz w:val="21"/>
          <w:szCs w:val="21"/>
        </w:rPr>
        <w:t xml:space="preserve">P0结果评估。若E5优于全部基线且E9/E15支持双命题→按计划冲Information Fusion；若结果混合→主投Advanced Engineering Informatics，叙事重心移向基准+机制；若E15预警提前量无优势→连续趋势降格为机制描述，创新2叙事改为形式化贡献。这个门决定投稿层级，诚实执行。</w:t>
      </w:r>
    </w:p>
    <w:p>
      <w:pPr>
        <w:pStyle w:val="Heading2"/>
        <w:spacing w:after="120" w:before="220"/>
      </w:pPr>
      <w:r>
        <w:rPr>
          <w:rFonts w:ascii="DengXian" w:cs="DengXian" w:eastAsia="DengXian" w:hAnsi="DengXian"/>
        </w:rPr>
        <w:t xml:space="preserve">阶段E：成稿与投稿（W10起并行，W19—W24集中）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DengXian" w:cs="DengXian" w:eastAsia="DengXian" w:hAnsi="DengXian"/>
          <w:sz w:val="21"/>
          <w:szCs w:val="21"/>
        </w:rPr>
        <w:t xml:space="preserve">W10起：每完成一簇实验立即写对应结果小节（趁热写作），图表用matplotlib出版级模板统一风格。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DengXian" w:cs="DengXian" w:eastAsia="DengXian" w:hAnsi="DengXian"/>
          <w:sz w:val="21"/>
          <w:szCs w:val="21"/>
        </w:rPr>
        <w:t xml:space="preserve">W19—W20：M5复现包（Dockerfile、种子、缓存、一键脚本）+ GitHub整理（投稿用匿名链接）；全文英译（当前为中文工作稿，投稿需英文——预留2周，建议专业润色1轮）。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DengXian" w:cs="DengXian" w:eastAsia="DengXian" w:hAnsi="DengXian"/>
          <w:sz w:val="21"/>
          <w:szCs w:val="21"/>
        </w:rPr>
        <w:t xml:space="preserve">W21—W22：内部评审（导师/合作者过一遍三个创新点的证据链完整性）；按报告十建议重跑一轮创新性对撞检索，处理新出现的竞争工作。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DengXian" w:cs="DengXian" w:eastAsia="DengXian" w:hAnsi="DengXian"/>
          <w:b/>
          <w:bCs/>
          <w:sz w:val="21"/>
          <w:szCs w:val="21"/>
        </w:rPr>
        <w:t xml:space="preserve">决策门G4（W22末）：</w:t>
      </w:r>
      <w:r>
        <w:rPr>
          <w:rFonts w:ascii="DengXian" w:cs="DengXian" w:eastAsia="DengXian" w:hAnsi="DengXian"/>
          <w:b w:val="false"/>
          <w:bCs w:val="false"/>
          <w:sz w:val="21"/>
          <w:szCs w:val="21"/>
        </w:rPr>
        <w:t xml:space="preserve">投稿前清单——三创新点各有实验簇支撑？三重保证的证明附录完整？对撞检索无未处理对手？英文质量过关？复现包可用？全部为是→W23投稿。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DengXian" w:cs="DengXian" w:eastAsia="DengXian" w:hAnsi="DengXian"/>
          <w:sz w:val="21"/>
          <w:szCs w:val="21"/>
        </w:rPr>
        <w:t xml:space="preserve">W23—W24：投稿Information Fusion；准备大概率的major revision所需材料（未做的P2实验清单与理由）。</w:t>
      </w:r>
    </w:p>
    <w:p>
      <w:pPr>
        <w:pStyle w:val="Heading1"/>
        <w:spacing w:after="160" w:before="280"/>
      </w:pPr>
      <w:r>
        <w:rPr>
          <w:rFonts w:ascii="DengXian" w:cs="DengXian" w:eastAsia="DengXian" w:hAnsi="DengXian"/>
        </w:rPr>
        <w:t xml:space="preserve">2 风险登记表</w:t>
      </w:r>
    </w:p>
    <w:p>
      <w:pPr>
        <w:spacing w:after="60" w:before="100"/>
        <w:jc w:val="center"/>
      </w:pPr>
      <w:r>
        <w:rPr>
          <w:rFonts w:ascii="DengXian" w:cs="DengXian" w:eastAsia="DengXian" w:hAnsi="DengXian"/>
          <w:b/>
          <w:bCs/>
          <w:sz w:val="20"/>
          <w:szCs w:val="20"/>
        </w:rPr>
        <w:t xml:space="preserve">表4 主要风险与应对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概率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应对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XJTU-SY申请无回音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W1即发邮件；W3无回复则全面转CWRU（公开直下，指标等价）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HA4M下载/处理超期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先骨架数据（小体积）跑通E1—E5b，RGB与VLM实验推迟至W9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大模型API成本/限流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全量缓存策略；开源模型本地部署为主，闭源仅对照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P0结果不显著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G3决策门分级投稿策略；最坏情形基准+框架+理论投AEI仍是完整论文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竞争工作抢发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中高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W21对撞复检；若创新3被覆盖，切割表述已预备（治理因果链vs治理记忆）；投稿不因此延期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英译质量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W19启动，预留润色；不要压到最后一周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单人执行带宽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engXian" w:cs="DengXian" w:eastAsia="DengXian" w:hAnsi="DengXian"/>
                <w:b w:val="false"/>
                <w:bCs w:val="false"/>
                <w:sz w:val="19"/>
                <w:szCs w:val="19"/>
              </w:rPr>
              <w:t xml:space="preserve">P2实验预设降级路径；周六固定为缓冲日；任何新想法进第二篇种子清单，不占本计划工时</w:t>
            </w:r>
          </w:p>
        </w:tc>
      </w:tr>
    </w:tbl>
    <w:p>
      <w:pPr>
        <w:pStyle w:val="Heading1"/>
        <w:spacing w:after="160" w:before="280"/>
      </w:pPr>
      <w:r>
        <w:rPr>
          <w:rFonts w:ascii="DengXian" w:cs="DengXian" w:eastAsia="DengXian" w:hAnsi="DengXian"/>
        </w:rPr>
        <w:t xml:space="preserve">3 资源与预算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DengXian" w:cs="DengXian" w:eastAsia="DengXian" w:hAnsi="DengXian"/>
          <w:sz w:val="21"/>
          <w:szCs w:val="21"/>
        </w:rPr>
        <w:t xml:space="preserve">算力：训练侧1×消费级GPU可满足（模态模型均为轻量）；VLM推理需2×A100约3天（或全走API）。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DengXian" w:cs="DengXian" w:eastAsia="DengXian" w:hAnsi="DengXian"/>
          <w:sz w:val="21"/>
          <w:szCs w:val="21"/>
        </w:rPr>
        <w:t xml:space="preserve">API预算：约500—800美元（GPT-4o对照+DeepSeek/Qwen按量），缓存后零增量。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DengXian" w:cs="DengXian" w:eastAsia="DengXian" w:hAnsi="DengXian"/>
          <w:sz w:val="21"/>
          <w:szCs w:val="21"/>
        </w:rPr>
        <w:t xml:space="preserve">数据存储：benchmark约50—100GB（含HA4M子集与缓存），本地NAS或云盘。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DengXian" w:cs="DengXian" w:eastAsia="DengXian" w:hAnsi="DengXian"/>
          <w:sz w:val="21"/>
          <w:szCs w:val="21"/>
        </w:rPr>
        <w:t xml:space="preserve">人力：以单人全职估算；如有协作者，最优分工为一人B/D阶段（数据+实验）、一人C/E阶段（语义+写作）。</w:t>
      </w:r>
    </w:p>
    <w:p>
      <w:pPr>
        <w:pStyle w:val="Heading1"/>
        <w:spacing w:after="160" w:before="280"/>
      </w:pPr>
      <w:r>
        <w:rPr>
          <w:rFonts w:ascii="DengXian" w:cs="DengXian" w:eastAsia="DengXian" w:hAnsi="DengXian"/>
        </w:rPr>
        <w:t xml:space="preserve">4 产出清单与第二篇布局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DengXian" w:cs="DengXian" w:eastAsia="DengXian" w:hAnsi="DengXian"/>
          <w:sz w:val="21"/>
          <w:szCs w:val="21"/>
        </w:rPr>
        <w:t xml:space="preserve">本计划产出：论文投稿1篇（Information Fusion主投/AEI备选）；开源基准1个（GitHub，含数据卡/规则表/prompt/剧本）；参考实现1套（risk-fusion-bench）；全部研判报告与版本档案（已有）。</w:t>
      </w:r>
    </w:p>
    <w:p>
      <w:pPr>
        <w:pStyle w:val="ListParagraph"/>
        <w:numPr>
          <w:ilvl w:val="0"/>
          <w:numId w:val="2"/>
        </w:numPr>
        <w:spacing w:after="80" w:line="310"/>
      </w:pPr>
      <w:r>
        <w:rPr>
          <w:rFonts w:ascii="DengXian" w:cs="DengXian" w:eastAsia="DengXian" w:hAnsi="DengXian"/>
          <w:sz w:val="21"/>
          <w:szCs w:val="21"/>
        </w:rPr>
        <w:t xml:space="preserve">第二篇种子清单（本计划期间只记录不执行）：完整预兆挖掘方法学（含因果控制）；规则回注的纵向效应研究；学习式主动证据获取与编排策略；安全约束下的动态工作流重构与保证保持。建议本文录用后以E18的完整化为起点启动第一个。</w:t>
      </w:r>
    </w:p>
    <w:p>
      <w:pPr>
        <w:spacing w:after="120" w:line="310"/>
        <w:jc w:val="both"/>
      </w:pPr>
      <w:r>
        <w:rPr>
          <w:rFonts w:ascii="DengXian" w:cs="DengXian" w:eastAsia="DengXian" w:hAnsi="DengXian"/>
          <w:b w:val="false"/>
          <w:bCs w:val="false"/>
          <w:sz w:val="21"/>
          <w:szCs w:val="21"/>
        </w:rPr>
        <w:t xml:space="preserve">最后一条纪律，来自十轮研判的总教训：从今天起到投稿，判断任何工作是否值得做只用一个标准——它是否让E1—E18中的某个实验更快跑出来、或让三个创新点的证据链更硬。其余一切都是干扰。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DengXian" w:cs="DengXian" w:eastAsia="DengXian" w:hAnsi="DengXian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DengXian" w:cs="DengXian" w:eastAsia="DengXian" w:hAnsi="DengXian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2026-07-10T02:06:15.728Z</dcterms:created>
  <dcterms:modified xsi:type="dcterms:W3CDTF">2026-07-10T02:06:15.728Z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