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</w:pPr>
      <w:r>
        <w:rPr>
          <w:rFonts w:ascii="Microsoft YaHei" w:hAnsi="Microsoft YaHei" w:eastAsia="Microsoft YaHei"/>
          <w:b/>
          <w:color w:val="1F4E79"/>
          <w:sz w:val="48"/>
        </w:rPr>
        <w:t>6M 最小安全元素 - 可采集数据树 v2</w:t>
      </w:r>
    </w:p>
    <w:p>
      <w:pPr>
        <w:spacing w:before="0" w:after="240" w:line="300" w:lineRule="auto"/>
      </w:pPr>
      <w:r>
        <w:rPr>
          <w:rFonts w:ascii="Microsoft YaHei" w:hAnsi="Microsoft YaHei" w:eastAsia="Microsoft YaHei"/>
          <w:b w:val="0"/>
          <w:color w:val="666666"/>
          <w:sz w:val="26"/>
        </w:rPr>
        <w:t>面向安全鹰眼多源数据聚合与风险证据体系</w:t>
      </w:r>
    </w:p>
    <w:p>
      <w:pPr>
        <w:spacing w:before="0" w:after="360" w:line="300" w:lineRule="auto"/>
      </w:pPr>
      <w:r>
        <w:rPr>
          <w:rFonts w:ascii="Microsoft YaHei" w:hAnsi="Microsoft YaHei" w:eastAsia="Microsoft YaHei"/>
          <w:b w:val="0"/>
          <w:color w:val="666666"/>
          <w:sz w:val="19"/>
        </w:rPr>
        <w:t>版本日期：2026-06-15  |  形态：正式文档草案  |  适用对象：生产安全数字化、风险融合引擎、智能巡检与隐患闭环建设</w:t>
      </w:r>
    </w:p>
    <w:tbl>
      <w:tblPr>
        <w:tblStyle w:val="TableGrid"/>
        <w:tblW w:type="dxa" w:w="12300"/>
        <w:jc w:val="center"/>
        <w:tblLook w:firstColumn="1" w:firstRow="1" w:lastColumn="0" w:lastRow="0" w:noHBand="0" w:noVBand="1" w:val="04A0"/>
        <w:tblLayout w:type="fixed"/>
        <w:tblCellMar>
          <w:top w:w="90" w:type="dxa"/>
          <w:start w:w="100" w:type="dxa"/>
          <w:bottom w:w="90" w:type="dxa"/>
          <w:end w:w="100" w:type="dxa"/>
        </w:tblCellMar>
      </w:tblPr>
      <w:tblGrid>
        <w:gridCol w:w="7098"/>
        <w:gridCol w:w="7098"/>
      </w:tblGrid>
      <w:tr>
        <w:trPr>
          <w:tblHeader w:val="true"/>
        </w:trPr>
        <w:tc>
          <w:tcPr>
            <w:tcW w:type="dxa" w:w="1700"/>
            <w:shd w:fill="FFF7ED"/>
            <w:vAlign w:val="center"/>
          </w:tcPr>
          <w:p>
            <w:r>
              <w:t>口径</w:t>
            </w:r>
          </w:p>
        </w:tc>
        <w:tc>
          <w:tcPr>
            <w:tcW w:type="dxa" w:w="10600"/>
            <w:shd w:fill="FFF7ED"/>
            <w:vAlign w:val="center"/>
          </w:tcPr>
          <w:p>
            <w:r>
              <w:t>说明</w:t>
            </w:r>
          </w:p>
        </w:tc>
      </w:tr>
      <w:tr>
        <w:tc>
          <w:tcPr>
            <w:tcW w:type="dxa" w:w="170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文档定位</w:t>
            </w:r>
          </w:p>
        </w:tc>
        <w:tc>
          <w:tcPr>
            <w:tcW w:type="dxa" w:w="106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本文件将人、机、料、法、环、测六个维度逐步拆解到可采集、可判定、可追溯的最小安全元素。每个元素均绑定可采集数据、来源系统和支撑的风险判断，用于形成安全证据树、数据接入清单、模型特征清单和业务闭环验收口径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1. 使用口径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本树不是法规条款原文，也不是一次性固定的数据字典。它是面向平台建设的最小安全证据目录，后续应结合企业设备清单、作业场景、重大危险源、隐患类型和算法能力继续裁剪。</w:t>
      </w:r>
    </w:p>
    <w:tbl>
      <w:tblPr>
        <w:tblStyle w:val="TableGrid"/>
        <w:tblW w:type="dxa" w:w="12300"/>
        <w:jc w:val="center"/>
        <w:tblLook w:firstColumn="1" w:firstRow="1" w:lastColumn="0" w:lastRow="0" w:noHBand="0" w:noVBand="1" w:val="04A0"/>
        <w:tblLayout w:type="fixed"/>
        <w:tblCellMar>
          <w:top w:w="90" w:type="dxa"/>
          <w:start w:w="100" w:type="dxa"/>
          <w:bottom w:w="90" w:type="dxa"/>
          <w:end w:w="100" w:type="dxa"/>
        </w:tblCellMar>
      </w:tblPr>
      <w:tblGrid>
        <w:gridCol w:w="7098"/>
        <w:gridCol w:w="7098"/>
      </w:tblGrid>
      <w:tr>
        <w:trPr>
          <w:tblHeader w:val="true"/>
        </w:trPr>
        <w:tc>
          <w:tcPr>
            <w:tcW w:type="dxa" w:w="200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原则</w:t>
            </w:r>
          </w:p>
        </w:tc>
        <w:tc>
          <w:tcPr>
            <w:tcW w:type="dxa" w:w="1030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落地解释</w:t>
            </w:r>
          </w:p>
        </w:tc>
      </w:tr>
      <w:tr>
        <w:tc>
          <w:tcPr>
            <w:tcW w:type="dxa" w:w="200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最小安全元素</w:t>
            </w:r>
          </w:p>
        </w:tc>
        <w:tc>
          <w:tcPr>
            <w:tcW w:type="dxa" w:w="10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能被一个或多个数据源直接观测、能支撑一个明确风险判断、能进入报警或闭环处置的最小业务单元。</w:t>
            </w:r>
          </w:p>
        </w:tc>
      </w:tr>
      <w:tr>
        <w:tc>
          <w:tcPr>
            <w:tcW w:type="dxa" w:w="200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可采集数据</w:t>
            </w:r>
          </w:p>
        </w:tc>
        <w:tc>
          <w:tcPr>
            <w:tcW w:type="dxa" w:w="10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优先选择已有系统、设备、传感器、视频算法、人员系统和台账可稳定获得的数据；缺失项作为建设缺口。</w:t>
            </w:r>
          </w:p>
        </w:tc>
      </w:tr>
      <w:tr>
        <w:tc>
          <w:tcPr>
            <w:tcW w:type="dxa" w:w="200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测量维度</w:t>
            </w:r>
          </w:p>
        </w:tc>
        <w:tc>
          <w:tcPr>
            <w:tcW w:type="dxa" w:w="10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测不是普通数据源，而是横切所有维度的证据质量层，控制校准、时间、空间、置信度、血缘和冲突。</w:t>
            </w:r>
          </w:p>
        </w:tc>
      </w:tr>
      <w:tr>
        <w:tc>
          <w:tcPr>
            <w:tcW w:type="dxa" w:w="200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风险闭环</w:t>
            </w:r>
          </w:p>
        </w:tc>
        <w:tc>
          <w:tcPr>
            <w:tcW w:type="dxa" w:w="10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每个元素最终要能回答：为什么触发、证据来自哪里、谁处理、如何复核、是否降低风险。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2. 可采集数据源总表</w:t>
      </w:r>
    </w:p>
    <w:tbl>
      <w:tblPr>
        <w:tblStyle w:val="TableGrid"/>
        <w:tblW w:type="dxa" w:w="12300"/>
        <w:jc w:val="center"/>
        <w:tblLook w:firstColumn="1" w:firstRow="1" w:lastColumn="0" w:lastRow="0" w:noHBand="0" w:noVBand="1" w:val="04A0"/>
        <w:tblLayout w:type="fixed"/>
        <w:tblCellMar>
          <w:top w:w="90" w:type="dxa"/>
          <w:start w:w="100" w:type="dxa"/>
          <w:bottom w:w="90" w:type="dxa"/>
          <w:end w:w="100" w:type="dxa"/>
        </w:tblCellMar>
      </w:tblPr>
      <w:tblGrid>
        <w:gridCol w:w="4732"/>
        <w:gridCol w:w="4732"/>
        <w:gridCol w:w="4732"/>
      </w:tblGrid>
      <w:tr>
        <w:trPr>
          <w:tblHeader w:val="true"/>
        </w:trPr>
        <w:tc>
          <w:tcPr>
            <w:tcW w:type="dxa" w:w="190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数据源</w:t>
            </w:r>
          </w:p>
        </w:tc>
        <w:tc>
          <w:tcPr>
            <w:tcW w:type="dxa" w:w="470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典型对象</w:t>
            </w:r>
          </w:p>
        </w:tc>
        <w:tc>
          <w:tcPr>
            <w:tcW w:type="dxa" w:w="570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可采集内容</w:t>
            </w:r>
          </w:p>
        </w:tc>
      </w:tr>
      <w:tr>
        <w:tc>
          <w:tcPr>
            <w:tcW w:type="dxa" w:w="190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设备数据</w:t>
            </w:r>
          </w:p>
        </w:tc>
        <w:tc>
          <w:tcPr>
            <w:tcW w:type="dxa" w:w="47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数控机床、加工中心、制造中心、立体库、机器人、叉车、PLC/DCS/SCADA/MES/WMS/EAM 等</w:t>
            </w:r>
          </w:p>
        </w:tc>
        <w:tc>
          <w:tcPr>
            <w:tcW w:type="dxa" w:w="57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运行状态、工艺参数、报警、联锁、程序版本、点检维修、库存与物流事件</w:t>
            </w:r>
          </w:p>
        </w:tc>
      </w:tr>
      <w:tr>
        <w:tc>
          <w:tcPr>
            <w:tcW w:type="dxa" w:w="190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传感器数据</w:t>
            </w:r>
          </w:p>
        </w:tc>
        <w:tc>
          <w:tcPr>
            <w:tcW w:type="dxa" w:w="47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设备本体、环境空间、出料口、库区、通道、消防重点部位等测点</w:t>
            </w:r>
          </w:p>
        </w:tc>
        <w:tc>
          <w:tcPr>
            <w:tcW w:type="dxa" w:w="57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振动、温度、电流、压力、静电、气体、粉尘、温湿度、噪声、照度、流量、液位</w:t>
            </w:r>
          </w:p>
        </w:tc>
      </w:tr>
      <w:tr>
        <w:tc>
          <w:tcPr>
            <w:tcW w:type="dxa" w:w="190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视频数据</w:t>
            </w:r>
          </w:p>
        </w:tc>
        <w:tc>
          <w:tcPr>
            <w:tcW w:type="dxa" w:w="47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固定摄像头、移动巡检设备、热成像、重点区域视频平台</w:t>
            </w:r>
          </w:p>
        </w:tc>
        <w:tc>
          <w:tcPr>
            <w:tcW w:type="dxa" w:w="57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画面、截图、目标轨迹、区域占用、人员/车辆/火焰烟雾等视觉证据</w:t>
            </w:r>
          </w:p>
        </w:tc>
      </w:tr>
      <w:tr>
        <w:tc>
          <w:tcPr>
            <w:tcW w:type="dxa" w:w="190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智能告警数据</w:t>
            </w:r>
          </w:p>
        </w:tc>
        <w:tc>
          <w:tcPr>
            <w:tcW w:type="dxa" w:w="47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视频 AI、设备诊断、环境阈值、融合风险引擎</w:t>
            </w:r>
          </w:p>
        </w:tc>
        <w:tc>
          <w:tcPr>
            <w:tcW w:type="dxa" w:w="57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超员、越界、通道占用、人车共道、玩手机、防护用品缺失、离岗睡岗、火焰烟雾、异常趋势</w:t>
            </w:r>
          </w:p>
        </w:tc>
      </w:tr>
      <w:tr>
        <w:tc>
          <w:tcPr>
            <w:tcW w:type="dxa" w:w="190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人员数据</w:t>
            </w:r>
          </w:p>
        </w:tc>
        <w:tc>
          <w:tcPr>
            <w:tcW w:type="dxa" w:w="47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人员档案、培训、资质、体检、门禁、定位、考勤、承包商系统</w:t>
            </w:r>
          </w:p>
        </w:tc>
        <w:tc>
          <w:tcPr>
            <w:tcW w:type="dxa" w:w="57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身份、岗位、授权、健康适配、进出记录、区域轨迹、班次工时</w:t>
            </w:r>
          </w:p>
        </w:tc>
      </w:tr>
      <w:tr>
        <w:tc>
          <w:tcPr>
            <w:tcW w:type="dxa" w:w="190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台账数据</w:t>
            </w:r>
          </w:p>
        </w:tc>
        <w:tc>
          <w:tcPr>
            <w:tcW w:type="dxa" w:w="47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会议纪要、班前会、作业票、点检、巡检、隐患排查、整改复查、应急演练</w:t>
            </w:r>
          </w:p>
        </w:tc>
        <w:tc>
          <w:tcPr>
            <w:tcW w:type="dxa" w:w="57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制度执行记录、责任人、时间、地点、检查项、问题、措施、复核和销项</w:t>
            </w:r>
          </w:p>
        </w:tc>
      </w:tr>
      <w:tr>
        <w:tc>
          <w:tcPr>
            <w:tcW w:type="dxa" w:w="190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其他数字化数据</w:t>
            </w:r>
          </w:p>
        </w:tc>
        <w:tc>
          <w:tcPr>
            <w:tcW w:type="dxa" w:w="47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气象、消防主机、能源系统、电子签名、知识库、标准条款库</w:t>
            </w:r>
          </w:p>
        </w:tc>
        <w:tc>
          <w:tcPr>
            <w:tcW w:type="dxa" w:w="57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外部环境、能源异常、审批记录、条款引用、模型版本、证据血缘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3. 6M 数据树总览</w:t>
      </w:r>
    </w:p>
    <w:tbl>
      <w:tblPr>
        <w:tblStyle w:val="TableGrid"/>
        <w:tblW w:type="dxa" w:w="12300"/>
        <w:jc w:val="center"/>
        <w:tblLook w:firstColumn="1" w:firstRow="1" w:lastColumn="0" w:lastRow="0" w:noHBand="0" w:noVBand="1" w:val="04A0"/>
        <w:tblLayout w:type="fixed"/>
        <w:tblCellMar>
          <w:top w:w="90" w:type="dxa"/>
          <w:start w:w="100" w:type="dxa"/>
          <w:bottom w:w="90" w:type="dxa"/>
          <w:end w:w="100" w:type="dxa"/>
        </w:tblCellMar>
      </w:tblPr>
      <w:tblGrid>
        <w:gridCol w:w="2839"/>
        <w:gridCol w:w="2839"/>
        <w:gridCol w:w="2839"/>
        <w:gridCol w:w="2839"/>
        <w:gridCol w:w="2839"/>
      </w:tblGrid>
      <w:tr>
        <w:trPr>
          <w:tblHeader w:val="true"/>
        </w:trPr>
        <w:tc>
          <w:tcPr>
            <w:tcW w:type="dxa" w:w="90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维度</w:t>
            </w:r>
          </w:p>
        </w:tc>
        <w:tc>
          <w:tcPr>
            <w:tcW w:type="dxa" w:w="210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一级目标</w:t>
            </w:r>
          </w:p>
        </w:tc>
        <w:tc>
          <w:tcPr>
            <w:tcW w:type="dxa" w:w="430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业务判断</w:t>
            </w:r>
          </w:p>
        </w:tc>
        <w:tc>
          <w:tcPr>
            <w:tcW w:type="dxa" w:w="390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二级节点示例</w:t>
            </w:r>
          </w:p>
        </w:tc>
        <w:tc>
          <w:tcPr>
            <w:tcW w:type="dxa" w:w="110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最小元素数</w:t>
            </w:r>
          </w:p>
        </w:tc>
      </w:tr>
      <w:tr>
        <w:tc>
          <w:tcPr>
            <w:tcW w:type="dxa" w:w="90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人</w:t>
            </w:r>
          </w:p>
        </w:tc>
        <w:tc>
          <w:tcPr>
            <w:tcW w:type="dxa" w:w="2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人员与行为安全</w:t>
            </w:r>
          </w:p>
        </w:tc>
        <w:tc>
          <w:tcPr>
            <w:tcW w:type="dxa" w:w="4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判断人员是否具备作业条件、是否处于授权区域、是否出现不安全行为或疲劳状态。</w:t>
            </w:r>
          </w:p>
        </w:tc>
        <w:tc>
          <w:tcPr>
            <w:tcW w:type="dxa" w:w="39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身份与岗位匹配；资质证照有效；培训与考试合格；健康适配与职业禁忌 等</w:t>
            </w:r>
          </w:p>
        </w:tc>
        <w:tc>
          <w:tcPr>
            <w:tcW w:type="dxa" w:w="1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</w:t>
            </w:r>
          </w:p>
        </w:tc>
      </w:tr>
      <w:tr>
        <w:tc>
          <w:tcPr>
            <w:tcW w:type="dxa" w:w="90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机</w:t>
            </w:r>
          </w:p>
        </w:tc>
        <w:tc>
          <w:tcPr>
            <w:tcW w:type="dxa" w:w="2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设备设施与运行安全</w:t>
            </w:r>
          </w:p>
        </w:tc>
        <w:tc>
          <w:tcPr>
            <w:tcW w:type="dxa" w:w="4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判断设备是否处于安全运行窗口，安全保护是否有效，设备健康是否出现失效先兆。</w:t>
            </w:r>
          </w:p>
        </w:tc>
        <w:tc>
          <w:tcPr>
            <w:tcW w:type="dxa" w:w="39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运行状态；工艺参数窗口；报警与联锁；防护装置有效 等</w:t>
            </w:r>
          </w:p>
        </w:tc>
        <w:tc>
          <w:tcPr>
            <w:tcW w:type="dxa" w:w="1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</w:t>
            </w:r>
          </w:p>
        </w:tc>
      </w:tr>
      <w:tr>
        <w:tc>
          <w:tcPr>
            <w:tcW w:type="dxa" w:w="90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料</w:t>
            </w:r>
          </w:p>
        </w:tc>
        <w:tc>
          <w:tcPr>
            <w:tcW w:type="dxa" w:w="2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物料、危化品与库存流转安全</w:t>
            </w:r>
          </w:p>
        </w:tc>
        <w:tc>
          <w:tcPr>
            <w:tcW w:type="dxa" w:w="4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判断物料身份、危害属性、库存、储存、流转和投出料状态是否安全可控。</w:t>
            </w:r>
          </w:p>
        </w:tc>
        <w:tc>
          <w:tcPr>
            <w:tcW w:type="dxa" w:w="39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物料身份与批次；危害类别；库存量与阈值；储存条件 等</w:t>
            </w:r>
          </w:p>
        </w:tc>
        <w:tc>
          <w:tcPr>
            <w:tcW w:type="dxa" w:w="1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</w:t>
            </w:r>
          </w:p>
        </w:tc>
      </w:tr>
      <w:tr>
        <w:tc>
          <w:tcPr>
            <w:tcW w:type="dxa" w:w="90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法</w:t>
            </w:r>
          </w:p>
        </w:tc>
        <w:tc>
          <w:tcPr>
            <w:tcW w:type="dxa" w:w="2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制度、工艺方法与作业控制</w:t>
            </w:r>
          </w:p>
        </w:tc>
        <w:tc>
          <w:tcPr>
            <w:tcW w:type="dxa" w:w="4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判断制度、标准、作业票、规程、变更和隐患治理是否真正约束现场作业。</w:t>
            </w:r>
          </w:p>
        </w:tc>
        <w:tc>
          <w:tcPr>
            <w:tcW w:type="dxa" w:w="39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制度标准适用；操作规程版本；作业许可；工艺方法与参数 等</w:t>
            </w:r>
          </w:p>
        </w:tc>
        <w:tc>
          <w:tcPr>
            <w:tcW w:type="dxa" w:w="1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</w:t>
            </w:r>
          </w:p>
        </w:tc>
      </w:tr>
      <w:tr>
        <w:tc>
          <w:tcPr>
            <w:tcW w:type="dxa" w:w="90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环</w:t>
            </w:r>
          </w:p>
        </w:tc>
        <w:tc>
          <w:tcPr>
            <w:tcW w:type="dxa" w:w="2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环境、空间与外部条件安全</w:t>
            </w:r>
          </w:p>
        </w:tc>
        <w:tc>
          <w:tcPr>
            <w:tcW w:type="dxa" w:w="4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判断作业空间内的气体、粉尘、温湿度、通道、消防、静电和外部环境是否处于安全边界。</w:t>
            </w:r>
          </w:p>
        </w:tc>
        <w:tc>
          <w:tcPr>
            <w:tcW w:type="dxa" w:w="39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有毒可燃气体；氧含量与通风；粉尘与烟雾；温湿度 等</w:t>
            </w:r>
          </w:p>
        </w:tc>
        <w:tc>
          <w:tcPr>
            <w:tcW w:type="dxa" w:w="1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</w:t>
            </w:r>
          </w:p>
        </w:tc>
      </w:tr>
      <w:tr>
        <w:tc>
          <w:tcPr>
            <w:tcW w:type="dxa" w:w="90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测</w:t>
            </w:r>
          </w:p>
        </w:tc>
        <w:tc>
          <w:tcPr>
            <w:tcW w:type="dxa" w:w="2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测量、证据质量与模型可信</w:t>
            </w:r>
          </w:p>
        </w:tc>
        <w:tc>
          <w:tcPr>
            <w:tcW w:type="dxa" w:w="4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把数据可用性、传感器可靠性、算法置信度、证据冲突和血缘审计作为风险判断前置条件。</w:t>
            </w:r>
          </w:p>
        </w:tc>
        <w:tc>
          <w:tcPr>
            <w:tcW w:type="dxa" w:w="39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测点与对象绑定；校准与有效期；采样频率与时效；时间同步 等</w:t>
            </w:r>
          </w:p>
        </w:tc>
        <w:tc>
          <w:tcPr>
            <w:tcW w:type="dxa" w:w="1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4. 人 - 人员与行为安全</w:t>
      </w:r>
    </w:p>
    <w:p>
      <w:pPr>
        <w:spacing w:before="0" w:after="160" w:line="300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判断人员是否具备作业条件、是否处于授权区域、是否出现不安全行为或疲劳状态。</w:t>
      </w:r>
    </w:p>
    <w:tbl>
      <w:tblPr>
        <w:tblStyle w:val="TableGrid"/>
        <w:tblW w:type="dxa" w:w="14300"/>
        <w:jc w:val="center"/>
        <w:tblLook w:firstColumn="1" w:firstRow="1" w:lastColumn="0" w:lastRow="0" w:noHBand="0" w:noVBand="1" w:val="04A0"/>
        <w:tblLayout w:type="fixed"/>
        <w:tblCellMar>
          <w:top w:w="90" w:type="dxa"/>
          <w:start w:w="100" w:type="dxa"/>
          <w:bottom w:w="90" w:type="dxa"/>
          <w:end w:w="100" w:type="dxa"/>
        </w:tblCellMar>
      </w:tblPr>
      <w:tblGrid>
        <w:gridCol w:w="2366"/>
        <w:gridCol w:w="2366"/>
        <w:gridCol w:w="2366"/>
        <w:gridCol w:w="2366"/>
        <w:gridCol w:w="2366"/>
        <w:gridCol w:w="2366"/>
      </w:tblGrid>
      <w:tr>
        <w:trPr>
          <w:tblHeader w:val="true"/>
        </w:trPr>
        <w:tc>
          <w:tcPr>
            <w:tcW w:type="dxa" w:w="85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编码</w:t>
            </w:r>
          </w:p>
        </w:tc>
        <w:tc>
          <w:tcPr>
            <w:tcW w:type="dxa" w:w="165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最小安全元素</w:t>
            </w:r>
          </w:p>
        </w:tc>
        <w:tc>
          <w:tcPr>
            <w:tcW w:type="dxa" w:w="165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树路径</w:t>
            </w:r>
          </w:p>
        </w:tc>
        <w:tc>
          <w:tcPr>
            <w:tcW w:type="dxa" w:w="310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判定口径</w:t>
            </w:r>
          </w:p>
        </w:tc>
        <w:tc>
          <w:tcPr>
            <w:tcW w:type="dxa" w:w="330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可采集数据</w:t>
            </w:r>
          </w:p>
        </w:tc>
        <w:tc>
          <w:tcPr>
            <w:tcW w:type="dxa" w:w="375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来源与风险用途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H01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身份与岗位匹配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人 &gt; 人员基础/身份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人员身份与岗位、班组、承包商类型一致；访客、临时人员、外协人员有明确责任归属。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人员档案、承包商档案、访客登记、班组排班、门禁账号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来源：人员系统、门禁、考勤、台账</w:t>
              <w:br/>
              <w:t>风险：无身份作业、冒用身份、责任主体不清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H02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资质证照有效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人 &gt; 能力/授权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特种作业、岗位授权、设备操作资质在有效期内，并匹配当前作业对象。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证书类型、证书编号、发证单位、有效期、授权设备/区域、复审记录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来源：人员系统、培训系统、作业票</w:t>
              <w:br/>
              <w:t>风险：无证上岗、证照过期、超范围作业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H03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培训与考试合格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人 &gt; 能力/培训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岗前、转岗、复工、专项安全培训完成，考试或确认结果有效。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培训课程、签到、考试成绩、交底确认、培训有效期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来源：培训系统、会议纪要、班前会台账</w:t>
              <w:br/>
              <w:t>风险：未培训上岗、交底缺失、知识失效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H04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健康适配与职业禁忌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人 &gt; 健康/适配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体检结论、职业禁忌、疲劳和特殊状态与作业风险等级匹配。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体检结果、职业禁忌、健康适配标识、连续工时、夜班记录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来源：体检台账、考勤、作业票</w:t>
              <w:br/>
              <w:t>风险：健康不适配、高风险作业禁忌、疲劳作业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H05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作业准入授权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人 &gt; 准入/门禁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进入区域或启动作业前，人员、作业票、设备、区域权限同时满足。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门禁记录、电子围栏、作业票人员名单、设备登录账号、授权时段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来源：门禁、定位、作业票、设备控制系统</w:t>
              <w:br/>
              <w:t>风险：未授权进入、越权操作、非作业时段进入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H06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在岗状态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人 &gt; 行为/在岗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关键岗位人员在岗，监护人、操作人、安全员等角色未离岗、睡岗或长时间失联。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定位停留、视频在岗识别、考勤、巡检签到、监护记录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来源：定位、视频 AI、考勤、巡检台账</w:t>
              <w:br/>
              <w:t>风险：离岗睡岗、无人监护、岗位空缺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H07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区域位置合规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人 &gt; 空间/位置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人员轨迹与授权区域、危险区域、设备运行区域和疏散通道关系合规。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实时位置、轨迹、停留时长、电子围栏、区域风险等级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来源：定位、视频、门禁、区域主数据</w:t>
              <w:br/>
              <w:t>风险：区域闯入、危险停留、人员聚集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H08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不安全动作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人 &gt; 行为/动作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存在伸手取物、攀爬、跨越、奔跑、玩手机、吸烟等动作时形成事件证据。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动作类别、截图、置信度、持续时间、关联设备状态、复核结果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来源：视频 AI、人工巡检、智能告警</w:t>
              <w:br/>
              <w:t>风险：违章操作、注意力分散、误触误入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H09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防护用品穿戴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人 &gt; 防护/穿戴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安全帽、防护服、护目镜、防毒面具、防静电鞋等与区域和作业类型匹配。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防护用品识别结果、作业票要求、区域要求、复核截图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来源：视频 AI、作业票、区域规则库</w:t>
              <w:br/>
              <w:t>风险：防护缺失、防护等级不足、防静电失效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H10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人车与人机安全距离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人 &gt; 交互/距离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人员与叉车、自动搬运车、机器人、运行设备保持安全距离和避让规则。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目标轨迹、接近距离、速度、设备运行状态、通道占用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来源：视频 AI、定位、设备数据</w:t>
              <w:br/>
              <w:t>风险：人车共道、近距接触、协作区域侵入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H11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应急响应与撤离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人 &gt; 应急/响应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报警后人员确认、撤离、集合、应急岗位到位可被追踪。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确认时间、撤离轨迹、集合点签到、通知回执、应急演练记录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来源：应急平台、定位、门禁、台账</w:t>
              <w:br/>
              <w:t>风险：撤离迟缓、人员滞留、应急岗位缺位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H12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责任与复核闭环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人 &gt; 责任/闭环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人员对报警、工单、整改、复核的责任链完整，复核人与执行人分离。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责任人、派单、处置记录、复核记录、电子签名、逾期状态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来源：隐患治理、工单系统、台账</w:t>
              <w:br/>
              <w:t>风险：责任不清、闭环逾期、复核失真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5. 机 - 设备设施与运行安全</w:t>
      </w:r>
    </w:p>
    <w:p>
      <w:pPr>
        <w:spacing w:before="0" w:after="160" w:line="300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判断设备是否处于安全运行窗口，安全保护是否有效，设备健康是否出现失效先兆。</w:t>
      </w:r>
    </w:p>
    <w:tbl>
      <w:tblPr>
        <w:tblStyle w:val="TableGrid"/>
        <w:tblW w:type="dxa" w:w="14300"/>
        <w:jc w:val="center"/>
        <w:tblLook w:firstColumn="1" w:firstRow="1" w:lastColumn="0" w:lastRow="0" w:noHBand="0" w:noVBand="1" w:val="04A0"/>
        <w:tblLayout w:type="fixed"/>
        <w:tblCellMar>
          <w:top w:w="90" w:type="dxa"/>
          <w:start w:w="100" w:type="dxa"/>
          <w:bottom w:w="90" w:type="dxa"/>
          <w:end w:w="100" w:type="dxa"/>
        </w:tblCellMar>
      </w:tblPr>
      <w:tblGrid>
        <w:gridCol w:w="2366"/>
        <w:gridCol w:w="2366"/>
        <w:gridCol w:w="2366"/>
        <w:gridCol w:w="2366"/>
        <w:gridCol w:w="2366"/>
        <w:gridCol w:w="2366"/>
      </w:tblGrid>
      <w:tr>
        <w:trPr>
          <w:tblHeader w:val="true"/>
        </w:trPr>
        <w:tc>
          <w:tcPr>
            <w:tcW w:type="dxa" w:w="85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编码</w:t>
            </w:r>
          </w:p>
        </w:tc>
        <w:tc>
          <w:tcPr>
            <w:tcW w:type="dxa" w:w="165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最小安全元素</w:t>
            </w:r>
          </w:p>
        </w:tc>
        <w:tc>
          <w:tcPr>
            <w:tcW w:type="dxa" w:w="165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树路径</w:t>
            </w:r>
          </w:p>
        </w:tc>
        <w:tc>
          <w:tcPr>
            <w:tcW w:type="dxa" w:w="310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判定口径</w:t>
            </w:r>
          </w:p>
        </w:tc>
        <w:tc>
          <w:tcPr>
            <w:tcW w:type="dxa" w:w="330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可采集数据</w:t>
            </w:r>
          </w:p>
        </w:tc>
        <w:tc>
          <w:tcPr>
            <w:tcW w:type="dxa" w:w="375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来源与风险用途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E01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运行状态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机 &gt; 状态/启停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设备开机、运行、暂停、急停、维修、离线等状态清晰并与作业场景一致。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运行状态、启停时间、模式切换、停机原因、班次产量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来源：PLC/DCS/SCADA、MES、设备网关</w:t>
              <w:br/>
              <w:t>风险：异常启动、非计划停机、状态误判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E02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工艺参数窗口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机 &gt; 参数/阈值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温度、压力、转速、进给、扭矩、速度、程序参数在工艺和安全边界内。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实时参数、设定值、上下限、偏差、趋势、批次/工单关联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来源：设备数据、MES、工艺系统</w:t>
              <w:br/>
              <w:t>风险：参数漂移、越限运行、工艺失控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E03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报警与联锁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机 &gt; 保护/报警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设备报警、联锁、旁路、复位、屏蔽等事件有记录且可追溯。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报警码、报警等级、联锁状态、旁路记录、复位人、持续时间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来源：PLC、设备报警、控制系统</w:t>
              <w:br/>
              <w:t>风险：保护失效、联锁旁路、报警疲劳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E04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防护装置有效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机 &gt; 防护/装置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防护门、急停、光幕、护罩、限位、隔离栏等安全设施状态有效。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防护门开闭、急停状态、光幕遮挡、限位信号、点检结果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来源：设备 I/O、传感器、点检台账</w:t>
              <w:br/>
              <w:t>风险：带故障运行、防护失效、误入危险区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E05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设备健康退化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机 &gt; 健康/退化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振动、温度、电流、噪声、润滑等指标出现退化趋势时形成健康风险。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振动频谱、温升、电流波动、轴承特征、健康指数、剩余寿命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来源：设备传感器、设备健康管理、维修系统</w:t>
              <w:br/>
              <w:t>风险：轴承损伤、过热、疲劳失效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E06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点检维护到期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机 &gt; 维护/保养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点检、润滑、校验、保养、检修、备件更换按计划执行并留痕。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点检项、点检结果、维修工单、备件批次、超期记录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来源：EAM、点检台账、备件库</w:t>
              <w:br/>
              <w:t>风险：失保运行、维修缺失、故障重复发生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E07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程序与版本控制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机 &gt; 程序/版本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数控程序、机器人程序、控制逻辑和配方版本与工单、产品、审批一致。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程序号、版本、下载人、变更审批、运行工单、校验结果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来源：设备控制、MES、变更台账</w:t>
              <w:br/>
              <w:t>风险：错程序、未审批变更、版本回退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E08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移动设备安全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机 &gt; 移动/物流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叉车、自动搬运车、堆垛机、升降平台等移动设备速度、路径、避障状态合规。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位置、速度、路径、避障告警、载荷、充电状态、维护状态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来源：车辆系统、视频、定位、立体库</w:t>
              <w:br/>
              <w:t>风险：碰撞、超速、通道冲突、载荷异常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E09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能源与载荷异常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机 &gt; 载荷/能耗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电流、气压、液压、负载、能耗异常能被识别并关联设备状态。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电流、电压、功率、气压、液压、负载率、能耗趋势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来源：能源系统、设备传感器、SCADA</w:t>
              <w:br/>
              <w:t>风险：过载、泄压、短路、能耗异常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E10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消防与安全设施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机 &gt; 安全设施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消防主机、喷淋、灭火器、应急照明、排烟、报警按钮状态可采集可巡检。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设备状态、点检记录、故障告警、位置、有效期、维护记录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来源：消防系统、台账、视频巡检</w:t>
              <w:br/>
              <w:t>风险：消防设施失效、应急资源不可用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E11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恢复与复位受控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机 &gt; 恢复/复位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故障恢复、报警复位、联锁解除前有复核和授权。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复位操作人、复位时间、原因、复核记录、恢复后状态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来源：设备控制、工单、台账</w:t>
              <w:br/>
              <w:t>风险：未确认复位、带隐患恢复、重复报警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E12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协同作业安全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机 &gt; 协作/自动化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机器人、加工中心、输送线、仓储物流与人员作业边界清晰。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协作区域、运行模式、机器人速度、人员接近、互锁状态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来源：机器人控制器、视频、定位、联锁</w:t>
              <w:br/>
              <w:t>风险：协作区侵入、自动化误动作、人机耦合风险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6. 料 - 物料、危化品与库存流转安全</w:t>
      </w:r>
    </w:p>
    <w:p>
      <w:pPr>
        <w:spacing w:before="0" w:after="160" w:line="300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判断物料身份、危害属性、库存、储存、流转和投出料状态是否安全可控。</w:t>
      </w:r>
    </w:p>
    <w:tbl>
      <w:tblPr>
        <w:tblStyle w:val="TableGrid"/>
        <w:tblW w:type="dxa" w:w="14300"/>
        <w:jc w:val="center"/>
        <w:tblLook w:firstColumn="1" w:firstRow="1" w:lastColumn="0" w:lastRow="0" w:noHBand="0" w:noVBand="1" w:val="04A0"/>
        <w:tblLayout w:type="fixed"/>
        <w:tblCellMar>
          <w:top w:w="90" w:type="dxa"/>
          <w:start w:w="100" w:type="dxa"/>
          <w:bottom w:w="90" w:type="dxa"/>
          <w:end w:w="100" w:type="dxa"/>
        </w:tblCellMar>
      </w:tblPr>
      <w:tblGrid>
        <w:gridCol w:w="2366"/>
        <w:gridCol w:w="2366"/>
        <w:gridCol w:w="2366"/>
        <w:gridCol w:w="2366"/>
        <w:gridCol w:w="2366"/>
        <w:gridCol w:w="2366"/>
      </w:tblGrid>
      <w:tr>
        <w:trPr>
          <w:tblHeader w:val="true"/>
        </w:trPr>
        <w:tc>
          <w:tcPr>
            <w:tcW w:type="dxa" w:w="85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编码</w:t>
            </w:r>
          </w:p>
        </w:tc>
        <w:tc>
          <w:tcPr>
            <w:tcW w:type="dxa" w:w="165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最小安全元素</w:t>
            </w:r>
          </w:p>
        </w:tc>
        <w:tc>
          <w:tcPr>
            <w:tcW w:type="dxa" w:w="165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树路径</w:t>
            </w:r>
          </w:p>
        </w:tc>
        <w:tc>
          <w:tcPr>
            <w:tcW w:type="dxa" w:w="310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判定口径</w:t>
            </w:r>
          </w:p>
        </w:tc>
        <w:tc>
          <w:tcPr>
            <w:tcW w:type="dxa" w:w="330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可采集数据</w:t>
            </w:r>
          </w:p>
        </w:tc>
        <w:tc>
          <w:tcPr>
            <w:tcW w:type="dxa" w:w="375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来源与风险用途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M01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物料身份与批次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料 &gt; 身份/批次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物料编码、批次、规格、来源、去向清晰，批次与工单匹配。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物料编码、批号、条码、射频标签、入库单、工单关联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来源：WMS、MES、立体库、扫码终端</w:t>
              <w:br/>
              <w:t>风险：错料混料、批次不可追溯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M02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危害类别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料 &gt; 危害/MSDS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危险化学品、易燃易爆、有毒有害、粉尘爆炸等属性明确。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危险类别、MSDS、禁忌物、闪点、爆炸极限、职业危害标识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来源：危化品台账、物料主数据</w:t>
              <w:br/>
              <w:t>风险：危害识别缺失、处置措施错误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M03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库存量与阈值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料 &gt; 库存/阈值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库存量、临界量、库位容量、日用量和现场暂存量不超过规则。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库存数量、库位容量、上下限、出入库时间、现场暂存量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来源：WMS、立体库、台账、视频</w:t>
              <w:br/>
              <w:t>风险：超量储存、现场堆积、临界量风险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M04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储存条件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料 &gt; 储存/环境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温湿度、通风、遮光、防爆、防静电、防水等储存条件满足要求。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库区温湿度、通风状态、环境报警、库位、容器状态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来源：环境传感器、库区台账、视频</w:t>
              <w:br/>
              <w:t>风险：储存条件失效、变质、挥发积聚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M05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相容性与禁忌混放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料 &gt; 相容/隔离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禁忌物料、氧化剂/还原剂、酸碱、易燃物分区隔离。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库位关系、物料类别、隔离距离、混放规则、视频堆放识别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来源：WMS、规则库、视频 AI</w:t>
              <w:br/>
              <w:t>风险：禁忌混放、反应风险、火灾爆炸条件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M06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出入库与流转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料 &gt; 流转/路径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物料在入库、出库、转运、暂存、投料、退料过程中轨迹清楚。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出入库记录、搬运设备、路径、责任人、时间、异常中断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来源：WMS、立体库、车辆定位、扫码</w:t>
              <w:br/>
              <w:t>风险：错发错领、异常滞留、责任断点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M07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投料与出料流量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料 &gt; 过程/流量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投料顺序、投料量、出料流量、液位、浓度与工艺窗口一致。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流量、重量、液位、浓度、阀门状态、批次、工艺参数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来源：流量计、称重、PLC、MES</w:t>
              <w:br/>
              <w:t>风险：过量投料、空转、堵塞、泄漏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M08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包装与容器完好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料 &gt; 包装/容器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包装、桶、瓶、罐、管路、托盘、标签完好且符合物料性质。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包装状态、破损识别、容器压力、液位、标签图像、点检记录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来源：视频、传感器、巡检台账</w:t>
              <w:br/>
              <w:t>风险：泄漏、标签脱落、容器破损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M09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泄漏与挥发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料 &gt; 泄漏/挥发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物料泄漏、滴漏、挥发、异常气味、粉尘逸散能被发现并闭环。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气体浓度、液位变化、地面积液、图像异常、报警记录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来源：气体/液位传感器、视频 AI、巡检</w:t>
              <w:br/>
              <w:t>风险：中毒、火灾、滑倒、污染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M10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废料与危废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料 &gt; 危废/处置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废料、危废、残液、滤芯、粉尘收集等分类、暂存、转移合规。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危废类别、暂存量、转移联单、容器、标签、暂存时间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来源：危废台账、视频、WMS</w:t>
              <w:br/>
              <w:t>风险：混放、超期暂存、非法处置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M11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质量状态与放行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料 &gt; 质量/状态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检验、隔离、放行、不合格、返工、报废状态与生产使用权限一致。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检验结果、质量状态、隔离标识、放行人、使用记录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来源：QMS、MES、WMS</w:t>
              <w:br/>
              <w:t>风险：不合格误用、未检先用、隔离失效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M12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标识与可视化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料 &gt; 标识/可识别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物料标签、警示标识、库位标识、流向标识清晰可识别。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标签图像、条码、射频标签、库位号、警示牌状态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来源：视频、扫码、WMS、巡检</w:t>
              <w:br/>
              <w:t>风险：标识缺失、误领误放、风险提示失效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7. 法 - 制度、工艺方法与作业控制</w:t>
      </w:r>
    </w:p>
    <w:p>
      <w:pPr>
        <w:spacing w:before="0" w:after="160" w:line="300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判断制度、标准、作业票、规程、变更和隐患治理是否真正约束现场作业。</w:t>
      </w:r>
    </w:p>
    <w:tbl>
      <w:tblPr>
        <w:tblStyle w:val="TableGrid"/>
        <w:tblW w:type="dxa" w:w="14300"/>
        <w:jc w:val="center"/>
        <w:tblLook w:firstColumn="1" w:firstRow="1" w:lastColumn="0" w:lastRow="0" w:noHBand="0" w:noVBand="1" w:val="04A0"/>
        <w:tblLayout w:type="fixed"/>
        <w:tblCellMar>
          <w:top w:w="90" w:type="dxa"/>
          <w:start w:w="100" w:type="dxa"/>
          <w:bottom w:w="90" w:type="dxa"/>
          <w:end w:w="100" w:type="dxa"/>
        </w:tblCellMar>
      </w:tblPr>
      <w:tblGrid>
        <w:gridCol w:w="2366"/>
        <w:gridCol w:w="2366"/>
        <w:gridCol w:w="2366"/>
        <w:gridCol w:w="2366"/>
        <w:gridCol w:w="2366"/>
        <w:gridCol w:w="2366"/>
      </w:tblGrid>
      <w:tr>
        <w:trPr>
          <w:tblHeader w:val="true"/>
        </w:trPr>
        <w:tc>
          <w:tcPr>
            <w:tcW w:type="dxa" w:w="85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编码</w:t>
            </w:r>
          </w:p>
        </w:tc>
        <w:tc>
          <w:tcPr>
            <w:tcW w:type="dxa" w:w="165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最小安全元素</w:t>
            </w:r>
          </w:p>
        </w:tc>
        <w:tc>
          <w:tcPr>
            <w:tcW w:type="dxa" w:w="165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树路径</w:t>
            </w:r>
          </w:p>
        </w:tc>
        <w:tc>
          <w:tcPr>
            <w:tcW w:type="dxa" w:w="310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判定口径</w:t>
            </w:r>
          </w:p>
        </w:tc>
        <w:tc>
          <w:tcPr>
            <w:tcW w:type="dxa" w:w="330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可采集数据</w:t>
            </w:r>
          </w:p>
        </w:tc>
        <w:tc>
          <w:tcPr>
            <w:tcW w:type="dxa" w:w="375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来源与风险用途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P01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制度标准适用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法 &gt; 制度/条款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国家标准、行业规范、企业制度与当前作业、设备、物料、区域匹配。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适用条款、版本、生效日期、责任部门、适用对象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来源：标准条款库、制度台账</w:t>
              <w:br/>
              <w:t>风险：制度缺失、条款不适用、版本过期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P02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操作规程版本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法 &gt; 规程/版本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操作规程、工艺文件、设备说明、岗位作业指导书使用当前有效版本。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规程编号、版本、发布日期、审批记录、现场引用记录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来源：文档系统、MES、台账</w:t>
              <w:br/>
              <w:t>风险：旧版规程、现场执行偏差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P03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作业许可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法 &gt; 许可/作业票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动火、吊装、受限空间、高处、临时用电等高风险作业票完整有效。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作业票类型、有效期、审批人、监护人、措施、气体检测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来源：电子作业票、台账、气体检测</w:t>
              <w:br/>
              <w:t>风险：无票作业、超期作业、措施缺失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P04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工艺方法与参数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法 &gt; 方法/参数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工艺路线、配方、程序、参数窗口和异常处置方法可追溯。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工艺路线、配方版本、参数上限下限、异常处置卡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来源：MES、工艺系统、设备数据</w:t>
              <w:br/>
              <w:t>风险：方法错误、参数边界缺失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P05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变更管理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法 &gt; 变更/审批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人员、设备、物料、工艺、区域、软件、阈值和模型变更经过评审。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变更申请、影响分析、审批、实施记录、回退方案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来源：变更台账、配置管理、模型管理</w:t>
              <w:br/>
              <w:t>风险：未经评审变更、阈值漂移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P06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风险辨识与交底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法 &gt; 辨识/交底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作业前风险辨识、危险源清单、作业安全分析、班前会交底有记录。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风险清单、交底人、参与人、签到、确认、照片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来源：JSA/HAZOP、会议纪要、班前会</w:t>
              <w:br/>
              <w:t>风险：风险未识别、交底不到位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P07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点检巡检制度执行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法 &gt; 检查/执行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点检、巡检、专项检查按计划、路线、频次和标准执行。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计划、路线、检查项、签到位置、照片、异常项、漏检记录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来源：巡检系统、点检台账、定位</w:t>
              <w:br/>
              <w:t>风险：漏检、代检、检查流于形式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P08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隐患排查治理闭环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法 &gt; 隐患/闭环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隐患发现、分级、整改、复查、销项、复盘全链条可追溯。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隐患等级、整改措施、责任人、期限、复查结果、逾期记录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来源：隐患治理系统、台账、视频/传感器复核</w:t>
              <w:br/>
              <w:t>风险：整改逾期、虚假销项、重复隐患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P09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应急预案与演练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法 &gt; 应急/演练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应急预案、演练、资源、通讯、集合点和联动机制保持有效。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预案版本、演练计划、参演人员、问题项、整改闭环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来源：应急管理系统、台账、定位</w:t>
              <w:br/>
              <w:t>风险：预案失效、演练缺失、响应迟缓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P10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承包商与外协管理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法 &gt; 外协/承包商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承包商资质、入场教育、作业许可、监护、考核和退出机制完整。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承包商档案、入场记录、培训、作业票、违章记录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来源：承包商系统、人员系统、台账</w:t>
              <w:br/>
              <w:t>风险：外协失控、资质不符、监护缺失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P11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审批与复核分离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法 &gt; 审批/复核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高风险动作、报警关闭、隐患销项、模型阈值调整有独立复核。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审批人、复核人、电子签名、审批时间、审批意见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来源：流程引擎、台账、工单系统</w:t>
              <w:br/>
              <w:t>风险：一人闭环、审批走过场、责任失真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P12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持续改进与复盘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法 &gt; 复盘/改进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事故、未遂、重复报警、模型误报漏报进入复盘并更新规则。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复盘结论、根因、纠正措施、规则更新、模型评估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来源：复盘台账、模型管理、制度库</w:t>
              <w:br/>
              <w:t>风险：同类风险复发、经验未沉淀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8. 环 - 环境、空间与外部条件安全</w:t>
      </w:r>
    </w:p>
    <w:p>
      <w:pPr>
        <w:spacing w:before="0" w:after="160" w:line="300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判断作业空间内的气体、粉尘、温湿度、通道、消防、静电和外部环境是否处于安全边界。</w:t>
      </w:r>
    </w:p>
    <w:tbl>
      <w:tblPr>
        <w:tblStyle w:val="TableGrid"/>
        <w:tblW w:type="dxa" w:w="14300"/>
        <w:jc w:val="center"/>
        <w:tblLook w:firstColumn="1" w:firstRow="1" w:lastColumn="0" w:lastRow="0" w:noHBand="0" w:noVBand="1" w:val="04A0"/>
        <w:tblLayout w:type="fixed"/>
        <w:tblCellMar>
          <w:top w:w="90" w:type="dxa"/>
          <w:start w:w="100" w:type="dxa"/>
          <w:bottom w:w="90" w:type="dxa"/>
          <w:end w:w="100" w:type="dxa"/>
        </w:tblCellMar>
      </w:tblPr>
      <w:tblGrid>
        <w:gridCol w:w="2366"/>
        <w:gridCol w:w="2366"/>
        <w:gridCol w:w="2366"/>
        <w:gridCol w:w="2366"/>
        <w:gridCol w:w="2366"/>
        <w:gridCol w:w="2366"/>
      </w:tblGrid>
      <w:tr>
        <w:trPr>
          <w:tblHeader w:val="true"/>
        </w:trPr>
        <w:tc>
          <w:tcPr>
            <w:tcW w:type="dxa" w:w="85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编码</w:t>
            </w:r>
          </w:p>
        </w:tc>
        <w:tc>
          <w:tcPr>
            <w:tcW w:type="dxa" w:w="165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最小安全元素</w:t>
            </w:r>
          </w:p>
        </w:tc>
        <w:tc>
          <w:tcPr>
            <w:tcW w:type="dxa" w:w="165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树路径</w:t>
            </w:r>
          </w:p>
        </w:tc>
        <w:tc>
          <w:tcPr>
            <w:tcW w:type="dxa" w:w="310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判定口径</w:t>
            </w:r>
          </w:p>
        </w:tc>
        <w:tc>
          <w:tcPr>
            <w:tcW w:type="dxa" w:w="330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可采集数据</w:t>
            </w:r>
          </w:p>
        </w:tc>
        <w:tc>
          <w:tcPr>
            <w:tcW w:type="dxa" w:w="375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来源与风险用途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N01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有毒可燃气体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环 &gt; 气体/浓度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有毒、有害、可燃气体浓度在报警阈值内，趋势无异常积聚。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气体种类、浓度、报警阈值、趋势、传感器位置、通风状态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来源：气体传感器、消防系统、作业票检测</w:t>
              <w:br/>
              <w:t>风险：中毒、窒息、燃爆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N02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氧含量与通风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环 &gt; 通风/氧含量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受限空间、库区、工艺区域氧含量和通风能力满足要求。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氧含量、风机状态、换气次数、作业票检测、门窗状态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来源：气体传感器、DCS、作业票、视频</w:t>
              <w:br/>
              <w:t>风险：缺氧、富氧、通风不足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N03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粉尘与烟雾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环 &gt; 粉尘/烟雾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粉尘浓度、烟雾、积尘、除尘设备状态可监测。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粉尘浓度、烟雾识别、除尘器状态、积尘图像、点检结果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来源：粉尘传感器、视频 AI、除尘系统</w:t>
              <w:br/>
              <w:t>风险：粉尘爆炸、火情、职业危害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N04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温湿度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环 &gt; 热湿/舒适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环境温湿度与物料储存、人员作业和设备运行要求匹配。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温度、湿度、热指数、超限时长、区域、关联物料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来源：温湿度传感器、空调/通风系统</w:t>
              <w:br/>
              <w:t>风险：中暑、静电、物料变质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N05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噪声与照度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环 &gt; 职业/可见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噪声、照度满足职业健康、巡检、操作和应急疏散需要。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噪声分贝、照度、超限时长、人员暴露、区域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来源：噪声/照度传感器、巡检台账</w:t>
              <w:br/>
              <w:t>风险：职业暴露、误操作、疏散困难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N06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通道与疏散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环 &gt; 空间/通道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消防通道、疏散通道、设备检修通道、物流通道保持畅通。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通道占用识别、堆放物、人员车辆轨迹、疏散门状态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来源：视频 AI、巡检、门禁</w:t>
              <w:br/>
              <w:t>风险：通道堵塞、应急撤离受阻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N07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火焰烟雾与消防环境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环 &gt; 消防/火情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火焰、烟雾、温升、消防主机和重点部位视频形成联动证据。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火焰烟雾告警、温度、消防报警、喷淋状态、截图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来源：视频 AI、消防系统、温度传感器</w:t>
              <w:br/>
              <w:t>风险：初起火灾未发现、误报漏报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N08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危险区域边界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环 &gt; 区域/边界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危险区域、受限空间、临边、吊装半径、机器人区域边界清晰并被监测。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区域边界、电子围栏、越界记录、警示标识、作业状态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来源：视频、定位、区域主数据</w:t>
              <w:br/>
              <w:t>风险：越界进入、区域混用、警示缺失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N09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静电与接地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环 &gt; 静电/接地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防静电区域、危化品、粉尘、易燃环境的静电和接地状态受控。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静电电压、接地电阻、接地夹状态、防静电鞋服、检测记录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来源：静电传感器、点检台账、视频</w:t>
              <w:br/>
              <w:t>风险：静电点火、接地失效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N10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泄漏积液与排水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环 &gt; 液体/排水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地面积液、泄漏、排水、围堰、液位等状态能及时发现。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液位、地面积液图像、排水泵状态、围堰液位、巡检记录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来源：液位传感器、视频 AI、巡检</w:t>
              <w:br/>
              <w:t>风险：滑倒、污染、化学品扩散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N11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振动与周界扰动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环 &gt; 振动/周界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环境振动、周界入侵、异常冲击对设备和人员安全的影响可感知。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环境振动、周界报警、冲击事件、设备基础状态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来源：振动传感器、周界系统、视频</w:t>
              <w:br/>
              <w:t>风险：结构风险、外部侵入、误报警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N12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外部天气与自然条件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环 &gt; 外部/天气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雷电、暴雨、高温、低温、大风等外部条件进入作业风险判断。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天气预警、雷电、风速、降雨、温度、户外作业计划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来源：气象接口、作业票、台账</w:t>
              <w:br/>
              <w:t>风险：户外作业风险、仓储受潮、吊装风险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9. 测 - 测量、证据质量与模型可信</w:t>
      </w:r>
    </w:p>
    <w:p>
      <w:pPr>
        <w:spacing w:before="0" w:after="160" w:line="300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把数据可用性、传感器可靠性、算法置信度、证据冲突和血缘审计作为风险判断前置条件。</w:t>
      </w:r>
    </w:p>
    <w:tbl>
      <w:tblPr>
        <w:tblStyle w:val="TableGrid"/>
        <w:tblW w:type="dxa" w:w="14300"/>
        <w:jc w:val="center"/>
        <w:tblLook w:firstColumn="1" w:firstRow="1" w:lastColumn="0" w:lastRow="0" w:noHBand="0" w:noVBand="1" w:val="04A0"/>
        <w:tblLayout w:type="fixed"/>
        <w:tblCellMar>
          <w:top w:w="90" w:type="dxa"/>
          <w:start w:w="100" w:type="dxa"/>
          <w:bottom w:w="90" w:type="dxa"/>
          <w:end w:w="100" w:type="dxa"/>
        </w:tblCellMar>
      </w:tblPr>
      <w:tblGrid>
        <w:gridCol w:w="2366"/>
        <w:gridCol w:w="2366"/>
        <w:gridCol w:w="2366"/>
        <w:gridCol w:w="2366"/>
        <w:gridCol w:w="2366"/>
        <w:gridCol w:w="2366"/>
      </w:tblGrid>
      <w:tr>
        <w:trPr>
          <w:tblHeader w:val="true"/>
        </w:trPr>
        <w:tc>
          <w:tcPr>
            <w:tcW w:type="dxa" w:w="85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编码</w:t>
            </w:r>
          </w:p>
        </w:tc>
        <w:tc>
          <w:tcPr>
            <w:tcW w:type="dxa" w:w="165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最小安全元素</w:t>
            </w:r>
          </w:p>
        </w:tc>
        <w:tc>
          <w:tcPr>
            <w:tcW w:type="dxa" w:w="165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树路径</w:t>
            </w:r>
          </w:p>
        </w:tc>
        <w:tc>
          <w:tcPr>
            <w:tcW w:type="dxa" w:w="310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判定口径</w:t>
            </w:r>
          </w:p>
        </w:tc>
        <w:tc>
          <w:tcPr>
            <w:tcW w:type="dxa" w:w="330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可采集数据</w:t>
            </w:r>
          </w:p>
        </w:tc>
        <w:tc>
          <w:tcPr>
            <w:tcW w:type="dxa" w:w="375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来源与风险用途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Q01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测点与对象绑定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测 &gt; 测点/绑定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传感器、摄像头、系统字段与设备、区域、人员、物料、作业单元有明确绑定。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测点编码、安装位置、对象 ID、空间坐标、覆盖范围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来源：主数据、传感器台账、视频平台</w:t>
              <w:br/>
              <w:t>风险：证据无法定位、对象错配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Q02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校准与有效期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测 &gt; 校准/检定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传感器、气体检测仪、计量器具、视频算法阈值处于有效期。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校准日期、有效期、检定证书、校准偏差、维护记录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来源：计量台账、传感器平台、模型管理</w:t>
              <w:br/>
              <w:t>风险：测量失准、误报漏报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Q03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采样频率与时效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测 &gt; 频率/新鲜度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数据采样频率、上传延迟和业务风险窗口匹配。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采样频率、上传时间、延迟、断点、最新时间戳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来源：设备网关、物联网平台、数据治理</w:t>
              <w:br/>
              <w:t>风险：迟滞判断、风险窗口遗漏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Q04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时间同步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测 &gt; 时间/同步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不同系统、传感器、视频、台账事件可在同一时间窗内对齐。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系统时间、时钟偏差、事件窗、班次、工单时间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来源：数据平台、源系统日志</w:t>
              <w:br/>
              <w:t>风险：因果关系错判、证据链断裂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Q05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空间编码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测 &gt; 位置/编码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厂区、区域、库位、设备、摄像头视场和人员定位使用统一空间编码。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区域编码、库位、坐标、摄像头视场、电子围栏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来源：GIS/三维模型、主数据、视频平台</w:t>
              <w:br/>
              <w:t>风险：空间关系不可计算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Q06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数据完整性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测 &gt; 完整/缺失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关键字段、关键测点、关键时段无缺失、重复、异常空值。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缺失率、重复率、空值、异常码、字段完整度、覆盖率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来源：数据治理平台、源系统日志</w:t>
              <w:br/>
              <w:t>风险：低质量数据触发错误结论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Q07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来源可靠性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测 &gt; 可靠/来源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不同来源按设备状态、维护、历史准确率、人工复核赋予可靠性权重。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来源类型、可靠性评分、历史误报、维护状态、复核结果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来源：数据治理、模型评估、台账</w:t>
              <w:br/>
              <w:t>风险：不可靠来源主导判断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Q08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算法置信度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测 &gt; 模型/置信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视频识别、异常检测、融合模型输出置信度、版本、阈值和适用边界。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模型版本、置信度、阈值、输入输出、误报漏报、评估集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来源：AI 平台、视频 AI、模型管理</w:t>
              <w:br/>
              <w:t>风险：模型误判、版本不可追溯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Q09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证据冲突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测 &gt; 冲突/融合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当视频、传感器、台账、人工记录冲突时，记录冲突分数和裁决逻辑。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冲突来源、冲突分数、折扣系数、裁决规则、人工复核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来源：风险融合引擎、复核台账</w:t>
              <w:br/>
              <w:t>风险：冲突证据直接触发错误动作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Q10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不确定性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测 &gt; 不确定/未知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无法确认、缺测、遮挡、失联等未知质量不应被强行归为安全。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未知质量、遮挡、离线、盲区、采样失败、人工备注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来源：物联网平台、视频 AI、数据治理</w:t>
              <w:br/>
              <w:t>风险：未知被当作安全、风险低估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Q11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血缘与审计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测 &gt; 血缘/审计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证据、模型、规则、人工确认、处置动作的生成和派生关系可审计。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来源系统、模型运行、规则版本、操作人、时间、电子签名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来源：数据治理、工单、模型管理</w:t>
              <w:br/>
              <w:t>风险：无法解释报警和销项依据</w:t>
            </w:r>
          </w:p>
        </w:tc>
      </w:tr>
      <w:tr>
        <w:tc>
          <w:tcPr>
            <w:tcW w:type="dxa" w:w="85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Q12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复核与反馈</w:t>
            </w:r>
          </w:p>
        </w:tc>
        <w:tc>
          <w:tcPr>
            <w:tcW w:type="dxa" w:w="16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测 &gt; 反馈/学习</w:t>
            </w:r>
          </w:p>
        </w:tc>
        <w:tc>
          <w:tcPr>
            <w:tcW w:type="dxa" w:w="3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误报、漏报、重复报警、处置结果进入模型和规则持续改进。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复核结论、标签修正、根因、处置后风险、规则更新记录</w:t>
            </w:r>
          </w:p>
        </w:tc>
        <w:tc>
          <w:tcPr>
            <w:tcW w:type="dxa" w:w="375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来源：复核台账、模型评估、隐患治理</w:t>
              <w:br/>
              <w:t>风险：模型长期漂移、同类问题复发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10. 统一证据字段建议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所有最小安全元素进入数据平台时，建议统一为 EvidenceObservation 证据观测记录，再按 EvidenceSet 汇聚支撑风险评估、报警和闭环处置。</w:t>
      </w:r>
    </w:p>
    <w:tbl>
      <w:tblPr>
        <w:tblStyle w:val="TableGrid"/>
        <w:tblW w:type="dxa" w:w="12300"/>
        <w:jc w:val="center"/>
        <w:tblLook w:firstColumn="1" w:firstRow="1" w:lastColumn="0" w:lastRow="0" w:noHBand="0" w:noVBand="1" w:val="04A0"/>
        <w:tblLayout w:type="fixed"/>
        <w:tblCellMar>
          <w:top w:w="90" w:type="dxa"/>
          <w:start w:w="100" w:type="dxa"/>
          <w:bottom w:w="90" w:type="dxa"/>
          <w:end w:w="100" w:type="dxa"/>
        </w:tblCellMar>
      </w:tblPr>
      <w:tblGrid>
        <w:gridCol w:w="4732"/>
        <w:gridCol w:w="4732"/>
        <w:gridCol w:w="4732"/>
      </w:tblGrid>
      <w:tr>
        <w:trPr>
          <w:tblHeader w:val="true"/>
        </w:trPr>
        <w:tc>
          <w:tcPr>
            <w:tcW w:type="dxa" w:w="170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字段组</w:t>
            </w:r>
          </w:p>
        </w:tc>
        <w:tc>
          <w:tcPr>
            <w:tcW w:type="dxa" w:w="610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建议字段</w:t>
            </w:r>
          </w:p>
        </w:tc>
        <w:tc>
          <w:tcPr>
            <w:tcW w:type="dxa" w:w="450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作用</w:t>
            </w:r>
          </w:p>
        </w:tc>
      </w:tr>
      <w:tr>
        <w:tc>
          <w:tcPr>
            <w:tcW w:type="dxa" w:w="170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对象</w:t>
            </w:r>
          </w:p>
        </w:tc>
        <w:tc>
          <w:tcPr>
            <w:tcW w:type="dxa" w:w="6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人员、设备、物料、区域、作业单元、作业票、风险场景 ID</w:t>
            </w:r>
          </w:p>
        </w:tc>
        <w:tc>
          <w:tcPr>
            <w:tcW w:type="dxa" w:w="45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保证证据能落到真实对象和责任边界。</w:t>
            </w:r>
          </w:p>
        </w:tc>
      </w:tr>
      <w:tr>
        <w:tc>
          <w:tcPr>
            <w:tcW w:type="dxa" w:w="170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时间</w:t>
            </w:r>
          </w:p>
        </w:tc>
        <w:tc>
          <w:tcPr>
            <w:tcW w:type="dxa" w:w="6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观测时间、开始/结束时间、班次、工单时间窗、数据到达时间</w:t>
            </w:r>
          </w:p>
        </w:tc>
        <w:tc>
          <w:tcPr>
            <w:tcW w:type="dxa" w:w="45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支撑多源时间对齐和因果判断。</w:t>
            </w:r>
          </w:p>
        </w:tc>
      </w:tr>
      <w:tr>
        <w:tc>
          <w:tcPr>
            <w:tcW w:type="dxa" w:w="170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空间</w:t>
            </w:r>
          </w:p>
        </w:tc>
        <w:tc>
          <w:tcPr>
            <w:tcW w:type="dxa" w:w="6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厂区、车间、区域、库位、坐标、摄像头视场、电子围栏</w:t>
            </w:r>
          </w:p>
        </w:tc>
        <w:tc>
          <w:tcPr>
            <w:tcW w:type="dxa" w:w="45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支撑区域越界、距离、聚集、通道占用等判断。</w:t>
            </w:r>
          </w:p>
        </w:tc>
      </w:tr>
      <w:tr>
        <w:tc>
          <w:tcPr>
            <w:tcW w:type="dxa" w:w="170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数值</w:t>
            </w:r>
          </w:p>
        </w:tc>
        <w:tc>
          <w:tcPr>
            <w:tcW w:type="dxa" w:w="6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观测值、单位、阈值、上下限、偏差、趋势、持续时间</w:t>
            </w:r>
          </w:p>
        </w:tc>
        <w:tc>
          <w:tcPr>
            <w:tcW w:type="dxa" w:w="45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支撑阈值、趋势、异常检测和设备健康管理。</w:t>
            </w:r>
          </w:p>
        </w:tc>
      </w:tr>
      <w:tr>
        <w:tc>
          <w:tcPr>
            <w:tcW w:type="dxa" w:w="170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可信</w:t>
            </w:r>
          </w:p>
        </w:tc>
        <w:tc>
          <w:tcPr>
            <w:tcW w:type="dxa" w:w="6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来源、置信度、可靠性、校准状态、缺失率、冲突分数、不确定性</w:t>
            </w:r>
          </w:p>
        </w:tc>
        <w:tc>
          <w:tcPr>
            <w:tcW w:type="dxa" w:w="45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作为测量维度门控，避免低质量数据直接触发结论。</w:t>
            </w:r>
          </w:p>
        </w:tc>
      </w:tr>
      <w:tr>
        <w:tc>
          <w:tcPr>
            <w:tcW w:type="dxa" w:w="170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血缘</w:t>
            </w:r>
          </w:p>
        </w:tc>
        <w:tc>
          <w:tcPr>
            <w:tcW w:type="dxa" w:w="61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源系统、模型版本、规则版本、操作人、复核人、派生关系</w:t>
            </w:r>
          </w:p>
        </w:tc>
        <w:tc>
          <w:tcPr>
            <w:tcW w:type="dxa" w:w="45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支撑审计、追责、复盘和模型治理。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11. 标准、规范与来源依据</w:t>
      </w:r>
    </w:p>
    <w:tbl>
      <w:tblPr>
        <w:tblStyle w:val="TableGrid"/>
        <w:tblW w:type="dxa" w:w="12300"/>
        <w:jc w:val="center"/>
        <w:tblLook w:firstColumn="1" w:firstRow="1" w:lastColumn="0" w:lastRow="0" w:noHBand="0" w:noVBand="1" w:val="04A0"/>
        <w:tblLayout w:type="fixed"/>
        <w:tblCellMar>
          <w:top w:w="90" w:type="dxa"/>
          <w:start w:w="100" w:type="dxa"/>
          <w:bottom w:w="90" w:type="dxa"/>
          <w:end w:w="100" w:type="dxa"/>
        </w:tblCellMar>
      </w:tblPr>
      <w:tblGrid>
        <w:gridCol w:w="7098"/>
        <w:gridCol w:w="7098"/>
      </w:tblGrid>
      <w:tr>
        <w:trPr>
          <w:tblHeader w:val="true"/>
        </w:trPr>
        <w:tc>
          <w:tcPr>
            <w:tcW w:type="dxa" w:w="300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依据</w:t>
            </w:r>
          </w:p>
        </w:tc>
        <w:tc>
          <w:tcPr>
            <w:tcW w:type="dxa" w:w="930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本树中的使用方式</w:t>
            </w:r>
          </w:p>
        </w:tc>
      </w:tr>
      <w:tr>
        <w:tc>
          <w:tcPr>
            <w:tcW w:type="dxa" w:w="300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GB/T 13861-2022</w:t>
            </w:r>
          </w:p>
        </w:tc>
        <w:tc>
          <w:tcPr>
            <w:tcW w:type="dxa" w:w="9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生产过程危险和有害因素分类与代码；用于对人、物、环境、管理等危险因素建立基础分类。</w:t>
            </w:r>
          </w:p>
        </w:tc>
      </w:tr>
      <w:tr>
        <w:tc>
          <w:tcPr>
            <w:tcW w:type="dxa" w:w="300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GB/T 45001-2020 / ISO 45001</w:t>
            </w:r>
          </w:p>
        </w:tc>
        <w:tc>
          <w:tcPr>
            <w:tcW w:type="dxa" w:w="9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职业健康安全管理体系；用于风险识别、风险评价、控制措施、绩效评价和持续改进口径。</w:t>
            </w:r>
          </w:p>
        </w:tc>
      </w:tr>
      <w:tr>
        <w:tc>
          <w:tcPr>
            <w:tcW w:type="dxa" w:w="300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GB/T 27921-2023</w:t>
            </w:r>
          </w:p>
        </w:tc>
        <w:tc>
          <w:tcPr>
            <w:tcW w:type="dxa" w:w="9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风险管理相关技术方法；用于风险识别、评估、证据可信度和综合判断。</w:t>
            </w:r>
          </w:p>
        </w:tc>
      </w:tr>
      <w:tr>
        <w:tc>
          <w:tcPr>
            <w:tcW w:type="dxa" w:w="300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GB/T 15706-2012</w:t>
            </w:r>
          </w:p>
        </w:tc>
        <w:tc>
          <w:tcPr>
            <w:tcW w:type="dxa" w:w="9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机械安全设计通则；用于设备本体、防护、联锁、失效风险等机器维度。</w:t>
            </w:r>
          </w:p>
        </w:tc>
      </w:tr>
      <w:tr>
        <w:tc>
          <w:tcPr>
            <w:tcW w:type="dxa" w:w="300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GB 30871-2022</w:t>
            </w:r>
          </w:p>
        </w:tc>
        <w:tc>
          <w:tcPr>
            <w:tcW w:type="dxa" w:w="9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危险化学品企业特殊作业安全规范；用于作业许可、气体检测、监护、作业控制等法维度。</w:t>
            </w:r>
          </w:p>
        </w:tc>
      </w:tr>
      <w:tr>
        <w:tc>
          <w:tcPr>
            <w:tcW w:type="dxa" w:w="300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GB 39800.1-2020</w:t>
            </w:r>
          </w:p>
        </w:tc>
        <w:tc>
          <w:tcPr>
            <w:tcW w:type="dxa" w:w="9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个体防护装备配备规范；用于防护用品穿戴和人员防护要求。</w:t>
            </w:r>
          </w:p>
        </w:tc>
      </w:tr>
      <w:tr>
        <w:tc>
          <w:tcPr>
            <w:tcW w:type="dxa" w:w="300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应急管理部第10号令</w:t>
            </w:r>
          </w:p>
        </w:tc>
        <w:tc>
          <w:tcPr>
            <w:tcW w:type="dxa" w:w="9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工贸企业重大事故隐患判定标准；用于重大隐患识别和闭环治理约束。</w:t>
            </w:r>
          </w:p>
        </w:tc>
      </w:tr>
      <w:tr>
        <w:tc>
          <w:tcPr>
            <w:tcW w:type="dxa" w:w="300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工业互联网+安全生产行动计划</w:t>
            </w:r>
          </w:p>
        </w:tc>
        <w:tc>
          <w:tcPr>
            <w:tcW w:type="dxa" w:w="9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用于多源数据接入、工业互联网、设备健康、风险预警和安全生产数字化。</w:t>
            </w:r>
          </w:p>
        </w:tc>
      </w:tr>
      <w:tr>
        <w:tc>
          <w:tcPr>
            <w:tcW w:type="dxa" w:w="300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安全生产治本攻坚三年行动</w:t>
            </w:r>
          </w:p>
        </w:tc>
        <w:tc>
          <w:tcPr>
            <w:tcW w:type="dxa" w:w="9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用于重大隐患动态清零、人防技防工程防管理防和闭环指标验收。</w:t>
            </w:r>
          </w:p>
        </w:tc>
      </w:tr>
      <w:tr>
        <w:tc>
          <w:tcPr>
            <w:tcW w:type="dxa" w:w="300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PROV-O / W3C</w:t>
            </w:r>
          </w:p>
        </w:tc>
        <w:tc>
          <w:tcPr>
            <w:tcW w:type="dxa" w:w="93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用于证据来源、生成、派生、责任和审计链建模。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12. 建设落地顺序</w:t>
      </w:r>
    </w:p>
    <w:tbl>
      <w:tblPr>
        <w:tblStyle w:val="TableGrid"/>
        <w:tblW w:type="dxa" w:w="12300"/>
        <w:jc w:val="center"/>
        <w:tblLook w:firstColumn="1" w:firstRow="1" w:lastColumn="0" w:lastRow="0" w:noHBand="0" w:noVBand="1" w:val="04A0"/>
        <w:tblLayout w:type="fixed"/>
        <w:tblCellMar>
          <w:top w:w="90" w:type="dxa"/>
          <w:start w:w="100" w:type="dxa"/>
          <w:bottom w:w="90" w:type="dxa"/>
          <w:end w:w="100" w:type="dxa"/>
        </w:tblCellMar>
      </w:tblPr>
      <w:tblGrid>
        <w:gridCol w:w="4732"/>
        <w:gridCol w:w="4732"/>
        <w:gridCol w:w="4732"/>
      </w:tblGrid>
      <w:tr>
        <w:trPr>
          <w:tblHeader w:val="true"/>
        </w:trPr>
        <w:tc>
          <w:tcPr>
            <w:tcW w:type="dxa" w:w="230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阶段</w:t>
            </w:r>
          </w:p>
        </w:tc>
        <w:tc>
          <w:tcPr>
            <w:tcW w:type="dxa" w:w="560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工作内容</w:t>
            </w:r>
          </w:p>
        </w:tc>
        <w:tc>
          <w:tcPr>
            <w:tcW w:type="dxa" w:w="4400"/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验收口径</w:t>
            </w:r>
          </w:p>
        </w:tc>
      </w:tr>
      <w:tr>
        <w:tc>
          <w:tcPr>
            <w:tcW w:type="dxa" w:w="230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第一阶段：对象与编码</w:t>
            </w:r>
          </w:p>
        </w:tc>
        <w:tc>
          <w:tcPr>
            <w:tcW w:type="dxa" w:w="56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固定人员、设备、物料、区域、作业单元、测点、摄像头、作业票、规则的统一编码。</w:t>
            </w:r>
          </w:p>
        </w:tc>
        <w:tc>
          <w:tcPr>
            <w:tcW w:type="dxa" w:w="44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对象覆盖率、编码唯一率、空间绑定率。</w:t>
            </w:r>
          </w:p>
        </w:tc>
      </w:tr>
      <w:tr>
        <w:tc>
          <w:tcPr>
            <w:tcW w:type="dxa" w:w="230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第二阶段：证据接入</w:t>
            </w:r>
          </w:p>
        </w:tc>
        <w:tc>
          <w:tcPr>
            <w:tcW w:type="dxa" w:w="56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将设备、传感器、视频、人员、台账接入为统一证据观测。</w:t>
            </w:r>
          </w:p>
        </w:tc>
        <w:tc>
          <w:tcPr>
            <w:tcW w:type="dxa" w:w="44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接入完整率、时效性、缺失率、来源可靠性。</w:t>
            </w:r>
          </w:p>
        </w:tc>
      </w:tr>
      <w:tr>
        <w:tc>
          <w:tcPr>
            <w:tcW w:type="dxa" w:w="230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第三阶段：风险融合</w:t>
            </w:r>
          </w:p>
        </w:tc>
        <w:tc>
          <w:tcPr>
            <w:tcW w:type="dxa" w:w="56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按 6M 汇聚 EvidenceSet，接入规则、阈值、异常检测、设备健康管理和证据融合。</w:t>
            </w:r>
          </w:p>
        </w:tc>
        <w:tc>
          <w:tcPr>
            <w:tcW w:type="dxa" w:w="44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高风险召回率、误报率、冲突可解释率。</w:t>
            </w:r>
          </w:p>
        </w:tc>
      </w:tr>
      <w:tr>
        <w:tc>
          <w:tcPr>
            <w:tcW w:type="dxa" w:w="2300"/>
            <w:vAlign w:val="center"/>
            <w:shd w:fill="F6FAFF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第四阶段：闭环治理</w:t>
            </w:r>
          </w:p>
        </w:tc>
        <w:tc>
          <w:tcPr>
            <w:tcW w:type="dxa" w:w="56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打通报警、派单、处置、复核、销项、复盘和规则/模型更新。</w:t>
            </w:r>
          </w:p>
        </w:tc>
        <w:tc>
          <w:tcPr>
            <w:tcW w:type="dxa" w:w="4400"/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闭环及时率、复核通过率、重复隐患下降率。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822" w:right="822" w:bottom="765" w:left="822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8"/>
      </w:rPr>
      <w:t>安全鹰眼多源数据聚合 | 2026-06-15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Microsoft YaHei" w:hAnsi="Microsoft YaHei" w:eastAsia="Microsoft YaHei"/>
        <w:color w:val="666666"/>
        <w:sz w:val="18"/>
      </w:rPr>
      <w:t>6M 最小安全元素 - 可采集数据树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