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/>
          <w:sz w:val="36"/>
        </w:rPr>
        <w:t>实验设计与执行计划 v6.8：机制先行、外部 Oracle 与表示中立验证蓝图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FF2CC"/>
            <w:vAlign w:val="center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宋体"/>
                <w:b/>
                <w:sz w:val="19"/>
              </w:rPr>
              <w:t>版本性质：新的候选执行蓝图；不回写 v6.7，不把 SHK-000 晋级为论文证据。</w:t>
            </w:r>
            <w:r>
              <w:rPr>
                <w:rFonts w:ascii="Times New Roman" w:hAnsi="Times New Roman" w:eastAsia="宋体"/>
                <w:sz w:val="19"/>
              </w:rPr>
              <w:t xml:space="preserve"> v6.8 引入 Phase 1 MME、registry/Eventifier 错设压力、固定 sentinel baselines、预算可行性门和规则级 ActionTruth 双签。任何 `D_test` 活动仍未授权。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sz w:val="28"/>
        </w:rPr>
        <w:t>0 当前状态与硬边界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项目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状态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含义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SHK-000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25 tests PASS；16/16 narrow canary PASS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仅工程资格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G0_RESOURCE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FAIL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不允许完整 pilot/confirmatory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完整 G1/G2/P0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NOT CLOSED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生命周期 runtime、第二实现和物理隔离仍缺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PILOT_AUTHORIZED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false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不得把 canary 迁移为 pilot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D_TEST_AUTHORIZED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false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不生成、不读取、不复制、不重命名 `D_test`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claim_support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none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不支持论文效果结论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1"/>
        </w:rPr>
        <w:t>v6.8 的目标不是提高“阳性概率”，而是尽早判断核心创新是否只是 event sourcing/provenance 的重新包装。只有表示中立 MME 证明近邻基线解决不了 post-commit epistemic equivalence，才投入昂贵确认性试验。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1 主张—证据—停止规则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2296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主张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最低证据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通过门</w:t>
            </w:r>
          </w:p>
        </w:tc>
        <w:tc>
          <w:tcPr>
            <w:tcW w:type="dxa" w:w="2296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失败处理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Q1 Lifecycle conservation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独立 oracle + 第二实现 + exhaustive/property lifecycle traces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每个 canonical class 当前 contribution ≤1；online=replay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核心否证，停止全部性能试验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Q2 Registry-relative exclusion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完整声明图与 scorer-only truth graph 的 stress test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漏边/伪边曲线、coverage 与 false-link 透明报告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降级为声明图 conformance，不声称真实依赖治理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M1 Fusion-specific increment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A 对 simple exactly-once、lineage-only、partial/cautious 的 MME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DRI/recovery 改善且 SRI/availability 不劣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停止 IF 主线或重定义问题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C-System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完整确认性 IUT + 全 no-harm/资源门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全部共同主效应与 gate 通过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仅描述，不声称系统优越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C-HB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A 对匹配 `A^-Topo`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预签增量与 no-harm 通过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过程安全仅保留应用域</w:t>
            </w:r>
          </w:p>
        </w:tc>
      </w:tr>
      <w:tr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External support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独立 simulator/shadow/HIL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预签 transportability 指标通过</w:t>
            </w:r>
          </w:p>
        </w:tc>
        <w:tc>
          <w:tcPr>
            <w:tcW w:type="dxa" w:w="2296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效力域限于两 CSTR strata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宋体"/>
          <w:sz w:val="28"/>
        </w:rPr>
        <w:t>2 数据分区、权限与 oracle 隔离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2.1 分区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`D_impl_unit`：开发测试，不进入论文统计；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`D_mapper_cal` / `D_mapper_qual`：root-level mapper 校准与资格，互不重叠；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`D_mme`：非确认性机制实验，可公开但不得调确认性 SESOI；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`D_select`：G* 选择和 nuisance 估计；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`D_pilot`：仅在 G0–G3 全部关闭后生成；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`D_test`：最终确认性密封分区，当前禁止生成。</w:t>
      </w:r>
    </w:p>
    <w:p>
      <w:r>
        <w:rPr>
          <w:rFonts w:ascii="Times New Roman" w:hAnsi="Times New Roman" w:eastAsia="宋体"/>
          <w:sz w:val="21"/>
        </w:rPr>
        <w:t>physical seed 是独立单位；noise、arrival、method、attack、emitter 和 algorithm seed 全部嵌套。TruthManifest、OperationalSafetyArtifact 与 EvaluationManifest 分离。方法只见 opaque token；scorer-only oracle 保存 physical acquisition id、真实 ancestry、CCF 激活和 action state。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2.2 Oracle graph</w:t>
      </w:r>
    </w:p>
    <w:p>
      <w:r>
        <w:rPr>
          <w:rFonts w:ascii="Times New Roman" w:hAnsi="Times New Roman" w:eastAsia="宋体"/>
          <w:sz w:val="21"/>
        </w:rPr>
        <w:t>每个 base run 生成两张图：方法可见的 declared graph (G_D) 与仅 scorer 可见的 truth graph (G_T)。压力因子包括：随机漏边、伪边、高阶 hyperedge 遗漏、错误 root split、错误 root merge、延迟 disclosure、过期 edge 和 context mismatch。报告 registry coverage、false-link rate、class reconstruction error 及其对 belief/action 的剂量反应。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3 Phase 0：参考实现与资格门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3.1 必做实现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完整 INITIALIZE、SUPERSEDE、MERGE、RETIRE、REPLAY、SAFE_HALT 状态机；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root-level mapper 与 versioned bundle replacement；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Atomic ledger/budget/gate/action transaction；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scorer-only oracle 与独立第二实现；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property-based lifecycle trace generator；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physical truth 与 operational payload 的权限负测；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crash/restart、CAS retry、乱序和 cap overflow 注入。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3.2 Phase 0 通过门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exact retry、alias 和 replay 不增加 contribution；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post-commit merge 恢复 unique-root oracle；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online 与 checkpoint replay bitwise/semantic equivalent；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mandatory rebuild 失败进入 UNAVAILABLE/SAFE_HALT，不继续服务旧 belief；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第二实现与主实现对冻结 trace differential agreement 100%；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credential、truth path、candidate write 与 `D_test` namespace 审计均为零违规；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`pip check`、unit/property/integration、reproducibility 和 artifact hash 全通过。</w:t>
      </w:r>
    </w:p>
    <w:p>
      <w:r>
        <w:rPr>
          <w:rFonts w:ascii="Times New Roman" w:hAnsi="Times New Roman" w:eastAsia="宋体"/>
          <w:sz w:val="21"/>
        </w:rPr>
        <w:t>任一核心 invariant 失败即停止，不得以“实现缺陷与理论无关”为由继续性能试验。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4 Phase 1：Minimal Mechanism Experiment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4.1 方法面板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A：完整生命周期组合前治理；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B0：naïve normalized conjunctive；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B1：simple event-sourced exactly-once，仅以消息 id/version 去重；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B2：provenance/lineage-only，尽量复现 PRIMEX-PEV/祖先删除语义；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B3：cautious rule；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B4：partial-dependence/ER-TLD 型强近邻；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B5：unknown-correlation conservative baseline（适用公共输出时）。</w:t>
      </w:r>
    </w:p>
    <w:p>
      <w:r>
        <w:rPr>
          <w:rFonts w:ascii="Times New Roman" w:hAnsi="Times New Roman" w:eastAsia="宋体"/>
          <w:sz w:val="21"/>
        </w:rPr>
        <w:t>所有方法读取同一事件流、资源 cap、deadline 与 action schema；不得让 A 独享 truth 或更宽资源。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4.2 操纵矩阵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因子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水平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b/>
                <w:sz w:val="17"/>
              </w:rPr>
              <w:t>目的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duplicate class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exact retry / distinct-key same acquisition / derived view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区分 transport 与 epistemic duplicate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equivalence timing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pre-commit / post-commit short / post-commit long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检验 rollback/rebuild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lifecycle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supersede / merge / retire / replay combinations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覆盖核心状态机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independent information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0 / 1 / multiple new roots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防止“拒绝一切”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registry error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missing / spurious / missing hyperedge / wrong merge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测条件保证脆弱性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Eventifier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reference / over-split / over-merge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测 root 粒度敏感性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conflict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low / directional / high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避免只在无冲突例中获益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load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nominal / cap-near / overflow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宋体"/>
                <w:sz w:val="17"/>
              </w:rPr>
              <w:t>检验 fail-stop 与资源成本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1"/>
        </w:rPr>
        <w:t>MME cell 数在实现完成后由 pairwise coverage 与边界覆盖确定，不使用“至少 5–6 个拓扑”这类无统计依据的常数。MME 的 replicate 用于机制曲线和不确定性区间，不作为确认性功效承诺。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4.3 公共指标</w:t>
      </w:r>
    </w:p>
    <w:p>
      <w:r>
        <w:rPr>
          <w:rFonts w:ascii="Times New Roman" w:hAnsi="Times New Roman" w:eastAsia="宋体"/>
          <w:sz w:val="21"/>
        </w:rPr>
        <w:t>设 (D_k) 为不增加新物理信息的重复/派生 views，(I_k) 为 oracle 证明独立的新 roots：</w:t>
      </w:r>
    </w:p>
    <w:p>
      <w:pPr>
        <w:spacing w:before="100" w:after="100"/>
        <w:ind w:firstLine="0"/>
        <w:jc w:val="center"/>
      </w:pPr>
      <w:r>
        <w:rPr>
          <w:rFonts w:ascii="Cambria Math" w:hAnsi="Cambria Math" w:eastAsia="Cambria Math"/>
          <w:sz w:val="21"/>
        </w:rPr>
        <w:t>DRI_m(k)=d\{g_m(X\cup D_k),g_m(X)\},</w:t>
      </w:r>
    </w:p>
    <w:p>
      <w:pPr>
        <w:spacing w:before="100" w:after="100"/>
        <w:ind w:firstLine="0"/>
        <w:jc w:val="center"/>
      </w:pPr>
      <w:r>
        <w:rPr>
          <w:rFonts w:ascii="Cambria Math" w:hAnsi="Cambria Math" w:eastAsia="Cambria Math"/>
          <w:sz w:val="21"/>
        </w:rPr>
        <w:t>SRI_m(k)=d\{g_m(X\cup I_k),g_m(X)\}.</w:t>
      </w:r>
    </w:p>
    <w:p>
      <w:r>
        <w:rPr>
          <w:rFonts w:ascii="Times New Roman" w:hAnsi="Times New Roman" w:eastAsia="宋体"/>
          <w:sz w:val="21"/>
        </w:rPr>
        <w:t>主评分尺度：与 unique-root oracle 的 belief (L_1)/Jousselme distance、credal risk deviation、action-set disagreement、post-merge recovery error。约束指标：SRI、benign availability、false block、wrong-direction action、restricted delay、P99、memory、replay cost、crash/OOM。A 的 internal ledger count 只作 debug，不进入主要比较。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4.4 MME 晋级门</w:t>
      </w:r>
    </w:p>
    <w:p>
      <w:r>
        <w:rPr>
          <w:rFonts w:ascii="Times New Roman" w:hAnsi="Times New Roman" w:eastAsia="宋体"/>
          <w:sz w:val="21"/>
        </w:rPr>
        <w:t>A 必须在 post-commit distinct-key duplicate 上相对 B1/B2 显著降低 oracle deviation，并在独立信息条件下保持预签 SRI、availability、delay 和资源 no-harm。若效应仅存在于 A 自己定义的 root count，或只靠更高 abstention 获得，M1 失败。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5 Phase 2：确认性试验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5.1 目标总体与拓扑</w:t>
      </w:r>
    </w:p>
    <w:p>
      <w:r>
        <w:rPr>
          <w:rFonts w:ascii="Times New Roman" w:hAnsi="Times New Roman" w:eastAsia="宋体"/>
          <w:sz w:val="21"/>
        </w:rPr>
        <w:t>两个 barrier-explicit exothermic CSTR 是固定 scientific strata；目标只覆盖预签加权混合。每拓扑分别报告主效应与 topology×method interaction。不得把两个拓扑称为随机抽取的拓扑总体。未来若要随机效应，必须有冻结 topology generator、独立抽样、足够 cluster 和 held-out family。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5.2 G* 与稳健性基线</w:t>
      </w:r>
    </w:p>
    <w:p>
      <w:r>
        <w:rPr>
          <w:rFonts w:ascii="Times New Roman" w:hAnsi="Times New Roman" w:eastAsia="宋体"/>
          <w:sz w:val="21"/>
        </w:rPr>
        <w:t>G</w:t>
      </w:r>
      <w:r>
        <w:rPr>
          <w:rFonts w:ascii="Times New Roman" w:hAnsi="Times New Roman" w:eastAsia="宋体"/>
          <w:i/>
          <w:sz w:val="21"/>
        </w:rPr>
        <w:t xml:space="preserve"> 在独立 `D_select` 上按冻结 loss、service constraints 与 tie-break 选择；确认分析条件化于唯一 G</w:t>
      </w:r>
      <w:r>
        <w:rPr>
          <w:rFonts w:ascii="Times New Roman" w:hAnsi="Times New Roman" w:eastAsia="宋体"/>
          <w:sz w:val="21"/>
        </w:rPr>
        <w:t>。每个 power replicate 重做完整选择。另固定三个 sentinel baselines，作 Holm 调整的支持性比较。winner stability 未达到预签阈值时，当前版本停止并升版；不得在 test 后改 G*。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5.3 终点与 IUT</w:t>
      </w:r>
    </w:p>
    <w:p>
      <w:r>
        <w:rPr>
          <w:rFonts w:ascii="Times New Roman" w:hAnsi="Times New Roman" w:eastAsia="宋体"/>
          <w:sz w:val="21"/>
        </w:rPr>
        <w:t>共同主终点：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(Y^{UF}=I(Y^{US}\lor Y^F))，同时对 unsafe-SAFE 与方法失败分别设 no-harm；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restricted correct-action delay，错误方向、超时、no-action 和窗内失败均不能完成终点。</w:t>
      </w:r>
    </w:p>
    <w:p>
      <w:r>
        <w:rPr>
          <w:rFonts w:ascii="Times New Roman" w:hAnsi="Times New Roman" w:eastAsia="宋体"/>
          <w:sz w:val="21"/>
        </w:rPr>
        <w:t>绑定门包括 benign SAFE availability、miss mass、误升级、拒判、barrier calibration、demand sensitivity、P99、memory/OOM、update/query budget 和 SAFE invariant。通过事件为所有事件交集；不把边际功效相乘。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5.4 ActionTruth</w:t>
      </w:r>
    </w:p>
    <w:p>
      <w:r>
        <w:rPr>
          <w:rFonts w:ascii="Times New Roman" w:hAnsi="Times New Roman" w:eastAsia="宋体"/>
          <w:sz w:val="21"/>
        </w:rPr>
        <w:t>独立过程安全团队在任何 test seed 前双签 `ActionTruthRuleManifest`、允许集合、deadline、generator/scorer code/hash 和分歧规则。每个 bundle 的 manifest 由冻结规则自动生成；执行 100% 机器资格和按 severity×topology×path 分层的预签人工抽审。禁止逐 bundle 人工改标签，也禁止看方法输出后修订。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6 功效、样本量与预算门</w:t>
      </w:r>
    </w:p>
    <w:p>
      <w:r>
        <w:rPr>
          <w:rFonts w:ascii="Times New Roman" w:hAnsi="Times New Roman" w:eastAsia="宋体"/>
          <w:sz w:val="21"/>
        </w:rPr>
        <w:t>联合 kernel 同时模拟 paired binary table、delay/miss mass、跨终点相关、batch ICC、失败率、CCF 权重、G* 选择和所有资格门。每个 Monte Carlo replicate 执行完整 pipeline；独立 power-confirm seed 只复核一次。</w:t>
      </w:r>
    </w:p>
    <w:p>
      <w:r>
        <w:rPr>
          <w:rFonts w:ascii="Times New Roman" w:hAnsi="Times New Roman" w:eastAsia="宋体"/>
          <w:sz w:val="21"/>
        </w:rPr>
        <w:t>IUT 的各单侧组件使用 (alpha=0.025)，不再对 IUT 组件做 Bonferroni 拆分。支持性 sentinel 比较使用 Holm。若 nuisance 依据不足，先报告 MDE/power surface，不猜正向效应。</w:t>
      </w:r>
    </w:p>
    <w:p>
      <w:r>
        <w:rPr>
          <w:rFonts w:ascii="Times New Roman" w:hAnsi="Times New Roman" w:eastAsia="宋体"/>
          <w:sz w:val="21"/>
        </w:rPr>
        <w:t>预算门：在冻结 nuisance grid 上必须存在 (n\le n_{max,budget}) 使 joint pass probability 下限达到目标；否则 `C-System=NOT_TESTED`，不生成 `D_test`。pilot 后若失败，只能停止、升版和独立确认，不能删终点或放宽 no-harm margin。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7 资源与执行顺序</w:t>
      </w:r>
    </w:p>
    <w:p>
      <w:r>
        <w:rPr>
          <w:rFonts w:ascii="Times New Roman" w:hAnsi="Times New Roman" w:eastAsia="宋体"/>
          <w:sz w:val="21"/>
        </w:rPr>
        <w:t>远端实际 GPU 为 L20，但当前共享负载高且存储自由空间低于 G0 阈值。执行顺序：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清理或扩容后重新签署 server profile；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闭合真实 G1 生成器资格与物理/权限隔离；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闭合完整 G2/P0 生命周期 runtime 与第二实现；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运行 Phase 1 MME，输出独立 verdict；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只有 M1 通过才准备 G3/power/pilot；</w:t>
      </w:r>
    </w:p>
    <w:p>
      <w:pPr>
        <w:pStyle w:val="ListNumber"/>
        <w:ind w:firstLine="0"/>
      </w:pPr>
      <w:r>
        <w:rPr>
          <w:rFonts w:ascii="Times New Roman" w:hAnsi="Times New Roman" w:eastAsia="宋体"/>
          <w:sz w:val="21"/>
        </w:rPr>
        <w:t>pilot 成功且所有 manifest/hash/ACL 通过后，才讨论 `D_test` 授权。</w:t>
      </w:r>
    </w:p>
    <w:p>
      <w:r>
        <w:rPr>
          <w:rFonts w:ascii="Times New Roman" w:hAnsi="Times New Roman" w:eastAsia="宋体"/>
          <w:sz w:val="21"/>
        </w:rPr>
        <w:t>任何输出路径非空、出现 `D_test` 字样、candidate 可写、truth 可被方法读取、磁盘/内存不足、未分类系统失败或资源日志缺失均立即退出。</w:t>
      </w:r>
    </w:p>
    <w:p>
      <w:pPr>
        <w:pStyle w:val="Heading1"/>
      </w:pPr>
      <w:r>
        <w:rPr>
          <w:rFonts w:ascii="Times New Roman" w:hAnsi="Times New Roman" w:eastAsia="宋体"/>
          <w:sz w:val="28"/>
        </w:rPr>
        <w:t>8 产出清单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`Phase0QualificationManifest.json` 与第二实现 differential report；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`MMEPreregistration.json`、oracle truth hash、公共 event bundles；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DRI/SRI、oracle deviation、availability/action/resource tables；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registry/Eventifier stress curves；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`GStarSelectionManifest.json` 与 winner-stability report；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`JointPowerSurface.json`、独立 power-confirm report；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`ActionTruthRuleManifest.json` 与自动 bundle audit；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完整 provenance、environment freeze、container digest、seed tree 和 run manifest；</w:t>
      </w:r>
    </w:p>
    <w:p>
      <w:pPr>
        <w:pStyle w:val="ListBullet"/>
        <w:ind w:firstLine="0"/>
      </w:pPr>
      <w:r>
        <w:rPr>
          <w:rFonts w:ascii="Times New Roman" w:hAnsi="Times New Roman" w:eastAsia="宋体"/>
          <w:sz w:val="21"/>
        </w:rPr>
        <w:t>一份明确的 GO/NO-GO 编辑结论，不用“趋势良好”替代门。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646464"/>
        <w:sz w:val="17"/>
      </w:rPr>
      <w:t>实验设计与执行计划 v6.8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4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ind w:firstLine="0"/>
      <w:outlineLvl w:val="3"/>
    </w:pPr>
    <w:rPr>
      <w:rFonts w:asciiTheme="majorHAnsi" w:eastAsiaTheme="majorEastAsia" w:hAnsiTheme="majorHAnsi" w:cstheme="majorBidi" w:ascii="Arial" w:hAnsi="Arial" w:eastAsia="黑体"/>
      <w:b/>
      <w:bCs/>
      <w:i/>
      <w:iCs/>
      <w:color w:val="44546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Arial" w:hAnsi="Arial" w:eastAsia="黑体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  <w:ind w:firstLine="0"/>
      <w:jc w:val="center"/>
    </w:pPr>
    <w:rPr>
      <w:rFonts w:asciiTheme="majorHAnsi" w:eastAsiaTheme="majorEastAsia" w:hAnsiTheme="majorHAnsi" w:cstheme="majorBidi" w:ascii="Times New Roman" w:hAnsi="Times New Roman" w:eastAsia="宋体"/>
      <w:i/>
      <w:iCs/>
      <w:color w:val="44546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Times New Roman" w:hAnsi="Times New Roman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Times New Roman" w:hAnsi="Times New Roman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实验设计与执行计划 v6.8</dc:title>
  <dc:subject>Information Fusion pre-experiment manuscript and review package</dc:subject>
  <dc:creator>Project authors</dc:creator>
  <cp:keywords/>
  <dc:description>Generated from version-controlled Markdown; all text and equations remain editable.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