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sz w:val="36"/>
        </w:rPr>
        <w:t>谱系依赖信念融合的生命周期一致组合前治理：注册表相对准入与根级贡献守恒</w:t>
      </w:r>
    </w:p>
    <w:p>
      <w:pPr>
        <w:pStyle w:val="Subtitle"/>
      </w:pPr>
      <w:r>
        <w:rPr>
          <w:rFonts w:ascii="Times New Roman" w:hAnsi="Times New Roman" w:eastAsia="宋体"/>
          <w:sz w:val="22"/>
        </w:rPr>
        <w:t>Lifecycle-Consistent Pre-Combination Governance for Lineage-Dependent Belief Fusion: Registry-Relative Admission and Root-Level Contribution Conservation</w:t>
      </w:r>
    </w:p>
    <w:p>
      <w:pPr>
        <w:pStyle w:val="Heading1"/>
      </w:pPr>
      <w:r>
        <w:rPr>
          <w:rFonts w:ascii="Times New Roman" w:hAnsi="Times New Roman" w:eastAsia="宋体"/>
          <w:sz w:val="28"/>
        </w:rPr>
        <w:t>摘要</w:t>
      </w:r>
    </w:p>
    <w:p>
      <w:r>
        <w:rPr>
          <w:rFonts w:ascii="Times New Roman" w:hAnsi="Times New Roman" w:eastAsia="宋体"/>
          <w:sz w:val="21"/>
        </w:rPr>
        <w:t>多源信念融合系统常把传输重试、派生视图、模型版本和异步重放视为不同消息，但这些消息可能只对应同一次物理采集。现有依赖组合、provenance、谱系编码与 exactly-once 数据处理分别处理相关性、可追踪性、冗余祖先或传输重复，却没有自动规定：当两个已提交根在事后被证明等价，或根发生 supersede、merge、retire 与 replay 时，非幂等信念组合中的认知贡献、预算和安全行动资格应怎样原子重建。本文为此定义一种面向证据组合的 exactly-once 准入语义。它以物理采集事件为根，以独立的物理耦合与观测谱系注册表为组合资格证据，以一次 root-level joint mapping 形成唯一贡献，并以可重放账本在生命周期事件中保持根级贡献守恒。一个最小反例表明，两个具有不同消息键但来自同一采集的简单支持函数即使各被传输层“恰好处理一次”，仍会把质量从 0.80 虚增至 0.96；事后等价合并需要撤销并重建认知状态，而不仅是消息去重。本文只给出注册表相对的条件保证，不把未知依赖自动判为独立，也不把接受分支的 (1/\delta) 界作为主要理论创新。当前 SHK-000 仅完成 25 项工程测试与 16/16 窄 canary，资源门仍失败，未形成性能证据。本文进一步给出外部 oracle 驱动的最小机制实验与门控确认性设计，用于区分真实重复抑制、错误阻断和“永远拒绝”。</w:t>
      </w:r>
    </w:p>
    <w:p>
      <w:r>
        <w:rPr>
          <w:rFonts w:ascii="Times New Roman" w:hAnsi="Times New Roman" w:eastAsia="宋体"/>
          <w:sz w:val="21"/>
        </w:rPr>
        <w:t>关键词：信念函数；证据谱系；组合前治理；exactly-once；生命周期一致性；过程安全</w:t>
      </w:r>
    </w:p>
    <w:p>
      <w:pPr>
        <w:pStyle w:val="Heading1"/>
      </w:pPr>
      <w:r>
        <w:rPr>
          <w:rFonts w:ascii="Times New Roman" w:hAnsi="Times New Roman" w:eastAsia="宋体"/>
          <w:sz w:val="28"/>
        </w:rPr>
        <w:t>Abstract</w:t>
      </w:r>
    </w:p>
    <w:p>
      <w:r>
        <w:rPr>
          <w:rFonts w:ascii="Times New Roman" w:hAnsi="Times New Roman" w:eastAsia="宋体"/>
          <w:sz w:val="21"/>
        </w:rPr>
        <w:t>Multi-source belief-fusion systems often treat retries, derived views, model versions, and asynchronous replays as distinct messages although they may originate from one physical acquisition. Existing dependence-aware combination, provenance, lineage encoding, and exactly-once stream processing address correlation, traceability, redundant ancestry, or transport duplication, but they do not by themselves specify how epistemic contribution, commitment budgets, and safety-action eligibility should be rebuilt when committed roots later become equivalent or undergo supersession, merge, retirement, and replay. We define evidence-specific exactly-once admission semantics for non-idempotent belief combination. Physical acquisition events act as roots; separate physical-coupling and observation-lineage registries provide positive, registry-relative admission evidence; a single root-level joint mapper produces one contribution; and a replayable ledger conserves that contribution across lifecycle events. A minimal counterexample shows that two distinct transport keys from one acquisition can each be processed exactly once while duplicate simple-support functions inflate mass from 0.80 to 0.96. Correcting the state after post-commit equivalence therefore requires epistemic rollback and deterministic reconstruction, not message deduplication alone. Guarantees remain conditional on registry coverage, eventification, and mapping validity. The accepted-branch (1/\delta) bound is treated as supporting analysis rather than the main novelty. The current SHK-000 run provides only narrow engineering qualification: 25 tests and 16/16 canary checks passed, while the resource gate failed and no performance claim is supported. We therefore specify an external-oracle minimal mechanism experiment and a gated confirmatory design that jointly measure duplicate suppression, responsiveness to genuinely independent evidence, availability, and decision consequences.</w:t>
      </w:r>
    </w:p>
    <w:p>
      <w:r>
        <w:rPr>
          <w:rFonts w:ascii="Times New Roman" w:hAnsi="Times New Roman" w:eastAsia="宋体"/>
          <w:sz w:val="21"/>
        </w:rPr>
        <w:t>Keywords: belief functions; evidence lineage; pre-combination governance; exactly-once semantics; lifecycle consistency; process safety</w:t>
      </w:r>
    </w:p>
    <w:p>
      <w:pPr>
        <w:pStyle w:val="Heading1"/>
      </w:pPr>
      <w:r>
        <w:rPr>
          <w:rFonts w:ascii="Times New Roman" w:hAnsi="Times New Roman" w:eastAsia="宋体"/>
          <w:sz w:val="28"/>
        </w:rPr>
        <w:t>符号与缩略语</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9EAF7"/>
          </w:tcPr>
          <w:p>
            <w:pPr>
              <w:spacing w:after="0" w:line="240" w:lineRule="auto"/>
              <w:ind w:firstLine="0"/>
            </w:pPr>
            <w:r>
              <w:rPr>
                <w:rFonts w:ascii="Times New Roman" w:hAnsi="Times New Roman" w:eastAsia="宋体"/>
                <w:b/>
                <w:sz w:val="17"/>
              </w:rPr>
              <w:t>记号</w:t>
            </w:r>
          </w:p>
        </w:tc>
        <w:tc>
          <w:tcPr>
            <w:tcW w:type="dxa" w:w="4592"/>
            <w:vAlign w:val="center"/>
            <w:shd w:fill="D9EAF7"/>
          </w:tcPr>
          <w:p>
            <w:pPr>
              <w:spacing w:after="0" w:line="240" w:lineRule="auto"/>
              <w:ind w:firstLine="0"/>
            </w:pPr>
            <w:r>
              <w:rPr>
                <w:rFonts w:ascii="Times New Roman" w:hAnsi="Times New Roman" w:eastAsia="宋体"/>
                <w:b/>
                <w:sz w:val="17"/>
              </w:rPr>
              <w:t>含义</w:t>
            </w:r>
          </w:p>
        </w:tc>
      </w:tr>
      <w:tr>
        <w:tc>
          <w:tcPr>
            <w:tcW w:type="dxa" w:w="4592"/>
            <w:vAlign w:val="center"/>
          </w:tcPr>
          <w:p>
            <w:pPr>
              <w:spacing w:after="0" w:line="240" w:lineRule="auto"/>
              <w:ind w:firstLine="0"/>
            </w:pPr>
            <w:r>
              <w:rPr>
                <w:rFonts w:ascii="Times New Roman" w:hAnsi="Times New Roman" w:eastAsia="宋体"/>
                <w:sz w:val="17"/>
              </w:rPr>
              <w:t>root / view</w:t>
            </w:r>
          </w:p>
        </w:tc>
        <w:tc>
          <w:tcPr>
            <w:tcW w:type="dxa" w:w="4592"/>
            <w:vAlign w:val="center"/>
          </w:tcPr>
          <w:p>
            <w:pPr>
              <w:spacing w:after="0" w:line="240" w:lineRule="auto"/>
              <w:ind w:firstLine="0"/>
            </w:pPr>
            <w:r>
              <w:rPr>
                <w:rFonts w:ascii="Times New Roman" w:hAnsi="Times New Roman" w:eastAsia="宋体"/>
                <w:sz w:val="17"/>
              </w:rPr>
              <w:t>一次物理采集事件 / 由该事件产生的表达、派生或版本化视图</w:t>
            </w:r>
          </w:p>
        </w:tc>
      </w:tr>
      <w:tr>
        <w:tc>
          <w:tcPr>
            <w:tcW w:type="dxa" w:w="4592"/>
            <w:vAlign w:val="center"/>
          </w:tcPr>
          <w:p>
            <w:pPr>
              <w:spacing w:after="0" w:line="240" w:lineRule="auto"/>
              <w:ind w:firstLine="0"/>
            </w:pPr>
            <w:r>
              <w:rPr>
                <w:rFonts w:ascii="Times New Roman" w:hAnsi="Times New Roman" w:eastAsia="宋体"/>
                <w:sz w:val="17"/>
              </w:rPr>
              <w:t>(\mathcal E(r))</w:t>
            </w:r>
          </w:p>
        </w:tc>
        <w:tc>
          <w:tcPr>
            <w:tcW w:type="dxa" w:w="4592"/>
            <w:vAlign w:val="center"/>
          </w:tcPr>
          <w:p>
            <w:pPr>
              <w:spacing w:after="0" w:line="240" w:lineRule="auto"/>
              <w:ind w:firstLine="0"/>
            </w:pPr>
            <w:r>
              <w:rPr>
                <w:rFonts w:ascii="Times New Roman" w:hAnsi="Times New Roman" w:eastAsia="宋体"/>
                <w:sz w:val="17"/>
              </w:rPr>
              <w:t>root (r) 所在的可验证等价类</w:t>
            </w:r>
          </w:p>
        </w:tc>
      </w:tr>
      <w:tr>
        <w:tc>
          <w:tcPr>
            <w:tcW w:type="dxa" w:w="4592"/>
            <w:vAlign w:val="center"/>
          </w:tcPr>
          <w:p>
            <w:pPr>
              <w:spacing w:after="0" w:line="240" w:lineRule="auto"/>
              <w:ind w:firstLine="0"/>
            </w:pPr>
            <w:r>
              <w:rPr>
                <w:rFonts w:ascii="Times New Roman" w:hAnsi="Times New Roman" w:eastAsia="宋体"/>
                <w:sz w:val="17"/>
              </w:rPr>
              <w:t>SafetyArtifactIR</w:t>
            </w:r>
          </w:p>
        </w:tc>
        <w:tc>
          <w:tcPr>
            <w:tcW w:type="dxa" w:w="4592"/>
            <w:vAlign w:val="center"/>
          </w:tcPr>
          <w:p>
            <w:pPr>
              <w:spacing w:after="0" w:line="240" w:lineRule="auto"/>
              <w:ind w:firstLine="0"/>
            </w:pPr>
            <w:r>
              <w:rPr>
                <w:rFonts w:ascii="Times New Roman" w:hAnsi="Times New Roman" w:eastAsia="宋体"/>
                <w:sz w:val="17"/>
              </w:rPr>
              <w:t>过程安全工件经类型检查后的有限语义前端</w:t>
            </w:r>
          </w:p>
        </w:tc>
      </w:tr>
      <w:tr>
        <w:tc>
          <w:tcPr>
            <w:tcW w:type="dxa" w:w="4592"/>
            <w:vAlign w:val="center"/>
          </w:tcPr>
          <w:p>
            <w:pPr>
              <w:spacing w:after="0" w:line="240" w:lineRule="auto"/>
              <w:ind w:firstLine="0"/>
            </w:pPr>
            <w:r>
              <w:rPr>
                <w:rFonts w:ascii="Times New Roman" w:hAnsi="Times New Roman" w:eastAsia="宋体"/>
                <w:sz w:val="17"/>
              </w:rPr>
              <w:t>PCR / OLR</w:t>
            </w:r>
          </w:p>
        </w:tc>
        <w:tc>
          <w:tcPr>
            <w:tcW w:type="dxa" w:w="4592"/>
            <w:vAlign w:val="center"/>
          </w:tcPr>
          <w:p>
            <w:pPr>
              <w:spacing w:after="0" w:line="240" w:lineRule="auto"/>
              <w:ind w:firstLine="0"/>
            </w:pPr>
            <w:r>
              <w:rPr>
                <w:rFonts w:ascii="Times New Roman" w:hAnsi="Times New Roman" w:eastAsia="宋体"/>
                <w:sz w:val="17"/>
              </w:rPr>
              <w:t>PhysicalCouplingRegistry / ObservationLineageRegistry</w:t>
            </w:r>
          </w:p>
        </w:tc>
      </w:tr>
      <w:tr>
        <w:tc>
          <w:tcPr>
            <w:tcW w:type="dxa" w:w="4592"/>
            <w:vAlign w:val="center"/>
          </w:tcPr>
          <w:p>
            <w:pPr>
              <w:spacing w:after="0" w:line="240" w:lineRule="auto"/>
              <w:ind w:firstLine="0"/>
            </w:pPr>
            <w:r>
              <w:rPr>
                <w:rFonts w:ascii="Times New Roman" w:hAnsi="Times New Roman" w:eastAsia="宋体"/>
                <w:sz w:val="17"/>
              </w:rPr>
              <w:t>RootClaimBundle</w:t>
            </w:r>
          </w:p>
        </w:tc>
        <w:tc>
          <w:tcPr>
            <w:tcW w:type="dxa" w:w="4592"/>
            <w:vAlign w:val="center"/>
          </w:tcPr>
          <w:p>
            <w:pPr>
              <w:spacing w:after="0" w:line="240" w:lineRule="auto"/>
              <w:ind w:firstLine="0"/>
            </w:pPr>
            <w:r>
              <w:rPr>
                <w:rFonts w:ascii="Times New Roman" w:hAnsi="Times New Roman" w:eastAsia="宋体"/>
                <w:sz w:val="17"/>
              </w:rPr>
              <w:t>一个 canonical root 经一次联合 mapping 形成的唯一 joint valuation</w:t>
            </w:r>
          </w:p>
        </w:tc>
      </w:tr>
      <w:tr>
        <w:tc>
          <w:tcPr>
            <w:tcW w:type="dxa" w:w="4592"/>
            <w:vAlign w:val="center"/>
          </w:tcPr>
          <w:p>
            <w:pPr>
              <w:spacing w:after="0" w:line="240" w:lineRule="auto"/>
              <w:ind w:firstLine="0"/>
            </w:pPr>
            <w:r>
              <w:rPr>
                <w:rFonts w:ascii="Times New Roman" w:hAnsi="Times New Roman" w:eastAsia="宋体"/>
                <w:sz w:val="17"/>
              </w:rPr>
              <w:t>(\mathsf X_k)</w:t>
            </w:r>
          </w:p>
        </w:tc>
        <w:tc>
          <w:tcPr>
            <w:tcW w:type="dxa" w:w="4592"/>
            <w:vAlign w:val="center"/>
          </w:tcPr>
          <w:p>
            <w:pPr>
              <w:spacing w:after="0" w:line="240" w:lineRule="auto"/>
              <w:ind w:firstLine="0"/>
            </w:pPr>
            <w:r>
              <w:rPr>
                <w:rFonts w:ascii="Times New Roman" w:hAnsi="Times New Roman" w:eastAsia="宋体"/>
                <w:sz w:val="17"/>
              </w:rPr>
              <w:t>belief、registry、ledger、budget、gate 与 rate 的原子系统状态</w:t>
            </w:r>
          </w:p>
        </w:tc>
      </w:tr>
      <w:tr>
        <w:tc>
          <w:tcPr>
            <w:tcW w:type="dxa" w:w="4592"/>
            <w:vAlign w:val="center"/>
          </w:tcPr>
          <w:p>
            <w:pPr>
              <w:spacing w:after="0" w:line="240" w:lineRule="auto"/>
              <w:ind w:firstLine="0"/>
            </w:pPr>
            <w:r>
              <w:rPr>
                <w:rFonts w:ascii="Times New Roman" w:hAnsi="Times New Roman" w:eastAsia="宋体"/>
                <w:sz w:val="17"/>
              </w:rPr>
              <w:t>MME</w:t>
            </w:r>
          </w:p>
        </w:tc>
        <w:tc>
          <w:tcPr>
            <w:tcW w:type="dxa" w:w="4592"/>
            <w:vAlign w:val="center"/>
          </w:tcPr>
          <w:p>
            <w:pPr>
              <w:spacing w:after="0" w:line="240" w:lineRule="auto"/>
              <w:ind w:firstLine="0"/>
            </w:pPr>
            <w:r>
              <w:rPr>
                <w:rFonts w:ascii="Times New Roman" w:hAnsi="Times New Roman" w:eastAsia="宋体"/>
                <w:sz w:val="17"/>
              </w:rPr>
              <w:t>Minimal Mechanism Experiment，非确认性的最小机制实验</w:t>
            </w:r>
          </w:p>
        </w:tc>
      </w:tr>
      <w:tr>
        <w:tc>
          <w:tcPr>
            <w:tcW w:type="dxa" w:w="4592"/>
            <w:vAlign w:val="center"/>
          </w:tcPr>
          <w:p>
            <w:pPr>
              <w:spacing w:after="0" w:line="240" w:lineRule="auto"/>
              <w:ind w:firstLine="0"/>
            </w:pPr>
            <w:r>
              <w:rPr>
                <w:rFonts w:ascii="Times New Roman" w:hAnsi="Times New Roman" w:eastAsia="宋体"/>
                <w:sz w:val="17"/>
              </w:rPr>
              <w:t>DRI / SRI</w:t>
            </w:r>
          </w:p>
        </w:tc>
        <w:tc>
          <w:tcPr>
            <w:tcW w:type="dxa" w:w="4592"/>
            <w:vAlign w:val="center"/>
          </w:tcPr>
          <w:p>
            <w:pPr>
              <w:spacing w:after="0" w:line="240" w:lineRule="auto"/>
              <w:ind w:firstLine="0"/>
            </w:pPr>
            <w:r>
              <w:rPr>
                <w:rFonts w:ascii="Times New Roman" w:hAnsi="Times New Roman" w:eastAsia="宋体"/>
                <w:sz w:val="17"/>
              </w:rPr>
              <w:t>冗余扰动不变性 / 独立信息响应指标</w:t>
            </w:r>
          </w:p>
        </w:tc>
      </w:tr>
      <w:tr>
        <w:tc>
          <w:tcPr>
            <w:tcW w:type="dxa" w:w="4592"/>
            <w:vAlign w:val="center"/>
          </w:tcPr>
          <w:p>
            <w:pPr>
              <w:spacing w:after="0" w:line="240" w:lineRule="auto"/>
              <w:ind w:firstLine="0"/>
            </w:pPr>
            <w:r>
              <w:rPr>
                <w:rFonts w:ascii="Times New Roman" w:hAnsi="Times New Roman" w:eastAsia="宋体"/>
                <w:sz w:val="17"/>
              </w:rPr>
              <w:t>IUT / SESOI</w:t>
            </w:r>
          </w:p>
        </w:tc>
        <w:tc>
          <w:tcPr>
            <w:tcW w:type="dxa" w:w="4592"/>
            <w:vAlign w:val="center"/>
          </w:tcPr>
          <w:p>
            <w:pPr>
              <w:spacing w:after="0" w:line="240" w:lineRule="auto"/>
              <w:ind w:firstLine="0"/>
            </w:pPr>
            <w:r>
              <w:rPr>
                <w:rFonts w:ascii="Times New Roman" w:hAnsi="Times New Roman" w:eastAsia="宋体"/>
                <w:sz w:val="17"/>
              </w:rPr>
              <w:t>交并检验 / 最小业务重要效应</w:t>
            </w:r>
          </w:p>
        </w:tc>
      </w:tr>
      <w:tr>
        <w:tc>
          <w:tcPr>
            <w:tcW w:type="dxa" w:w="4592"/>
            <w:vAlign w:val="center"/>
          </w:tcPr>
          <w:p>
            <w:pPr>
              <w:spacing w:after="0" w:line="240" w:lineRule="auto"/>
              <w:ind w:firstLine="0"/>
            </w:pPr>
            <w:r>
              <w:rPr>
                <w:rFonts w:ascii="Times New Roman" w:hAnsi="Times New Roman" w:eastAsia="宋体"/>
                <w:sz w:val="17"/>
              </w:rPr>
              <w:t>(R_u^-,R_u^+,W_u)</w:t>
            </w:r>
          </w:p>
        </w:tc>
        <w:tc>
          <w:tcPr>
            <w:tcW w:type="dxa" w:w="4592"/>
            <w:vAlign w:val="center"/>
          </w:tcPr>
          <w:p>
            <w:pPr>
              <w:spacing w:after="0" w:line="240" w:lineRule="auto"/>
              <w:ind w:firstLine="0"/>
            </w:pPr>
            <w:r>
              <w:rPr>
                <w:rFonts w:ascii="Times New Roman" w:hAnsi="Times New Roman" w:eastAsia="宋体"/>
                <w:sz w:val="17"/>
              </w:rPr>
              <w:t>效用 (u) 下的风险下界、上界与宽度</w:t>
            </w:r>
          </w:p>
        </w:tc>
      </w:tr>
      <w:tr>
        <w:tc>
          <w:tcPr>
            <w:tcW w:type="dxa" w:w="4592"/>
            <w:vAlign w:val="center"/>
          </w:tcPr>
          <w:p>
            <w:pPr>
              <w:spacing w:after="0" w:line="240" w:lineRule="auto"/>
              <w:ind w:firstLine="0"/>
            </w:pPr>
            <w:r>
              <w:rPr>
                <w:rFonts w:ascii="Times New Roman" w:hAnsi="Times New Roman" w:eastAsia="宋体"/>
                <w:sz w:val="17"/>
              </w:rPr>
              <w:t>(\mathcal A_i^*(t))</w:t>
            </w:r>
          </w:p>
        </w:tc>
        <w:tc>
          <w:tcPr>
            <w:tcW w:type="dxa" w:w="4592"/>
            <w:vAlign w:val="center"/>
          </w:tcPr>
          <w:p>
            <w:pPr>
              <w:spacing w:after="0" w:line="240" w:lineRule="auto"/>
              <w:ind w:firstLine="0"/>
            </w:pPr>
            <w:r>
              <w:rPr>
                <w:rFonts w:ascii="Times New Roman" w:hAnsi="Times New Roman" w:eastAsia="宋体"/>
                <w:sz w:val="17"/>
              </w:rPr>
              <w:t>tick (t) 的可接受安全行动集合</w:t>
            </w:r>
          </w:p>
        </w:tc>
      </w:tr>
    </w:tbl>
    <w:p>
      <w:pPr>
        <w:spacing w:after="0"/>
      </w:pPr>
    </w:p>
    <w:p>
      <w:pPr>
        <w:pStyle w:val="Heading1"/>
      </w:pPr>
      <w:r>
        <w:rPr>
          <w:rFonts w:ascii="Times New Roman" w:hAnsi="Times New Roman" w:eastAsia="宋体"/>
          <w:sz w:val="28"/>
        </w:rPr>
        <w:t>1 引言</w:t>
      </w:r>
    </w:p>
    <w:p>
      <w:r>
        <w:rPr>
          <w:rFonts w:ascii="Times New Roman" w:hAnsi="Times New Roman" w:eastAsia="宋体"/>
          <w:sz w:val="21"/>
        </w:rPr>
        <w:t>动态过程安全融合需要同时处理工艺偏离、屏障状态、报警、检维修、人工记录和派生分析 [3–7], [9–12], [24], [35], [46]。这类输入的困难不只是噪声或冲突：同一物理采集可被多个 adapter、窗口、模型、主体和版本重新表达；两个起初被当作独立的根，也可能在提交后才由校准记录、总线拓扑或审计证据证明同源。对归一合取等非幂等组合，消息被“各处理一次”不等于物理信息“只贡献一次”。</w:t>
      </w:r>
    </w:p>
    <w:p>
      <w:r>
        <w:rPr>
          <w:rFonts w:ascii="Times New Roman" w:hAnsi="Times New Roman" w:eastAsia="宋体"/>
          <w:sz w:val="21"/>
        </w:rPr>
        <w:t>现有研究已经覆盖依赖证据、部分依赖、cautious rule、未知相关、来源行为解释和冲突处置 [17–23], [25], [27], [30–34], [37–44]。Yu 等利用 provenance 避免 Dempster–Shafer 信任评估中的 double counting [26]；Kowalski 与 Martin 跟踪 belief-function combination 的 provenance [13]；PRIMEX-PEV 编码分布式融合谱系并消除冗余祖先 [36]。流处理 exactly-once 研究则强调事件、状态和重放的一致提交 [45]。这些成果构成本文的直接近邻，因此本文不把 provenance、去重、event sourcing、Dempster 组合或“只计一次”单独宣称为新颖。</w:t>
      </w:r>
    </w:p>
    <w:p>
      <w:r>
        <w:rPr>
          <w:rFonts w:ascii="Times New Roman" w:hAnsi="Times New Roman" w:eastAsia="宋体"/>
          <w:sz w:val="21"/>
        </w:rPr>
        <w:t>尚缺的对象是</w:t>
      </w:r>
      <w:r>
        <w:rPr>
          <w:rFonts w:ascii="Times New Roman" w:hAnsi="Times New Roman" w:eastAsia="宋体"/>
          <w:b/>
          <w:sz w:val="21"/>
        </w:rPr>
        <w:t>信念组合特有的生命周期一致准入语义</w:t>
      </w:r>
      <w:r>
        <w:rPr>
          <w:rFonts w:ascii="Times New Roman" w:hAnsi="Times New Roman" w:eastAsia="宋体"/>
          <w:sz w:val="21"/>
        </w:rPr>
        <w:t>：若 post-commit root equivalence、version replacement、merge、retire 或 replay 改变了“哪些消息代表同一认知贡献”，系统必须同步重建 belief、贡献账本、承诺预算、可用性和安全行动资格。普通 transport idempotency 能阻止同一键重复提交，却不能决定两个不同键是否是同一物理信息；provenance 能记录来源，却不必然规定等价发现后的原子撤销与重建；依赖组合规则能保守合成，却不负责 root 身份和生命周期事务。</w:t>
      </w:r>
    </w:p>
    <w:p>
      <w:r>
        <w:rPr>
          <w:rFonts w:ascii="Times New Roman" w:hAnsi="Times New Roman" w:eastAsia="宋体"/>
          <w:sz w:val="21"/>
        </w:rPr>
        <w:t>本文回答三个问题：</w:t>
      </w:r>
    </w:p>
    <w:p>
      <w:pPr>
        <w:pStyle w:val="ListNumber"/>
        <w:ind w:firstLine="0"/>
      </w:pPr>
      <w:r>
        <w:rPr>
          <w:rFonts w:ascii="Times New Roman" w:hAnsi="Times New Roman" w:eastAsia="宋体"/>
          <w:sz w:val="21"/>
        </w:rPr>
        <w:t>如何区分 transport exactly-once 与 epistemic exactly-once，并给出普通去重无法处理的最小反例？</w:t>
      </w:r>
    </w:p>
    <w:p>
      <w:pPr>
        <w:pStyle w:val="ListNumber"/>
        <w:ind w:firstLine="0"/>
      </w:pPr>
      <w:r>
        <w:rPr>
          <w:rFonts w:ascii="Times New Roman" w:hAnsi="Times New Roman" w:eastAsia="宋体"/>
          <w:sz w:val="21"/>
        </w:rPr>
        <w:t>如何在未知依赖保持 UNKNOWN 的前提下，只凭正向、可审计且声明完备的证据准入 root contribution，并在生命周期事件中保持贡献守恒？</w:t>
      </w:r>
    </w:p>
    <w:p>
      <w:pPr>
        <w:pStyle w:val="ListNumber"/>
        <w:ind w:firstLine="0"/>
      </w:pPr>
      <w:r>
        <w:rPr>
          <w:rFonts w:ascii="Times New Roman" w:hAnsi="Times New Roman" w:eastAsia="宋体"/>
          <w:sz w:val="21"/>
        </w:rPr>
        <w:t>如何用不读取本文内部 ledger 的外部 oracle 验证重复抑制、独立信息响应、错误阻断和决策后果，而不是用本文自己的表示为自己评分？</w:t>
      </w:r>
    </w:p>
    <w:p>
      <w:r>
        <w:rPr>
          <w:rFonts w:ascii="Times New Roman" w:hAnsi="Times New Roman" w:eastAsia="宋体"/>
          <w:sz w:val="21"/>
        </w:rPr>
        <w:t>本文贡献及其当前证据状态如下。</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spacing w:after="0" w:line="240" w:lineRule="auto"/>
              <w:ind w:firstLine="0"/>
            </w:pPr>
            <w:r>
              <w:rPr>
                <w:rFonts w:ascii="Times New Roman" w:hAnsi="Times New Roman" w:eastAsia="宋体"/>
                <w:b/>
                <w:sz w:val="17"/>
              </w:rPr>
              <w:t>贡献</w:t>
            </w:r>
          </w:p>
        </w:tc>
        <w:tc>
          <w:tcPr>
            <w:tcW w:type="dxa" w:w="3061"/>
            <w:vAlign w:val="center"/>
            <w:shd w:fill="D9EAF7"/>
          </w:tcPr>
          <w:p>
            <w:pPr>
              <w:spacing w:after="0" w:line="240" w:lineRule="auto"/>
              <w:ind w:firstLine="0"/>
            </w:pPr>
            <w:r>
              <w:rPr>
                <w:rFonts w:ascii="Times New Roman" w:hAnsi="Times New Roman" w:eastAsia="宋体"/>
                <w:b/>
                <w:sz w:val="17"/>
              </w:rPr>
              <w:t>内容</w:t>
            </w:r>
          </w:p>
        </w:tc>
        <w:tc>
          <w:tcPr>
            <w:tcW w:type="dxa" w:w="3061"/>
            <w:vAlign w:val="center"/>
            <w:shd w:fill="D9EAF7"/>
          </w:tcPr>
          <w:p>
            <w:pPr>
              <w:spacing w:after="0" w:line="240" w:lineRule="auto"/>
              <w:ind w:firstLine="0"/>
            </w:pPr>
            <w:r>
              <w:rPr>
                <w:rFonts w:ascii="Times New Roman" w:hAnsi="Times New Roman" w:eastAsia="宋体"/>
                <w:b/>
                <w:sz w:val="17"/>
              </w:rPr>
              <w:t>当前状态</w:t>
            </w:r>
          </w:p>
        </w:tc>
      </w:tr>
      <w:tr>
        <w:tc>
          <w:tcPr>
            <w:tcW w:type="dxa" w:w="3061"/>
            <w:vAlign w:val="center"/>
          </w:tcPr>
          <w:p>
            <w:pPr>
              <w:spacing w:after="0" w:line="240" w:lineRule="auto"/>
              <w:ind w:firstLine="0"/>
            </w:pPr>
            <w:r>
              <w:rPr>
                <w:rFonts w:ascii="Times New Roman" w:hAnsi="Times New Roman" w:eastAsia="宋体"/>
                <w:sz w:val="17"/>
              </w:rPr>
              <w:t>C1：fusion-specific exactly-once semantics</w:t>
            </w:r>
          </w:p>
        </w:tc>
        <w:tc>
          <w:tcPr>
            <w:tcW w:type="dxa" w:w="3061"/>
            <w:vAlign w:val="center"/>
          </w:tcPr>
          <w:p>
            <w:pPr>
              <w:spacing w:after="0" w:line="240" w:lineRule="auto"/>
              <w:ind w:firstLine="0"/>
            </w:pPr>
            <w:r>
              <w:rPr>
                <w:rFonts w:ascii="Times New Roman" w:hAnsi="Times New Roman" w:eastAsia="宋体"/>
                <w:sz w:val="17"/>
              </w:rPr>
              <w:t>把 canonical root 的唯一认知贡献、post-commit equivalence、supersede、merge、retire、replay、预算与动作资格放入一个原子状态转换合同</w:t>
            </w:r>
          </w:p>
        </w:tc>
        <w:tc>
          <w:tcPr>
            <w:tcW w:type="dxa" w:w="3061"/>
            <w:vAlign w:val="center"/>
          </w:tcPr>
          <w:p>
            <w:pPr>
              <w:spacing w:after="0" w:line="240" w:lineRule="auto"/>
              <w:ind w:firstLine="0"/>
            </w:pPr>
            <w:r>
              <w:rPr>
                <w:rFonts w:ascii="Times New Roman" w:hAnsi="Times New Roman" w:eastAsia="宋体"/>
                <w:b/>
                <w:sz w:val="17"/>
              </w:rPr>
              <w:t>规范化并有窄性质测试；尚未获得完整独立实现验证</w:t>
            </w:r>
          </w:p>
        </w:tc>
      </w:tr>
      <w:tr>
        <w:tc>
          <w:tcPr>
            <w:tcW w:type="dxa" w:w="3061"/>
            <w:vAlign w:val="center"/>
          </w:tcPr>
          <w:p>
            <w:pPr>
              <w:spacing w:after="0" w:line="240" w:lineRule="auto"/>
              <w:ind w:firstLine="0"/>
            </w:pPr>
            <w:r>
              <w:rPr>
                <w:rFonts w:ascii="Times New Roman" w:hAnsi="Times New Roman" w:eastAsia="宋体"/>
                <w:sz w:val="17"/>
              </w:rPr>
              <w:t>C2：正证据、注册表相对的组合前准入</w:t>
            </w:r>
          </w:p>
        </w:tc>
        <w:tc>
          <w:tcPr>
            <w:tcW w:type="dxa" w:w="3061"/>
            <w:vAlign w:val="center"/>
          </w:tcPr>
          <w:p>
            <w:pPr>
              <w:spacing w:after="0" w:line="240" w:lineRule="auto"/>
              <w:ind w:firstLine="0"/>
            </w:pPr>
            <w:r>
              <w:rPr>
                <w:rFonts w:ascii="Times New Roman" w:hAnsi="Times New Roman" w:eastAsia="宋体"/>
                <w:sz w:val="17"/>
              </w:rPr>
              <w:t>PCR 与 OLR 分离物理耦合和生成谱系；只有覆盖声明图的集合级证书可准入，缺失为 UNKNOWN</w:t>
            </w:r>
          </w:p>
        </w:tc>
        <w:tc>
          <w:tcPr>
            <w:tcW w:type="dxa" w:w="3061"/>
            <w:vAlign w:val="center"/>
          </w:tcPr>
          <w:p>
            <w:pPr>
              <w:spacing w:after="0" w:line="240" w:lineRule="auto"/>
              <w:ind w:firstLine="0"/>
            </w:pPr>
            <w:r>
              <w:rPr>
                <w:rFonts w:ascii="Times New Roman" w:hAnsi="Times New Roman" w:eastAsia="宋体"/>
                <w:b/>
                <w:sz w:val="17"/>
              </w:rPr>
              <w:t>条件命题；不保证真实世界注册表完备</w:t>
            </w:r>
          </w:p>
        </w:tc>
      </w:tr>
      <w:tr>
        <w:tc>
          <w:tcPr>
            <w:tcW w:type="dxa" w:w="3061"/>
            <w:vAlign w:val="center"/>
          </w:tcPr>
          <w:p>
            <w:pPr>
              <w:spacing w:after="0" w:line="240" w:lineRule="auto"/>
              <w:ind w:firstLine="0"/>
            </w:pPr>
            <w:r>
              <w:rPr>
                <w:rFonts w:ascii="Times New Roman" w:hAnsi="Times New Roman" w:eastAsia="宋体"/>
                <w:sz w:val="17"/>
              </w:rPr>
              <w:t>C3：表示中立的证伪路径</w:t>
            </w:r>
          </w:p>
        </w:tc>
        <w:tc>
          <w:tcPr>
            <w:tcW w:type="dxa" w:w="3061"/>
            <w:vAlign w:val="center"/>
          </w:tcPr>
          <w:p>
            <w:pPr>
              <w:spacing w:after="0" w:line="240" w:lineRule="auto"/>
              <w:ind w:firstLine="0"/>
            </w:pPr>
            <w:r>
              <w:rPr>
                <w:rFonts w:ascii="Times New Roman" w:hAnsi="Times New Roman" w:eastAsia="宋体"/>
                <w:sz w:val="17"/>
              </w:rPr>
              <w:t>以外部 latent acquisition/ancestry oracle 构造 MME，并以 availability、false block、正确行动和资源门约束确认性主张</w:t>
            </w:r>
          </w:p>
        </w:tc>
        <w:tc>
          <w:tcPr>
            <w:tcW w:type="dxa" w:w="3061"/>
            <w:vAlign w:val="center"/>
          </w:tcPr>
          <w:p>
            <w:pPr>
              <w:spacing w:after="0" w:line="240" w:lineRule="auto"/>
              <w:ind w:firstLine="0"/>
            </w:pPr>
            <w:r>
              <w:rPr>
                <w:rFonts w:ascii="Times New Roman" w:hAnsi="Times New Roman" w:eastAsia="宋体"/>
                <w:b/>
                <w:sz w:val="17"/>
              </w:rPr>
              <w:t>设计完成；未执行，不构成经验贡献</w:t>
            </w:r>
          </w:p>
        </w:tc>
      </w:tr>
    </w:tbl>
    <w:p>
      <w:pPr>
        <w:spacing w:after="0"/>
      </w:pPr>
    </w:p>
    <w:p>
      <w:r>
        <w:rPr>
          <w:rFonts w:ascii="Times New Roman" w:hAnsi="Times New Roman" w:eastAsia="宋体"/>
          <w:sz w:val="21"/>
        </w:rPr>
        <w:t>图 1 给出主链。过程安全工件只提供有限领域约束；原创性核心位于组合前准入和提交后生命周期重建，而不是工件本体本身。</w:t>
      </w:r>
    </w:p>
    <w:p>
      <w:pPr>
        <w:jc w:val="center"/>
      </w:pPr>
      <w:r>
        <w:rPr>
          <w:rFonts w:ascii="Times New Roman" w:hAnsi="Times New Roman" w:eastAsia="宋体"/>
          <w:sz w:val="21"/>
        </w:rPr>
      </w:r>
      <w:r>
        <w:rPr>
          <w:rFonts w:ascii="Times New Roman" w:hAnsi="Times New Roman" w:eastAsia="宋体"/>
          <w:color w:val="0563C1"/>
          <w:sz w:val="21"/>
          <w:u w:val="single"/>
        </w:rPr>
      </w:r>
      <w:r>
        <w:drawing>
          <wp:inline xmlns:a="http://schemas.openxmlformats.org/drawingml/2006/main" xmlns:pic="http://schemas.openxmlformats.org/drawingml/2006/picture">
            <wp:extent cx="5760000" cy="3328000"/>
            <wp:docPr id="1" name="Picture 1"/>
            <wp:cNvGraphicFramePr>
              <a:graphicFrameLocks noChangeAspect="1"/>
            </wp:cNvGraphicFramePr>
            <a:graphic>
              <a:graphicData uri="http://schemas.openxmlformats.org/drawingml/2006/picture">
                <pic:pic>
                  <pic:nvPicPr>
                    <pic:cNvPr id="0" name="图1-安全工件到在线融合闭环-v20.png"/>
                    <pic:cNvPicPr/>
                  </pic:nvPicPr>
                  <pic:blipFill>
                    <a:blip r:embed="rId11"/>
                    <a:stretch>
                      <a:fillRect/>
                    </a:stretch>
                  </pic:blipFill>
                  <pic:spPr>
                    <a:xfrm>
                      <a:off x="0" y="0"/>
                      <a:ext cx="5760000" cy="3328000"/>
                    </a:xfrm>
                    <a:prstGeom prst="rect"/>
                  </pic:spPr>
                </pic:pic>
              </a:graphicData>
            </a:graphic>
          </wp:inline>
        </w:drawing>
      </w:r>
    </w:p>
    <w:p>
      <w:r>
        <w:rPr>
          <w:rFonts w:ascii="Times New Roman" w:hAnsi="Times New Roman" w:eastAsia="宋体"/>
          <w:b/>
          <w:sz w:val="21"/>
        </w:rPr>
        <w:t>图 1. 从约束工件到生命周期一致融合。</w:t>
      </w:r>
      <w:r>
        <w:rPr>
          <w:rFonts w:ascii="Times New Roman" w:hAnsi="Times New Roman" w:eastAsia="宋体"/>
          <w:sz w:val="21"/>
        </w:rPr>
        <w:t xml:space="preserve"> SafetyArtifactIR、PCR/OLR、root-level mapper、SetwiseEligibilityCertificate、原子 ledger 和 safety latch 形成闭环。字段级 schema、路由枚举与失败码下沉至 S2-v20.1；本文保留问题、状态、反例、核心语义和可否证主张。</w:t>
      </w:r>
    </w:p>
    <w:p>
      <w:pPr>
        <w:pStyle w:val="Heading1"/>
      </w:pPr>
      <w:r>
        <w:rPr>
          <w:rFonts w:ascii="Times New Roman" w:hAnsi="Times New Roman" w:eastAsia="宋体"/>
          <w:sz w:val="28"/>
        </w:rPr>
        <w:t>2 相关工作与研究定位</w:t>
      </w:r>
    </w:p>
    <w:p>
      <w:pPr>
        <w:pStyle w:val="Heading2"/>
      </w:pPr>
      <w:r>
        <w:rPr>
          <w:rFonts w:ascii="Times New Roman" w:hAnsi="Times New Roman" w:eastAsia="宋体"/>
          <w:sz w:val="24"/>
        </w:rPr>
        <w:t>2.1 依赖信念组合与未知相关</w:t>
      </w:r>
    </w:p>
    <w:p>
      <w:r>
        <w:rPr>
          <w:rFonts w:ascii="Times New Roman" w:hAnsi="Times New Roman" w:eastAsia="宋体"/>
          <w:sz w:val="21"/>
        </w:rPr>
        <w:t>Dempster–Shafer 理论及 TBM 提供信念表示和决策基础 [14–16]。Dempster 组合需要可辩护的 distinct bodies of evidence；内容相似既不能证明同源，也不能证明独立 [17], [39]。cautious rule、部分依赖组合、ER/ERr-DE/ER-TLD、上下文折扣和时间衰减分别处理非 distinct、参数化依赖、可靠性与时滞 [18–20], [32], [33], [38], [40], [41]。IFNet 与 covariance-intersection 类方法处理未知相关 [25], [31]。这些方法主要改变“怎样组合”或“怎样保守估计”，并不定义 root 的版本、等价类或 post-commit rollback。</w:t>
      </w:r>
    </w:p>
    <w:p>
      <w:pPr>
        <w:pStyle w:val="Heading2"/>
      </w:pPr>
      <w:r>
        <w:rPr>
          <w:rFonts w:ascii="Times New Roman" w:hAnsi="Times New Roman" w:eastAsia="宋体"/>
          <w:sz w:val="24"/>
        </w:rPr>
        <w:t>2.2 Provenance、谱系与 double counting</w:t>
      </w:r>
    </w:p>
    <w:p>
      <w:r>
        <w:rPr>
          <w:rFonts w:ascii="Times New Roman" w:hAnsi="Times New Roman" w:eastAsia="宋体"/>
          <w:sz w:val="21"/>
        </w:rPr>
        <w:t>belief-function provenance 已被用于解释组合过程 [13]；provenance-aware trust assessment 已直接以来源信息避免 double counting [26]；PRIMEX-PEV 用可扩展编码保留信息谱系、删除冗余祖先并支持异步更新 [36]。PROV-O 提供主体、活动、实体和派生关系的交换模型 [28]。因此，“使用 provenance”“传播 lineage”或“删除重复祖先”不是本文的新颖性。</w:t>
      </w:r>
    </w:p>
    <w:p>
      <w:r>
        <w:rPr>
          <w:rFonts w:ascii="Times New Roman" w:hAnsi="Times New Roman" w:eastAsia="宋体"/>
          <w:sz w:val="21"/>
        </w:rPr>
        <w:t>本文研究的增量是时间顺序和事务后果：等价关系可能在两个 root 已进入非幂等组合之后才成立；旧版本可能被新版本替换；多个 active roots 可能被 merge；root 可能 retire 后触发 replay。此时 provenance 图只是证据，仍需一个规范决定撤销哪个 contribution、怎样重编译、怎样保留不可退款的历史 charge，以及何时禁止 SAFE 输出。</w:t>
      </w:r>
    </w:p>
    <w:p>
      <w:pPr>
        <w:pStyle w:val="Heading2"/>
      </w:pPr>
      <w:r>
        <w:rPr>
          <w:rFonts w:ascii="Times New Roman" w:hAnsi="Times New Roman" w:eastAsia="宋体"/>
          <w:sz w:val="24"/>
        </w:rPr>
        <w:t>2.3 流处理 exactly-once 与 fusion-specific gap</w:t>
      </w:r>
    </w:p>
    <w:p>
      <w:r>
        <w:rPr>
          <w:rFonts w:ascii="Times New Roman" w:hAnsi="Times New Roman" w:eastAsia="宋体"/>
          <w:sz w:val="21"/>
        </w:rPr>
        <w:t>流处理系统通过幂等键、checkpoint 和状态一致提交实现 exactly-once 或可重放语义 [45]。该语义通常以事件键或 operator state 为边界。对信念融合，真正的重复单位却可能在消息到达后才由外部证据确定，并且两个不同消息键可属于同一物理采集。本文因此借用事务纪律，但不把系统 exactly-once 重新命名为融合创新；需要验证的增量是：</w:t>
      </w:r>
      <w:r>
        <w:rPr>
          <w:rFonts w:ascii="Times New Roman" w:hAnsi="Times New Roman" w:eastAsia="宋体"/>
          <w:b/>
          <w:sz w:val="21"/>
        </w:rPr>
        <w:t>普通事件级 exactly-once 在 post-commit epistemic equivalence 下是否仍产生不同于 unique-root oracle 的 belief 或行动。</w:t>
      </w:r>
    </w:p>
    <w:p>
      <w:pPr>
        <w:pStyle w:val="Heading2"/>
      </w:pPr>
      <w:r>
        <w:rPr>
          <w:rFonts w:ascii="Times New Roman" w:hAnsi="Times New Roman" w:eastAsia="宋体"/>
          <w:sz w:val="24"/>
        </w:rPr>
        <w:t>2.4 过程安全约束前端</w:t>
      </w:r>
    </w:p>
    <w:p>
      <w:r>
        <w:rPr>
          <w:rFonts w:ascii="Times New Roman" w:hAnsi="Times New Roman" w:eastAsia="宋体"/>
          <w:sz w:val="21"/>
        </w:rPr>
        <w:t>动态屏障、可达性与多源风险更新为高约束验证域 [3], [4], [9–12], [24], [46]。ACCESS 与 Andromeda 把 assurance case 连接到异构工程工件 [5], [6]；FTA、Bow-Tie、LOPA、CCF 指南和 HAZOP 分别表达顶事件结构、危险路径、IPL 属性、共同原因与偏差语义 [1], [2], [8], [10], [35], [47–50]。证据理论也已用于表达 fault-tree 底事件的认知不确定性 [49]。这些工件不能自动证明观测独立或 Dempster distinctness。SafetyArtifactIR 因而只是有限语义前端：它约束 demand、barrier、loss 和禁止推理，不承担通用本体或独立性证明。</w:t>
      </w:r>
    </w:p>
    <w:p>
      <w:pPr>
        <w:pStyle w:val="Heading2"/>
      </w:pPr>
      <w:r>
        <w:rPr>
          <w:rFonts w:ascii="Times New Roman" w:hAnsi="Times New Roman" w:eastAsia="宋体"/>
          <w:sz w:val="24"/>
        </w:rPr>
        <w:t>2.5 最近邻差异矩阵</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spacing w:after="0" w:line="240" w:lineRule="auto"/>
              <w:ind w:firstLine="0"/>
            </w:pPr>
            <w:r>
              <w:rPr>
                <w:rFonts w:ascii="Times New Roman" w:hAnsi="Times New Roman" w:eastAsia="宋体"/>
                <w:b/>
                <w:sz w:val="17"/>
              </w:rPr>
              <w:t>最近邻</w:t>
            </w:r>
          </w:p>
        </w:tc>
        <w:tc>
          <w:tcPr>
            <w:tcW w:type="dxa" w:w="2296"/>
            <w:vAlign w:val="center"/>
            <w:shd w:fill="D9EAF7"/>
          </w:tcPr>
          <w:p>
            <w:pPr>
              <w:spacing w:after="0" w:line="240" w:lineRule="auto"/>
              <w:ind w:firstLine="0"/>
            </w:pPr>
            <w:r>
              <w:rPr>
                <w:rFonts w:ascii="Times New Roman" w:hAnsi="Times New Roman" w:eastAsia="宋体"/>
                <w:b/>
                <w:sz w:val="17"/>
              </w:rPr>
              <w:t>已解决</w:t>
            </w:r>
          </w:p>
        </w:tc>
        <w:tc>
          <w:tcPr>
            <w:tcW w:type="dxa" w:w="2296"/>
            <w:vAlign w:val="center"/>
            <w:shd w:fill="D9EAF7"/>
          </w:tcPr>
          <w:p>
            <w:pPr>
              <w:spacing w:after="0" w:line="240" w:lineRule="auto"/>
              <w:ind w:firstLine="0"/>
            </w:pPr>
            <w:r>
              <w:rPr>
                <w:rFonts w:ascii="Times New Roman" w:hAnsi="Times New Roman" w:eastAsia="宋体"/>
                <w:b/>
                <w:sz w:val="17"/>
              </w:rPr>
              <w:t>尚未自动解决</w:t>
            </w:r>
          </w:p>
        </w:tc>
        <w:tc>
          <w:tcPr>
            <w:tcW w:type="dxa" w:w="2296"/>
            <w:vAlign w:val="center"/>
            <w:shd w:fill="D9EAF7"/>
          </w:tcPr>
          <w:p>
            <w:pPr>
              <w:spacing w:after="0" w:line="240" w:lineRule="auto"/>
              <w:ind w:firstLine="0"/>
            </w:pPr>
            <w:r>
              <w:rPr>
                <w:rFonts w:ascii="Times New Roman" w:hAnsi="Times New Roman" w:eastAsia="宋体"/>
                <w:b/>
                <w:sz w:val="17"/>
              </w:rPr>
              <w:t>本文的可检验增量</w:t>
            </w:r>
          </w:p>
        </w:tc>
      </w:tr>
      <w:tr>
        <w:tc>
          <w:tcPr>
            <w:tcW w:type="dxa" w:w="2296"/>
            <w:vAlign w:val="center"/>
          </w:tcPr>
          <w:p>
            <w:pPr>
              <w:spacing w:after="0" w:line="240" w:lineRule="auto"/>
              <w:ind w:firstLine="0"/>
            </w:pPr>
            <w:r>
              <w:rPr>
                <w:rFonts w:ascii="Times New Roman" w:hAnsi="Times New Roman" w:eastAsia="宋体"/>
                <w:sz w:val="17"/>
              </w:rPr>
              <w:t>provenance-aware DS [13], [26]</w:t>
            </w:r>
          </w:p>
        </w:tc>
        <w:tc>
          <w:tcPr>
            <w:tcW w:type="dxa" w:w="2296"/>
            <w:vAlign w:val="center"/>
          </w:tcPr>
          <w:p>
            <w:pPr>
              <w:spacing w:after="0" w:line="240" w:lineRule="auto"/>
              <w:ind w:firstLine="0"/>
            </w:pPr>
            <w:r>
              <w:rPr>
                <w:rFonts w:ascii="Times New Roman" w:hAnsi="Times New Roman" w:eastAsia="宋体"/>
                <w:sz w:val="17"/>
              </w:rPr>
              <w:t>来源追踪、double counting 规避</w:t>
            </w:r>
          </w:p>
        </w:tc>
        <w:tc>
          <w:tcPr>
            <w:tcW w:type="dxa" w:w="2296"/>
            <w:vAlign w:val="center"/>
          </w:tcPr>
          <w:p>
            <w:pPr>
              <w:spacing w:after="0" w:line="240" w:lineRule="auto"/>
              <w:ind w:firstLine="0"/>
            </w:pPr>
            <w:r>
              <w:rPr>
                <w:rFonts w:ascii="Times New Roman" w:hAnsi="Times New Roman" w:eastAsia="宋体"/>
                <w:sz w:val="17"/>
              </w:rPr>
              <w:t>提交后等价、版本替换和多状态原子重建</w:t>
            </w:r>
          </w:p>
        </w:tc>
        <w:tc>
          <w:tcPr>
            <w:tcW w:type="dxa" w:w="2296"/>
            <w:vAlign w:val="center"/>
          </w:tcPr>
          <w:p>
            <w:pPr>
              <w:spacing w:after="0" w:line="240" w:lineRule="auto"/>
              <w:ind w:firstLine="0"/>
            </w:pPr>
            <w:r>
              <w:rPr>
                <w:rFonts w:ascii="Times New Roman" w:hAnsi="Times New Roman" w:eastAsia="宋体"/>
                <w:sz w:val="17"/>
              </w:rPr>
              <w:t>post-commit equivalence 最小反例与 MME</w:t>
            </w:r>
          </w:p>
        </w:tc>
      </w:tr>
      <w:tr>
        <w:tc>
          <w:tcPr>
            <w:tcW w:type="dxa" w:w="2296"/>
            <w:vAlign w:val="center"/>
          </w:tcPr>
          <w:p>
            <w:pPr>
              <w:spacing w:after="0" w:line="240" w:lineRule="auto"/>
              <w:ind w:firstLine="0"/>
            </w:pPr>
            <w:r>
              <w:rPr>
                <w:rFonts w:ascii="Times New Roman" w:hAnsi="Times New Roman" w:eastAsia="宋体"/>
                <w:sz w:val="17"/>
              </w:rPr>
              <w:t>PRIMEX-PEV [36]</w:t>
            </w:r>
          </w:p>
        </w:tc>
        <w:tc>
          <w:tcPr>
            <w:tcW w:type="dxa" w:w="2296"/>
            <w:vAlign w:val="center"/>
          </w:tcPr>
          <w:p>
            <w:pPr>
              <w:spacing w:after="0" w:line="240" w:lineRule="auto"/>
              <w:ind w:firstLine="0"/>
            </w:pPr>
            <w:r>
              <w:rPr>
                <w:rFonts w:ascii="Times New Roman" w:hAnsi="Times New Roman" w:eastAsia="宋体"/>
                <w:sz w:val="17"/>
              </w:rPr>
              <w:t>可扩展 lineage、冗余祖先消除、异步更新</w:t>
            </w:r>
          </w:p>
        </w:tc>
        <w:tc>
          <w:tcPr>
            <w:tcW w:type="dxa" w:w="2296"/>
            <w:vAlign w:val="center"/>
          </w:tcPr>
          <w:p>
            <w:pPr>
              <w:spacing w:after="0" w:line="240" w:lineRule="auto"/>
              <w:ind w:firstLine="0"/>
            </w:pPr>
            <w:r>
              <w:rPr>
                <w:rFonts w:ascii="Times New Roman" w:hAnsi="Times New Roman" w:eastAsia="宋体"/>
                <w:sz w:val="17"/>
              </w:rPr>
              <w:t>process/observation 双注册表、UNKNOWN 准入与 safety-action transaction</w:t>
            </w:r>
          </w:p>
        </w:tc>
        <w:tc>
          <w:tcPr>
            <w:tcW w:type="dxa" w:w="2296"/>
            <w:vAlign w:val="center"/>
          </w:tcPr>
          <w:p>
            <w:pPr>
              <w:spacing w:after="0" w:line="240" w:lineRule="auto"/>
              <w:ind w:firstLine="0"/>
            </w:pPr>
            <w:r>
              <w:rPr>
                <w:rFonts w:ascii="Times New Roman" w:hAnsi="Times New Roman" w:eastAsia="宋体"/>
                <w:sz w:val="17"/>
              </w:rPr>
              <w:t>lineage-only 强基线</w:t>
            </w:r>
          </w:p>
        </w:tc>
      </w:tr>
      <w:tr>
        <w:tc>
          <w:tcPr>
            <w:tcW w:type="dxa" w:w="2296"/>
            <w:vAlign w:val="center"/>
          </w:tcPr>
          <w:p>
            <w:pPr>
              <w:spacing w:after="0" w:line="240" w:lineRule="auto"/>
              <w:ind w:firstLine="0"/>
            </w:pPr>
            <w:r>
              <w:rPr>
                <w:rFonts w:ascii="Times New Roman" w:hAnsi="Times New Roman" w:eastAsia="宋体"/>
                <w:sz w:val="17"/>
              </w:rPr>
              <w:t>transport exactly-once [45]</w:t>
            </w:r>
          </w:p>
        </w:tc>
        <w:tc>
          <w:tcPr>
            <w:tcW w:type="dxa" w:w="2296"/>
            <w:vAlign w:val="center"/>
          </w:tcPr>
          <w:p>
            <w:pPr>
              <w:spacing w:after="0" w:line="240" w:lineRule="auto"/>
              <w:ind w:firstLine="0"/>
            </w:pPr>
            <w:r>
              <w:rPr>
                <w:rFonts w:ascii="Times New Roman" w:hAnsi="Times New Roman" w:eastAsia="宋体"/>
                <w:sz w:val="17"/>
              </w:rPr>
              <w:t>event/operator state 一致提交与重放</w:t>
            </w:r>
          </w:p>
        </w:tc>
        <w:tc>
          <w:tcPr>
            <w:tcW w:type="dxa" w:w="2296"/>
            <w:vAlign w:val="center"/>
          </w:tcPr>
          <w:p>
            <w:pPr>
              <w:spacing w:after="0" w:line="240" w:lineRule="auto"/>
              <w:ind w:firstLine="0"/>
            </w:pPr>
            <w:r>
              <w:rPr>
                <w:rFonts w:ascii="Times New Roman" w:hAnsi="Times New Roman" w:eastAsia="宋体"/>
                <w:sz w:val="17"/>
              </w:rPr>
              <w:t>不同键之间的物理等价、认知贡献撤销</w:t>
            </w:r>
          </w:p>
        </w:tc>
        <w:tc>
          <w:tcPr>
            <w:tcW w:type="dxa" w:w="2296"/>
            <w:vAlign w:val="center"/>
          </w:tcPr>
          <w:p>
            <w:pPr>
              <w:spacing w:after="0" w:line="240" w:lineRule="auto"/>
              <w:ind w:firstLine="0"/>
            </w:pPr>
            <w:r>
              <w:rPr>
                <w:rFonts w:ascii="Times New Roman" w:hAnsi="Times New Roman" w:eastAsia="宋体"/>
                <w:sz w:val="17"/>
              </w:rPr>
              <w:t>简单 event-sourced exactly-once 基线</w:t>
            </w:r>
          </w:p>
        </w:tc>
      </w:tr>
      <w:tr>
        <w:tc>
          <w:tcPr>
            <w:tcW w:type="dxa" w:w="2296"/>
            <w:vAlign w:val="center"/>
          </w:tcPr>
          <w:p>
            <w:pPr>
              <w:spacing w:after="0" w:line="240" w:lineRule="auto"/>
              <w:ind w:firstLine="0"/>
            </w:pPr>
            <w:r>
              <w:rPr>
                <w:rFonts w:ascii="Times New Roman" w:hAnsi="Times New Roman" w:eastAsia="宋体"/>
                <w:sz w:val="17"/>
              </w:rPr>
              <w:t>partial/cautious/unknown-correlation [18], [20], [25], [31], [40], [41]</w:t>
            </w:r>
          </w:p>
        </w:tc>
        <w:tc>
          <w:tcPr>
            <w:tcW w:type="dxa" w:w="2296"/>
            <w:vAlign w:val="center"/>
          </w:tcPr>
          <w:p>
            <w:pPr>
              <w:spacing w:after="0" w:line="240" w:lineRule="auto"/>
              <w:ind w:firstLine="0"/>
            </w:pPr>
            <w:r>
              <w:rPr>
                <w:rFonts w:ascii="Times New Roman" w:hAnsi="Times New Roman" w:eastAsia="宋体"/>
                <w:sz w:val="17"/>
              </w:rPr>
              <w:t>依赖或未知相关下的保守组合</w:t>
            </w:r>
          </w:p>
        </w:tc>
        <w:tc>
          <w:tcPr>
            <w:tcW w:type="dxa" w:w="2296"/>
            <w:vAlign w:val="center"/>
          </w:tcPr>
          <w:p>
            <w:pPr>
              <w:spacing w:after="0" w:line="240" w:lineRule="auto"/>
              <w:ind w:firstLine="0"/>
            </w:pPr>
            <w:r>
              <w:rPr>
                <w:rFonts w:ascii="Times New Roman" w:hAnsi="Times New Roman" w:eastAsia="宋体"/>
                <w:sz w:val="17"/>
              </w:rPr>
              <w:t>root identity、supersede/merge/retire/replay</w:t>
            </w:r>
          </w:p>
        </w:tc>
        <w:tc>
          <w:tcPr>
            <w:tcW w:type="dxa" w:w="2296"/>
            <w:vAlign w:val="center"/>
          </w:tcPr>
          <w:p>
            <w:pPr>
              <w:spacing w:after="0" w:line="240" w:lineRule="auto"/>
              <w:ind w:firstLine="0"/>
            </w:pPr>
            <w:r>
              <w:rPr>
                <w:rFonts w:ascii="Times New Roman" w:hAnsi="Times New Roman" w:eastAsia="宋体"/>
                <w:sz w:val="17"/>
              </w:rPr>
              <w:t>公共 oracle 和公共行动尺度比较</w:t>
            </w:r>
          </w:p>
        </w:tc>
      </w:tr>
      <w:tr>
        <w:tc>
          <w:tcPr>
            <w:tcW w:type="dxa" w:w="2296"/>
            <w:vAlign w:val="center"/>
          </w:tcPr>
          <w:p>
            <w:pPr>
              <w:spacing w:after="0" w:line="240" w:lineRule="auto"/>
              <w:ind w:firstLine="0"/>
            </w:pPr>
            <w:r>
              <w:rPr>
                <w:rFonts w:ascii="Times New Roman" w:hAnsi="Times New Roman" w:eastAsia="宋体"/>
                <w:sz w:val="17"/>
              </w:rPr>
              <w:t>safety-artifact frameworks [5], [6]</w:t>
            </w:r>
          </w:p>
        </w:tc>
        <w:tc>
          <w:tcPr>
            <w:tcW w:type="dxa" w:w="2296"/>
            <w:vAlign w:val="center"/>
          </w:tcPr>
          <w:p>
            <w:pPr>
              <w:spacing w:after="0" w:line="240" w:lineRule="auto"/>
              <w:ind w:firstLine="0"/>
            </w:pPr>
            <w:r>
              <w:rPr>
                <w:rFonts w:ascii="Times New Roman" w:hAnsi="Times New Roman" w:eastAsia="宋体"/>
                <w:sz w:val="17"/>
              </w:rPr>
              <w:t>工件连接、追踪和持续保证</w:t>
            </w:r>
          </w:p>
        </w:tc>
        <w:tc>
          <w:tcPr>
            <w:tcW w:type="dxa" w:w="2296"/>
            <w:vAlign w:val="center"/>
          </w:tcPr>
          <w:p>
            <w:pPr>
              <w:spacing w:after="0" w:line="240" w:lineRule="auto"/>
              <w:ind w:firstLine="0"/>
            </w:pPr>
            <w:r>
              <w:rPr>
                <w:rFonts w:ascii="Times New Roman" w:hAnsi="Times New Roman" w:eastAsia="宋体"/>
                <w:sz w:val="17"/>
              </w:rPr>
              <w:t>工件语义如何限制信念准入</w:t>
            </w:r>
          </w:p>
        </w:tc>
        <w:tc>
          <w:tcPr>
            <w:tcW w:type="dxa" w:w="2296"/>
            <w:vAlign w:val="center"/>
          </w:tcPr>
          <w:p>
            <w:pPr>
              <w:spacing w:after="0" w:line="240" w:lineRule="auto"/>
              <w:ind w:firstLine="0"/>
            </w:pPr>
            <w:r>
              <w:rPr>
                <w:rFonts w:ascii="Times New Roman" w:hAnsi="Times New Roman" w:eastAsia="宋体"/>
                <w:sz w:val="17"/>
              </w:rPr>
              <w:t>编译正负测试；领域增量单独检验</w:t>
            </w:r>
          </w:p>
        </w:tc>
      </w:tr>
    </w:tbl>
    <w:p>
      <w:pPr>
        <w:spacing w:after="0"/>
      </w:pPr>
    </w:p>
    <w:p>
      <w:r>
        <w:rPr>
          <w:rFonts w:ascii="Times New Roman" w:hAnsi="Times New Roman" w:eastAsia="宋体"/>
          <w:sz w:val="21"/>
        </w:rPr>
        <w:t>可成立的新颖性不是“把几个已知组件放在一起”，而是一个可被反例否证的组合语义：</w:t>
      </w:r>
      <w:r>
        <w:rPr>
          <w:rFonts w:ascii="Times New Roman" w:hAnsi="Times New Roman" w:eastAsia="宋体"/>
          <w:b/>
          <w:sz w:val="21"/>
        </w:rPr>
        <w:t>对非幂等信念融合，把 physical-acquisition root 的唯一认知贡献与其提交后生命周期绑定，并使 belief、ledger、budget、availability 和 action eligibility 在同一事务边界内重建。</w:t>
      </w:r>
      <w:r>
        <w:rPr>
          <w:rFonts w:ascii="Times New Roman" w:hAnsi="Times New Roman" w:eastAsia="宋体"/>
          <w:sz w:val="21"/>
        </w:rPr>
        <w:t xml:space="preserve"> 若简单 event-sourced baseline 在外部 oracle 下同样满足这些性质，本文核心主张即不成立。</w:t>
      </w:r>
    </w:p>
    <w:p>
      <w:pPr>
        <w:pStyle w:val="Heading1"/>
      </w:pPr>
      <w:r>
        <w:rPr>
          <w:rFonts w:ascii="Times New Roman" w:hAnsi="Times New Roman" w:eastAsia="宋体"/>
          <w:sz w:val="28"/>
        </w:rPr>
        <w:t>3 问题模型与约束接口</w:t>
      </w:r>
    </w:p>
    <w:p>
      <w:pPr>
        <w:pStyle w:val="Heading2"/>
      </w:pPr>
      <w:r>
        <w:rPr>
          <w:rFonts w:ascii="Times New Roman" w:hAnsi="Times New Roman" w:eastAsia="宋体"/>
          <w:sz w:val="24"/>
        </w:rPr>
        <w:t>3.1 状态、根与威胁边界</w:t>
      </w:r>
    </w:p>
    <w:p>
      <w:r>
        <w:rPr>
          <w:rFonts w:ascii="Times New Roman" w:hAnsi="Times New Roman" w:eastAsia="宋体"/>
          <w:sz w:val="21"/>
        </w:rPr>
        <w:t>系统处理的不是裸消息，而是带认证身份、物理采集区间、因果边界、adapter 版本和 mapping 证书的候选 view。canonical root 表示一次物理采集或独立观察事件；设备、人员或文件本身不是 root。同一设备在不同有效 epoch 可产生新 root，重采样、滑窗、摘要、转录和模型重跑默认继承原 root，除非有正向证据证明新的物理采集。</w:t>
      </w:r>
    </w:p>
    <w:p>
      <w:r>
        <w:rPr>
          <w:rFonts w:ascii="Times New Roman" w:hAnsi="Times New Roman" w:eastAsia="宋体"/>
          <w:sz w:val="21"/>
        </w:rPr>
        <w:t>原子系统状态为</w:t>
      </w:r>
    </w:p>
    <w:p>
      <w:pPr>
        <w:spacing w:before="100" w:after="100"/>
        <w:ind w:firstLine="0"/>
        <w:jc w:val="center"/>
      </w:pPr>
      <w:r>
        <w:rPr>
          <w:rFonts w:ascii="Cambria Math" w:hAnsi="Cambria Math" w:eastAsia="Cambria Math"/>
          <w:sz w:val="21"/>
        </w:rPr>
        <w:t>\mathsf X_k=(\mathbb B_k,\ \mathrm{RootRegistry}_k,\ \mathrm{ActiveContributionLedger}_k,\ \mathrm{BudgetState}_k,\ \mathrm{GateState}_k,\ \mathrm{AcceptanceRateState}_k).</w:t>
      </w:r>
    </w:p>
    <w:p>
      <w:r>
        <w:rPr>
          <w:rFonts w:ascii="Times New Roman" w:hAnsi="Times New Roman" w:eastAsia="宋体"/>
          <w:sz w:val="21"/>
        </w:rPr>
        <w:t>威胁模型覆盖：exact retry、不同键重复、乱序、Sybil principal、版本轮换、post-commit equivalence、错误或遗漏 lineage、已登记/未登记共同原因、registry 污染、复杂度溢出和 replay 故障。签名与 hash 只证明身份和完整性，不证明观测真实；协议不防御持合法凭证的恶意主体，也不保证错误安全工件、错误 mapping 或遗漏共同原因。</w:t>
      </w:r>
    </w:p>
    <w:p>
      <w:pPr>
        <w:pStyle w:val="Heading2"/>
      </w:pPr>
      <w:r>
        <w:rPr>
          <w:rFonts w:ascii="Times New Roman" w:hAnsi="Times New Roman" w:eastAsia="宋体"/>
          <w:sz w:val="24"/>
        </w:rPr>
        <w:t>3.2 Eventifier 与 identity contract</w:t>
      </w:r>
    </w:p>
    <w:p>
      <w:r>
        <w:rPr>
          <w:rFonts w:ascii="Times New Roman" w:hAnsi="Times New Roman" w:eastAsia="宋体"/>
          <w:sz w:val="21"/>
        </w:rPr>
        <w:t>冻结 Eventifier 按工况阶段、变化点规则和最大持续时间把连续流切成 acquisition epoch。签名 AcquisitionManifest 绑定 Eventifier id/version/hash、可信 clock domain、区间 ([t_{start},t_{end}))、causal boundary、原始采集身份和分段证据；RootIdentityManifest 再绑定其 hash。Eventifier 的粒度不是天然真理，因此 v6.8 把 split/merge refinement 作为压力因子：在不改变底层物理 truth 的情况下改变分段，测量 belief、动作和 false-block 对 root 定义的敏感性。</w:t>
      </w:r>
    </w:p>
    <w:p>
      <w:r>
        <w:rPr>
          <w:rFonts w:ascii="Times New Roman" w:hAnsi="Times New Roman" w:eastAsia="宋体"/>
          <w:sz w:val="21"/>
        </w:rPr>
        <w:t>可信 sequencer 以 ((\tau_k,\mathrm{message\_id})) 形成全序。exact retry 由 canonical root、bundle version 和 envelope hash 的联合键识别；同版本异 payload 是 equivocation，而不是 duplicate。新增 root-equivalence edge 是版本化 control event；若连接了已提交 roots，系统必须从最早受影响 checkpoint 重放。</w:t>
      </w:r>
    </w:p>
    <w:p>
      <w:pPr>
        <w:pStyle w:val="Heading2"/>
      </w:pPr>
      <w:r>
        <w:rPr>
          <w:rFonts w:ascii="Times New Roman" w:hAnsi="Times New Roman" w:eastAsia="宋体"/>
          <w:sz w:val="24"/>
        </w:rPr>
        <w:t>3.3 Root-level mapping 与视图语义</w:t>
      </w:r>
    </w:p>
    <w:p>
      <w:r>
        <w:rPr>
          <w:rFonts w:ascii="Times New Roman" w:hAnsi="Times New Roman" w:eastAsia="宋体"/>
          <w:sz w:val="21"/>
        </w:rPr>
        <w:t>SourceAdapter 把原始观测与质量标记映射为 typed feature、校准证书和 validity status。主路径的 RootLevelMapperManifest 冻结输入 schema、允许 view、联合校准集、适用域、代码/容器 hash 与失败策略，并由同一 sealed bundle 的全部有效 typed features 一次生成 RootClaimBundle (mathcal V_r)。它只允许一次进入全局 belief；各场景边缘只是查询视图。</w:t>
      </w:r>
    </w:p>
    <w:p>
      <w:r>
        <w:rPr>
          <w:rFonts w:ascii="Times New Roman" w:hAnsi="Times New Roman" w:eastAsia="宋体"/>
          <w:sz w:val="21"/>
        </w:rPr>
        <w:t>本文不再宣称“加入任意语义等价 view 后 joint valuation 必然不变”。只有两类可验证情形：</w:t>
      </w:r>
    </w:p>
    <w:p>
      <w:pPr>
        <w:pStyle w:val="ListNumber"/>
        <w:ind w:firstLine="0"/>
      </w:pPr>
      <w:r>
        <w:rPr>
          <w:rFonts w:ascii="Times New Roman" w:hAnsi="Times New Roman" w:eastAsia="宋体"/>
          <w:sz w:val="21"/>
        </w:rPr>
        <w:t>exact duplicate、principal alias 或被 canonicalizer 明确消除的冗余 view 不改变输入集合；</w:t>
      </w:r>
    </w:p>
    <w:p>
      <w:pPr>
        <w:pStyle w:val="ListNumber"/>
        <w:ind w:firstLine="0"/>
      </w:pPr>
      <w:r>
        <w:rPr>
          <w:rFonts w:ascii="Times New Roman" w:hAnsi="Times New Roman" w:eastAsia="宋体"/>
          <w:sz w:val="21"/>
        </w:rPr>
        <w:t>新 view 改变 mapper 输入时，它必须形成更高 bundle version，并按 supersede 重编译整个 root，不能作为新的独立 contribution 叠加。</w:t>
      </w:r>
    </w:p>
    <w:p>
      <w:r>
        <w:rPr>
          <w:rFonts w:ascii="Times New Roman" w:hAnsi="Times New Roman" w:eastAsia="宋体"/>
          <w:sz w:val="21"/>
        </w:rPr>
        <w:t>若需要更强的 view-refinement invariance，必须对冻结 mapper 单独证明 idempotence；当前合同不默认该性质。</w:t>
      </w:r>
    </w:p>
    <w:p>
      <w:pPr>
        <w:pStyle w:val="Heading2"/>
      </w:pPr>
      <w:r>
        <w:rPr>
          <w:rFonts w:ascii="Times New Roman" w:hAnsi="Times New Roman" w:eastAsia="宋体"/>
          <w:sz w:val="24"/>
        </w:rPr>
        <w:t>3.4 SafetyArtifactIR、PCR 与 OLR</w:t>
      </w:r>
    </w:p>
    <w:p>
      <w:r>
        <w:rPr>
          <w:rFonts w:ascii="Times New Roman" w:hAnsi="Times New Roman" w:eastAsia="宋体"/>
          <w:sz w:val="21"/>
        </w:rPr>
        <w:t>过程安全前端输出危险场景、动态 demand guard、屏障角色、允许效用族、trace、PCR 与 OLR。FTA/MCS 只提供顶事件结构支持；Bow-Tie 提供路径与屏障角色；LOPA/IPL independence 不等于 evidence distinctness；CCF 参数只进入物理生成模型；HAZOP 提供偏差本体而不自动产生 Eventifier 阈值。每个输入必须被标记为 COMPILED、INTENTIONALLY_UNMAPPED 或 REJECTED，越权推理失败关闭。字段、失败码、完整状态机和 hash 合同见 S2-v20.1。</w:t>
      </w:r>
    </w:p>
    <w:p>
      <w:r>
        <w:rPr>
          <w:rFonts w:ascii="Times New Roman" w:hAnsi="Times New Roman" w:eastAsia="宋体"/>
          <w:sz w:val="21"/>
        </w:rPr>
        <w:t>对候选 root (o)、活动 roots (A_k) 与上下文 (c)，组合只在签名集合级证书</w:t>
      </w:r>
    </w:p>
    <w:p>
      <w:pPr>
        <w:spacing w:before="100" w:after="100"/>
        <w:ind w:firstLine="0"/>
        <w:jc w:val="center"/>
      </w:pPr>
      <w:r>
        <w:rPr>
          <w:rFonts w:ascii="Cambria Math" w:hAnsi="Cambria Math" w:eastAsia="Cambria Math"/>
          <w:sz w:val="21"/>
        </w:rPr>
        <w:t>\mathsf{Eligible}(o;A_k,c)=1</w:t>
      </w:r>
    </w:p>
    <w:p>
      <w:r>
        <w:rPr>
          <w:rFonts w:ascii="Times New Roman" w:hAnsi="Times New Roman" w:eastAsia="宋体"/>
          <w:sz w:val="21"/>
        </w:rPr>
        <w:t>时发生。证书必须给出声明图覆盖清单、祖先闭包、高阶超边、已建模物理潜变量和最小见证子图。ELIGIBLE 的语义是“相对于冻结 registry、mapper 与声明完备性合同获得准入”，不是“统计上证明真实独立”。缺元数据、低检验功效、过期 edge、context mismatch 或 coverage gap 均保持 UNKNOWN。v6.8 使用仅 scorer 可见的 oracle graph 注入漏边、伪边、高阶超边遗漏和错误 root merge，量化该条件保证的脆弱性。</w:t>
      </w:r>
    </w:p>
    <w:p>
      <w:pPr>
        <w:pStyle w:val="Heading1"/>
      </w:pPr>
      <w:r>
        <w:rPr>
          <w:rFonts w:ascii="Times New Roman" w:hAnsi="Times New Roman" w:eastAsia="宋体"/>
          <w:sz w:val="28"/>
        </w:rPr>
        <w:t>4 信念组合专用的 exactly-once 准入语义</w:t>
      </w:r>
    </w:p>
    <w:p>
      <w:pPr>
        <w:pStyle w:val="Heading2"/>
      </w:pPr>
      <w:r>
        <w:rPr>
          <w:rFonts w:ascii="Times New Roman" w:hAnsi="Times New Roman" w:eastAsia="宋体"/>
          <w:sz w:val="24"/>
        </w:rPr>
        <w:t>4.1 准入与提交</w:t>
      </w:r>
    </w:p>
    <w:p>
      <w:r>
        <w:rPr>
          <w:rFonts w:ascii="Times New Roman" w:hAnsi="Times New Roman" w:eastAsia="宋体"/>
          <w:sz w:val="21"/>
        </w:rPr>
        <w:t>设全局 belief 为 (\mathbb B)，候选 root 的唯一 joint valuation 为 (mathcal V_r)。只有身份、mapping、集合资格、预算、速率、冲突和资源门全部通过时，才执行</w:t>
      </w:r>
    </w:p>
    <w:p>
      <w:pPr>
        <w:spacing w:before="100" w:after="100"/>
        <w:ind w:firstLine="0"/>
        <w:jc w:val="center"/>
      </w:pPr>
      <w:r>
        <w:rPr>
          <w:rFonts w:ascii="Cambria Math" w:hAnsi="Cambria Math" w:eastAsia="Cambria Math"/>
          <w:sz w:val="21"/>
        </w:rPr>
        <w:t>\mathbb B^+=\operatorname{NormConj}(\mathbb B^-,\mathcal V_r),</w:t>
      </w:r>
    </w:p>
    <w:p>
      <w:r>
        <w:rPr>
          <w:rFonts w:ascii="Times New Roman" w:hAnsi="Times New Roman" w:eastAsia="宋体"/>
          <w:sz w:val="21"/>
        </w:rPr>
        <w:t>并在同一可串行事务中写入 ledger、registry、budget、rate 与 gate state。任一 UNKNOWN 或失败只写具名 audit outcome，不新增 belief contribution。fail-closed 的含义仅是融合服务不得新增 contribution 或输出 SAFE_ELIGIBLE；它不表示物理装置已安全，也不替代 BPCS、SIS、ESD 或人工处置。</w:t>
      </w:r>
    </w:p>
    <w:p>
      <w:r>
        <w:rPr>
          <w:rFonts w:ascii="Times New Roman" w:hAnsi="Times New Roman" w:eastAsia="宋体"/>
          <w:sz w:val="21"/>
        </w:rPr>
        <w:t>算法主链如下，字段级细节由 S2-v20.1 承担。</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spacing w:after="0" w:line="240" w:lineRule="auto"/>
              <w:ind w:firstLine="0"/>
            </w:pPr>
            <w:r>
              <w:rPr>
                <w:rFonts w:ascii="Times New Roman" w:hAnsi="Times New Roman" w:eastAsia="宋体"/>
                <w:b/>
                <w:sz w:val="17"/>
              </w:rPr>
              <w:t>顺序</w:t>
            </w:r>
          </w:p>
        </w:tc>
        <w:tc>
          <w:tcPr>
            <w:tcW w:type="dxa" w:w="3061"/>
            <w:vAlign w:val="center"/>
            <w:shd w:fill="D9EAF7"/>
          </w:tcPr>
          <w:p>
            <w:pPr>
              <w:spacing w:after="0" w:line="240" w:lineRule="auto"/>
              <w:ind w:firstLine="0"/>
            </w:pPr>
            <w:r>
              <w:rPr>
                <w:rFonts w:ascii="Times New Roman" w:hAnsi="Times New Roman" w:eastAsia="宋体"/>
                <w:b/>
                <w:sz w:val="17"/>
              </w:rPr>
              <w:t>操作</w:t>
            </w:r>
          </w:p>
        </w:tc>
        <w:tc>
          <w:tcPr>
            <w:tcW w:type="dxa" w:w="3061"/>
            <w:vAlign w:val="center"/>
            <w:shd w:fill="D9EAF7"/>
          </w:tcPr>
          <w:p>
            <w:pPr>
              <w:spacing w:after="0" w:line="240" w:lineRule="auto"/>
              <w:ind w:firstLine="0"/>
            </w:pPr>
            <w:r>
              <w:rPr>
                <w:rFonts w:ascii="Times New Roman" w:hAnsi="Times New Roman" w:eastAsia="宋体"/>
                <w:b/>
                <w:sz w:val="17"/>
              </w:rPr>
              <w:t>不变量/失败语义</w:t>
            </w:r>
          </w:p>
        </w:tc>
      </w:tr>
      <w:tr>
        <w:tc>
          <w:tcPr>
            <w:tcW w:type="dxa" w:w="3061"/>
            <w:vAlign w:val="center"/>
          </w:tcPr>
          <w:p>
            <w:pPr>
              <w:spacing w:after="0" w:line="240" w:lineRule="auto"/>
              <w:ind w:firstLine="0"/>
            </w:pPr>
            <w:r>
              <w:rPr>
                <w:rFonts w:ascii="Times New Roman" w:hAnsi="Times New Roman" w:eastAsia="宋体"/>
                <w:sz w:val="17"/>
              </w:rPr>
              <w:t>1</w:t>
            </w:r>
          </w:p>
        </w:tc>
        <w:tc>
          <w:tcPr>
            <w:tcW w:type="dxa" w:w="3061"/>
            <w:vAlign w:val="center"/>
          </w:tcPr>
          <w:p>
            <w:pPr>
              <w:spacing w:after="0" w:line="240" w:lineRule="auto"/>
              <w:ind w:firstLine="0"/>
            </w:pPr>
            <w:r>
              <w:rPr>
                <w:rFonts w:ascii="Times New Roman" w:hAnsi="Times New Roman" w:eastAsia="宋体"/>
                <w:sz w:val="17"/>
              </w:rPr>
              <w:t>认证 RootIdentityManifest 与 AcquisitionManifest</w:t>
            </w:r>
          </w:p>
        </w:tc>
        <w:tc>
          <w:tcPr>
            <w:tcW w:type="dxa" w:w="3061"/>
            <w:vAlign w:val="center"/>
          </w:tcPr>
          <w:p>
            <w:pPr>
              <w:spacing w:after="0" w:line="240" w:lineRule="auto"/>
              <w:ind w:firstLine="0"/>
            </w:pPr>
            <w:r>
              <w:rPr>
                <w:rFonts w:ascii="Times New Roman" w:hAnsi="Times New Roman" w:eastAsia="宋体"/>
                <w:sz w:val="17"/>
              </w:rPr>
              <w:t>身份失败只进 quarantine，不建立 root</w:t>
            </w:r>
          </w:p>
        </w:tc>
      </w:tr>
      <w:tr>
        <w:tc>
          <w:tcPr>
            <w:tcW w:type="dxa" w:w="3061"/>
            <w:vAlign w:val="center"/>
          </w:tcPr>
          <w:p>
            <w:pPr>
              <w:spacing w:after="0" w:line="240" w:lineRule="auto"/>
              <w:ind w:firstLine="0"/>
            </w:pPr>
            <w:r>
              <w:rPr>
                <w:rFonts w:ascii="Times New Roman" w:hAnsi="Times New Roman" w:eastAsia="宋体"/>
                <w:sz w:val="17"/>
              </w:rPr>
              <w:t>2</w:t>
            </w:r>
          </w:p>
        </w:tc>
        <w:tc>
          <w:tcPr>
            <w:tcW w:type="dxa" w:w="3061"/>
            <w:vAlign w:val="center"/>
          </w:tcPr>
          <w:p>
            <w:pPr>
              <w:spacing w:after="0" w:line="240" w:lineRule="auto"/>
              <w:ind w:firstLine="0"/>
            </w:pPr>
            <w:r>
              <w:rPr>
                <w:rFonts w:ascii="Times New Roman" w:hAnsi="Times New Roman" w:eastAsia="宋体"/>
                <w:sz w:val="17"/>
              </w:rPr>
              <w:t>校验 envelope、版本、seal 与 exact retry</w:t>
            </w:r>
          </w:p>
        </w:tc>
        <w:tc>
          <w:tcPr>
            <w:tcW w:type="dxa" w:w="3061"/>
            <w:vAlign w:val="center"/>
          </w:tcPr>
          <w:p>
            <w:pPr>
              <w:spacing w:after="0" w:line="240" w:lineRule="auto"/>
              <w:ind w:firstLine="0"/>
            </w:pPr>
            <w:r>
              <w:rPr>
                <w:rFonts w:ascii="Times New Roman" w:hAnsi="Times New Roman" w:eastAsia="宋体"/>
                <w:sz w:val="17"/>
              </w:rPr>
              <w:t>同版本异 payload 拒收；exact retry 幂等</w:t>
            </w:r>
          </w:p>
        </w:tc>
      </w:tr>
      <w:tr>
        <w:tc>
          <w:tcPr>
            <w:tcW w:type="dxa" w:w="3061"/>
            <w:vAlign w:val="center"/>
          </w:tcPr>
          <w:p>
            <w:pPr>
              <w:spacing w:after="0" w:line="240" w:lineRule="auto"/>
              <w:ind w:firstLine="0"/>
            </w:pPr>
            <w:r>
              <w:rPr>
                <w:rFonts w:ascii="Times New Roman" w:hAnsi="Times New Roman" w:eastAsia="宋体"/>
                <w:sz w:val="17"/>
              </w:rPr>
              <w:t>3</w:t>
            </w:r>
          </w:p>
        </w:tc>
        <w:tc>
          <w:tcPr>
            <w:tcW w:type="dxa" w:w="3061"/>
            <w:vAlign w:val="center"/>
          </w:tcPr>
          <w:p>
            <w:pPr>
              <w:spacing w:after="0" w:line="240" w:lineRule="auto"/>
              <w:ind w:firstLine="0"/>
            </w:pPr>
            <w:r>
              <w:rPr>
                <w:rFonts w:ascii="Times New Roman" w:hAnsi="Times New Roman" w:eastAsia="宋体"/>
                <w:sz w:val="17"/>
              </w:rPr>
              <w:t>SourceAdapter 与 root-level mapper</w:t>
            </w:r>
          </w:p>
        </w:tc>
        <w:tc>
          <w:tcPr>
            <w:tcW w:type="dxa" w:w="3061"/>
            <w:vAlign w:val="center"/>
          </w:tcPr>
          <w:p>
            <w:pPr>
              <w:spacing w:after="0" w:line="240" w:lineRule="auto"/>
              <w:ind w:firstLine="0"/>
            </w:pPr>
            <w:r>
              <w:rPr>
                <w:rFonts w:ascii="Times New Roman" w:hAnsi="Times New Roman" w:eastAsia="宋体"/>
                <w:sz w:val="17"/>
              </w:rPr>
              <w:t>mapping 未知/漂移则不产生 contribution</w:t>
            </w:r>
          </w:p>
        </w:tc>
      </w:tr>
      <w:tr>
        <w:tc>
          <w:tcPr>
            <w:tcW w:type="dxa" w:w="3061"/>
            <w:vAlign w:val="center"/>
          </w:tcPr>
          <w:p>
            <w:pPr>
              <w:spacing w:after="0" w:line="240" w:lineRule="auto"/>
              <w:ind w:firstLine="0"/>
            </w:pPr>
            <w:r>
              <w:rPr>
                <w:rFonts w:ascii="Times New Roman" w:hAnsi="Times New Roman" w:eastAsia="宋体"/>
                <w:sz w:val="17"/>
              </w:rPr>
              <w:t>4</w:t>
            </w:r>
          </w:p>
        </w:tc>
        <w:tc>
          <w:tcPr>
            <w:tcW w:type="dxa" w:w="3061"/>
            <w:vAlign w:val="center"/>
          </w:tcPr>
          <w:p>
            <w:pPr>
              <w:spacing w:after="0" w:line="240" w:lineRule="auto"/>
              <w:ind w:firstLine="0"/>
            </w:pPr>
            <w:r>
              <w:rPr>
                <w:rFonts w:ascii="Times New Roman" w:hAnsi="Times New Roman" w:eastAsia="宋体"/>
                <w:sz w:val="17"/>
              </w:rPr>
              <w:t>解析 root equivalence 与生命周期</w:t>
            </w:r>
          </w:p>
        </w:tc>
        <w:tc>
          <w:tcPr>
            <w:tcW w:type="dxa" w:w="3061"/>
            <w:vAlign w:val="center"/>
          </w:tcPr>
          <w:p>
            <w:pPr>
              <w:spacing w:after="0" w:line="240" w:lineRule="auto"/>
              <w:ind w:firstLine="0"/>
            </w:pPr>
            <w:r>
              <w:rPr>
                <w:rFonts w:ascii="Times New Roman" w:hAnsi="Times New Roman" w:eastAsia="宋体"/>
                <w:sz w:val="17"/>
              </w:rPr>
              <w:t>已见 root 的高版本只走 supersede</w:t>
            </w:r>
          </w:p>
        </w:tc>
      </w:tr>
      <w:tr>
        <w:tc>
          <w:tcPr>
            <w:tcW w:type="dxa" w:w="3061"/>
            <w:vAlign w:val="center"/>
          </w:tcPr>
          <w:p>
            <w:pPr>
              <w:spacing w:after="0" w:line="240" w:lineRule="auto"/>
              <w:ind w:firstLine="0"/>
            </w:pPr>
            <w:r>
              <w:rPr>
                <w:rFonts w:ascii="Times New Roman" w:hAnsi="Times New Roman" w:eastAsia="宋体"/>
                <w:sz w:val="17"/>
              </w:rPr>
              <w:t>5</w:t>
            </w:r>
          </w:p>
        </w:tc>
        <w:tc>
          <w:tcPr>
            <w:tcW w:type="dxa" w:w="3061"/>
            <w:vAlign w:val="center"/>
          </w:tcPr>
          <w:p>
            <w:pPr>
              <w:spacing w:after="0" w:line="240" w:lineRule="auto"/>
              <w:ind w:firstLine="0"/>
            </w:pPr>
            <w:r>
              <w:rPr>
                <w:rFonts w:ascii="Times New Roman" w:hAnsi="Times New Roman" w:eastAsia="宋体"/>
                <w:sz w:val="17"/>
              </w:rPr>
              <w:t>重建 setwise eligibility certificate</w:t>
            </w:r>
          </w:p>
        </w:tc>
        <w:tc>
          <w:tcPr>
            <w:tcW w:type="dxa" w:w="3061"/>
            <w:vAlign w:val="center"/>
          </w:tcPr>
          <w:p>
            <w:pPr>
              <w:spacing w:after="0" w:line="240" w:lineRule="auto"/>
              <w:ind w:firstLine="0"/>
            </w:pPr>
            <w:r>
              <w:rPr>
                <w:rFonts w:ascii="Times New Roman" w:hAnsi="Times New Roman" w:eastAsia="宋体"/>
                <w:sz w:val="17"/>
              </w:rPr>
              <w:t>coverage 缺口保持 UNKNOWN</w:t>
            </w:r>
          </w:p>
        </w:tc>
      </w:tr>
      <w:tr>
        <w:tc>
          <w:tcPr>
            <w:tcW w:type="dxa" w:w="3061"/>
            <w:vAlign w:val="center"/>
          </w:tcPr>
          <w:p>
            <w:pPr>
              <w:spacing w:after="0" w:line="240" w:lineRule="auto"/>
              <w:ind w:firstLine="0"/>
            </w:pPr>
            <w:r>
              <w:rPr>
                <w:rFonts w:ascii="Times New Roman" w:hAnsi="Times New Roman" w:eastAsia="宋体"/>
                <w:sz w:val="17"/>
              </w:rPr>
              <w:t>6</w:t>
            </w:r>
          </w:p>
        </w:tc>
        <w:tc>
          <w:tcPr>
            <w:tcW w:type="dxa" w:w="3061"/>
            <w:vAlign w:val="center"/>
          </w:tcPr>
          <w:p>
            <w:pPr>
              <w:spacing w:after="0" w:line="240" w:lineRule="auto"/>
              <w:ind w:firstLine="0"/>
            </w:pPr>
            <w:r>
              <w:rPr>
                <w:rFonts w:ascii="Times New Roman" w:hAnsi="Times New Roman" w:eastAsia="宋体"/>
                <w:sz w:val="17"/>
              </w:rPr>
              <w:t>预留 commitment、rate 与资源</w:t>
            </w:r>
          </w:p>
        </w:tc>
        <w:tc>
          <w:tcPr>
            <w:tcW w:type="dxa" w:w="3061"/>
            <w:vAlign w:val="center"/>
          </w:tcPr>
          <w:p>
            <w:pPr>
              <w:spacing w:after="0" w:line="240" w:lineRule="auto"/>
              <w:ind w:firstLine="0"/>
            </w:pPr>
            <w:r>
              <w:rPr>
                <w:rFonts w:ascii="Times New Roman" w:hAnsi="Times New Roman" w:eastAsia="宋体"/>
                <w:sz w:val="17"/>
              </w:rPr>
              <w:t>失败不改变既有 active contribution</w:t>
            </w:r>
          </w:p>
        </w:tc>
      </w:tr>
      <w:tr>
        <w:tc>
          <w:tcPr>
            <w:tcW w:type="dxa" w:w="3061"/>
            <w:vAlign w:val="center"/>
          </w:tcPr>
          <w:p>
            <w:pPr>
              <w:spacing w:after="0" w:line="240" w:lineRule="auto"/>
              <w:ind w:firstLine="0"/>
            </w:pPr>
            <w:r>
              <w:rPr>
                <w:rFonts w:ascii="Times New Roman" w:hAnsi="Times New Roman" w:eastAsia="宋体"/>
                <w:sz w:val="17"/>
              </w:rPr>
              <w:t>7</w:t>
            </w:r>
          </w:p>
        </w:tc>
        <w:tc>
          <w:tcPr>
            <w:tcW w:type="dxa" w:w="3061"/>
            <w:vAlign w:val="center"/>
          </w:tcPr>
          <w:p>
            <w:pPr>
              <w:spacing w:after="0" w:line="240" w:lineRule="auto"/>
              <w:ind w:firstLine="0"/>
            </w:pPr>
            <w:r>
              <w:rPr>
                <w:rFonts w:ascii="Times New Roman" w:hAnsi="Times New Roman" w:eastAsia="宋体"/>
                <w:sz w:val="17"/>
              </w:rPr>
              <w:t>组合并原子提交 (\mathsf X_k)</w:t>
            </w:r>
          </w:p>
        </w:tc>
        <w:tc>
          <w:tcPr>
            <w:tcW w:type="dxa" w:w="3061"/>
            <w:vAlign w:val="center"/>
          </w:tcPr>
          <w:p>
            <w:pPr>
              <w:spacing w:after="0" w:line="240" w:lineRule="auto"/>
              <w:ind w:firstLine="0"/>
            </w:pPr>
            <w:r>
              <w:rPr>
                <w:rFonts w:ascii="Times New Roman" w:hAnsi="Times New Roman" w:eastAsia="宋体"/>
                <w:sz w:val="17"/>
              </w:rPr>
              <w:t>belief、ledger、budget、gate 同步</w:t>
            </w:r>
          </w:p>
        </w:tc>
      </w:tr>
      <w:tr>
        <w:tc>
          <w:tcPr>
            <w:tcW w:type="dxa" w:w="3061"/>
            <w:vAlign w:val="center"/>
          </w:tcPr>
          <w:p>
            <w:pPr>
              <w:spacing w:after="0" w:line="240" w:lineRule="auto"/>
              <w:ind w:firstLine="0"/>
            </w:pPr>
            <w:r>
              <w:rPr>
                <w:rFonts w:ascii="Times New Roman" w:hAnsi="Times New Roman" w:eastAsia="宋体"/>
                <w:sz w:val="17"/>
              </w:rPr>
              <w:t>8</w:t>
            </w:r>
          </w:p>
        </w:tc>
        <w:tc>
          <w:tcPr>
            <w:tcW w:type="dxa" w:w="3061"/>
            <w:vAlign w:val="center"/>
          </w:tcPr>
          <w:p>
            <w:pPr>
              <w:spacing w:after="0" w:line="240" w:lineRule="auto"/>
              <w:ind w:firstLine="0"/>
            </w:pPr>
            <w:r>
              <w:rPr>
                <w:rFonts w:ascii="Times New Roman" w:hAnsi="Times New Roman" w:eastAsia="宋体"/>
                <w:sz w:val="17"/>
              </w:rPr>
              <w:t>更新 latch 与 action eligibility</w:t>
            </w:r>
          </w:p>
        </w:tc>
        <w:tc>
          <w:tcPr>
            <w:tcW w:type="dxa" w:w="3061"/>
            <w:vAlign w:val="center"/>
          </w:tcPr>
          <w:p>
            <w:pPr>
              <w:spacing w:after="0" w:line="240" w:lineRule="auto"/>
              <w:ind w:firstLine="0"/>
            </w:pPr>
            <w:r>
              <w:rPr>
                <w:rFonts w:ascii="Times New Roman" w:hAnsi="Times New Roman" w:eastAsia="宋体"/>
                <w:sz w:val="17"/>
              </w:rPr>
              <w:t>replay stale 或 provenance invalid 禁止 SAFE</w:t>
            </w:r>
          </w:p>
        </w:tc>
      </w:tr>
    </w:tbl>
    <w:p>
      <w:pPr>
        <w:spacing w:after="0"/>
      </w:pPr>
    </w:p>
    <w:p>
      <w:pPr>
        <w:pStyle w:val="Heading2"/>
      </w:pPr>
      <w:r>
        <w:rPr>
          <w:rFonts w:ascii="Times New Roman" w:hAnsi="Times New Roman" w:eastAsia="宋体"/>
          <w:sz w:val="24"/>
        </w:rPr>
        <w:t>4.2 最小反例：为什么 transport exactly-once 不够</w:t>
      </w:r>
    </w:p>
    <w:p>
      <w:r>
        <w:rPr>
          <w:rFonts w:ascii="Times New Roman" w:hAnsi="Times New Roman" w:eastAsia="宋体"/>
          <w:sz w:val="21"/>
        </w:rPr>
        <w:t>在框架 (Theta=\{H,\neg H\}) 上，某次物理采集 (a) 产生简单支持函数</w:t>
      </w:r>
    </w:p>
    <w:p>
      <w:pPr>
        <w:spacing w:before="100" w:after="100"/>
        <w:ind w:firstLine="0"/>
        <w:jc w:val="center"/>
      </w:pPr>
      <w:r>
        <w:rPr>
          <w:rFonts w:ascii="Cambria Math" w:hAnsi="Cambria Math" w:eastAsia="Cambria Math"/>
          <w:sz w:val="21"/>
        </w:rPr>
        <w:t>m_a(\{H\})=0.80,\qquad m_a(\Theta)=0.20.</w:t>
      </w:r>
    </w:p>
    <w:p>
      <w:r>
        <w:rPr>
          <w:rFonts w:ascii="Times New Roman" w:hAnsi="Times New Roman" w:eastAsia="宋体"/>
          <w:sz w:val="21"/>
        </w:rPr>
        <w:t>同一采集经两个 adapter 形成不同消息键 (k_1,k_2)。若 transport 层保证每个键恰好提交一次，但系统暂时把它们登记为不同 roots，则无冲突合取后</w:t>
      </w:r>
    </w:p>
    <w:p>
      <w:pPr>
        <w:spacing w:before="100" w:after="100"/>
        <w:ind w:firstLine="0"/>
        <w:jc w:val="center"/>
      </w:pPr>
      <w:r>
        <w:rPr>
          <w:rFonts w:ascii="Cambria Math" w:hAnsi="Cambria Math" w:eastAsia="Cambria Math"/>
          <w:sz w:val="21"/>
        </w:rPr>
        <w:t>m_{k_1\oplus k_2}(\{H\})=1-(1-0.80)^2=0.96.</w:t>
      </w:r>
    </w:p>
    <w:p>
      <w:r>
        <w:rPr>
          <w:rFonts w:ascii="Times New Roman" w:hAnsi="Times New Roman" w:eastAsia="宋体"/>
          <w:sz w:val="21"/>
        </w:rPr>
        <w:t>unique-root oracle 仍是 0.80。此处没有消息重试：两个键都只处理了一次；也没有必须由冲突检测暴露的异常。后来审计证明 (k_1\sim k_2) 时，普通 idempotency key 只能说明两个事件均已提交，不能把 0.96 自动恢复为 0.80。仅记录 provenance 也不足以规定旧 contribution、预算与动作状态如何撤销。</w:t>
      </w:r>
    </w:p>
    <w:p>
      <w:r>
        <w:rPr>
          <w:rFonts w:ascii="Times New Roman" w:hAnsi="Times New Roman" w:eastAsia="宋体"/>
          <w:sz w:val="21"/>
        </w:rPr>
        <w:t>本文语义把新增等价边视为 control event：收缩等价类，选择 canonical representative，从最早受影响 checkpoint 移除旧 member contributions，用 class-level mapper 生成至多一个 joint contribution，并原子重建 belief、ledger、budget、gate 与 action state。历史 processing charge 可审计且不退款，但当前 epistemic contribution 只能有一个。相同机制用于 version supersession；merge/retire/replay 不能以普通新消息进入组合。</w:t>
      </w:r>
    </w:p>
    <w:p>
      <w:r>
        <w:rPr>
          <w:rFonts w:ascii="Times New Roman" w:hAnsi="Times New Roman" w:eastAsia="宋体"/>
          <w:sz w:val="21"/>
        </w:rPr>
        <w:t>该反例是必要性证明，不是充分的新颖性证明。MME 必须让简单 event-sourced exactly-once baseline、provenance/lineage baseline 和本文方法共同接受相同外部 truth，再比较输出；若基线同样恢复 unique-root oracle，C1 被否证。</w:t>
      </w:r>
    </w:p>
    <w:p>
      <w:pPr>
        <w:pStyle w:val="Heading2"/>
      </w:pPr>
      <w:r>
        <w:rPr>
          <w:rFonts w:ascii="Times New Roman" w:hAnsi="Times New Roman" w:eastAsia="宋体"/>
          <w:sz w:val="24"/>
        </w:rPr>
        <w:t>4.3 生命周期状态转换</w:t>
      </w:r>
    </w:p>
    <w:p>
      <w:r>
        <w:rPr>
          <w:rFonts w:ascii="Times New Roman" w:hAnsi="Times New Roman" w:eastAsia="宋体"/>
          <w:sz w:val="21"/>
        </w:rPr>
        <w:t>每个 root 的 lifecycle 仅取 UNCOMMITTED、ACTIVE、NONCONTRIBUTING、RETIRED 或 MERGED；尝试日志与有效版本分开。核心转换为：</w:t>
      </w:r>
    </w:p>
    <w:p>
      <w:pPr>
        <w:pStyle w:val="ListBullet"/>
        <w:ind w:firstLine="0"/>
      </w:pPr>
      <w:r>
        <w:rPr>
          <w:rFonts w:ascii="Times New Roman" w:hAnsi="Times New Roman" w:eastAsia="宋体"/>
          <w:b/>
          <w:sz w:val="21"/>
        </w:rPr>
        <w:t>INITIALIZE</w:t>
      </w:r>
      <w:r>
        <w:rPr>
          <w:rFonts w:ascii="Times New Roman" w:hAnsi="Times New Roman" w:eastAsia="宋体"/>
          <w:sz w:val="21"/>
        </w:rPr>
        <w:t>：从未承诺 root 首次通过所有门后形成一个 active contribution；</w:t>
      </w:r>
    </w:p>
    <w:p>
      <w:pPr>
        <w:pStyle w:val="ListBullet"/>
        <w:ind w:firstLine="0"/>
      </w:pPr>
      <w:r>
        <w:rPr>
          <w:rFonts w:ascii="Times New Roman" w:hAnsi="Times New Roman" w:eastAsia="宋体"/>
          <w:b/>
          <w:sz w:val="21"/>
        </w:rPr>
        <w:t>SUPERSEDE</w:t>
      </w:r>
      <w:r>
        <w:rPr>
          <w:rFonts w:ascii="Times New Roman" w:hAnsi="Times New Roman" w:eastAsia="宋体"/>
          <w:sz w:val="21"/>
        </w:rPr>
        <w:t>：更高版本替换同一 root 内容，复用既有 root slot，不增加独立信息量；</w:t>
      </w:r>
    </w:p>
    <w:p>
      <w:pPr>
        <w:pStyle w:val="ListBullet"/>
        <w:ind w:firstLine="0"/>
      </w:pPr>
      <w:r>
        <w:rPr>
          <w:rFonts w:ascii="Times New Roman" w:hAnsi="Times New Roman" w:eastAsia="宋体"/>
          <w:b/>
          <w:sz w:val="21"/>
        </w:rPr>
        <w:t>MERGE</w:t>
      </w:r>
      <w:r>
        <w:rPr>
          <w:rFonts w:ascii="Times New Roman" w:hAnsi="Times New Roman" w:eastAsia="宋体"/>
          <w:sz w:val="21"/>
        </w:rPr>
        <w:t>：已确认等价的 roots 收缩为一个 class，删除成员旧 contribution 后重编译；</w:t>
      </w:r>
    </w:p>
    <w:p>
      <w:pPr>
        <w:pStyle w:val="ListBullet"/>
        <w:ind w:firstLine="0"/>
      </w:pPr>
      <w:r>
        <w:rPr>
          <w:rFonts w:ascii="Times New Roman" w:hAnsi="Times New Roman" w:eastAsia="宋体"/>
          <w:b/>
          <w:sz w:val="21"/>
        </w:rPr>
        <w:t>RETIRE</w:t>
      </w:r>
      <w:r>
        <w:rPr>
          <w:rFonts w:ascii="Times New Roman" w:hAnsi="Times New Roman" w:eastAsia="宋体"/>
          <w:sz w:val="21"/>
        </w:rPr>
        <w:t>：root 退出活动集合并触发从 checkpoint 的确定性重建；</w:t>
      </w:r>
    </w:p>
    <w:p>
      <w:pPr>
        <w:pStyle w:val="ListBullet"/>
        <w:ind w:firstLine="0"/>
      </w:pPr>
      <w:r>
        <w:rPr>
          <w:rFonts w:ascii="Times New Roman" w:hAnsi="Times New Roman" w:eastAsia="宋体"/>
          <w:b/>
          <w:sz w:val="21"/>
        </w:rPr>
        <w:t>REPLAY</w:t>
      </w:r>
      <w:r>
        <w:rPr>
          <w:rFonts w:ascii="Times New Roman" w:hAnsi="Times New Roman" w:eastAsia="宋体"/>
          <w:sz w:val="21"/>
        </w:rPr>
        <w:t>：只消费 FrozenExogenousContext 与 ImmutableChargeFacts，历史内生快照只供审计；</w:t>
      </w:r>
    </w:p>
    <w:p>
      <w:pPr>
        <w:pStyle w:val="ListBullet"/>
        <w:ind w:firstLine="0"/>
      </w:pPr>
      <w:r>
        <w:rPr>
          <w:rFonts w:ascii="Times New Roman" w:hAnsi="Times New Roman" w:eastAsia="宋体"/>
          <w:b/>
          <w:sz w:val="21"/>
        </w:rPr>
        <w:t>SAFE_HALT</w:t>
      </w:r>
      <w:r>
        <w:rPr>
          <w:rFonts w:ascii="Times New Roman" w:hAnsi="Times New Roman" w:eastAsia="宋体"/>
          <w:sz w:val="21"/>
        </w:rPr>
        <w:t>：mandatory merge/replay 无法完成时 belief 标记 UNAVAILABLE，禁止继续服务过期状态。</w:t>
      </w:r>
    </w:p>
    <w:p>
      <w:r>
        <w:rPr>
          <w:rFonts w:ascii="Times New Roman" w:hAnsi="Times New Roman" w:eastAsia="宋体"/>
          <w:sz w:val="21"/>
        </w:rPr>
        <w:t>commitment、acceptance-rate token 与当前 contribution 分离：历史实际 processing/commitment charge 不退款，防止通过版本轮换或 merge 逃逸预算；当前 belief 中的 contribution 则必须与 canonical class 一一对应。完整 CAS 读集、tie-break、timer、redirect 和失败码见 S2-v20.1。</w:t>
      </w:r>
    </w:p>
    <w:p>
      <w:pPr>
        <w:pStyle w:val="Heading2"/>
      </w:pPr>
      <w:r>
        <w:rPr>
          <w:rFonts w:ascii="Times New Roman" w:hAnsi="Times New Roman" w:eastAsia="宋体"/>
          <w:sz w:val="24"/>
        </w:rPr>
        <w:t>4.4 行动边界与拒绝成本</w:t>
      </w:r>
    </w:p>
    <w:p>
      <w:r>
        <w:rPr>
          <w:rFonts w:ascii="Times New Roman" w:hAnsi="Times New Roman" w:eastAsia="宋体"/>
          <w:sz w:val="21"/>
        </w:rPr>
        <w:t>SAFE_ELIGIBLE 除 belief 风险外还要求 ISCM 正常且新鲜、provenance verified、replay current、gate accepted、无打开 safety latch，并对全部允许效用满足风险上界与宽度门。UNKNOWN、complexity overflow、mapping invalid 或 registry invariant failure 均不能输出 SAFE。</w:t>
      </w:r>
    </w:p>
    <w:p>
      <w:r>
        <w:rPr>
          <w:rFonts w:ascii="Times New Roman" w:hAnsi="Times New Roman" w:eastAsia="宋体"/>
          <w:sz w:val="21"/>
        </w:rPr>
        <w:t>这种语义天然可能增加 abstention 和 false block。因而“重复贡献减少”不能单独构成系统优越性；必须同时报告良性 SAFE availability、误升级、正确行动延迟、miss mass、P99/OOM 和资源预算。若方法通过拒绝一切获得零 unsafe-SAFE，确认性 no-harm 门会使 C-System 失败。</w:t>
      </w:r>
    </w:p>
    <w:p>
      <w:pPr>
        <w:pStyle w:val="Heading1"/>
      </w:pPr>
      <w:r>
        <w:rPr>
          <w:rFonts w:ascii="Times New Roman" w:hAnsi="Times New Roman" w:eastAsia="宋体"/>
          <w:sz w:val="28"/>
        </w:rPr>
        <w:t>5 条件实现性质与支撑性分析</w:t>
      </w:r>
    </w:p>
    <w:p>
      <w:pPr>
        <w:pStyle w:val="Heading2"/>
      </w:pPr>
      <w:r>
        <w:rPr>
          <w:rFonts w:ascii="Times New Roman" w:hAnsi="Times New Roman" w:eastAsia="宋体"/>
          <w:sz w:val="24"/>
        </w:rPr>
        <w:t>5.1 三个实现命题</w:t>
      </w:r>
    </w:p>
    <w:p>
      <w:r>
        <w:rPr>
          <w:rFonts w:ascii="Times New Roman" w:hAnsi="Times New Roman" w:eastAsia="宋体"/>
          <w:b/>
          <w:sz w:val="21"/>
        </w:rPr>
        <w:t>命题 1（Exact-duplicate and lifecycle conservation）。</w:t>
      </w:r>
      <w:r>
        <w:rPr>
          <w:rFonts w:ascii="Times New Roman" w:hAnsi="Times New Roman" w:eastAsia="宋体"/>
          <w:sz w:val="21"/>
        </w:rPr>
        <w:t xml:space="preserve"> 在身份绑定、root-level mapper、atomic commit 和 canonicalization 成功的执行域内，exact retry、principal alias 与 ledger replay 不增加当前 contribution；supersede 保持 root slot 数不变；merge 后每个 canonical class 至多保留一个 active joint contribution。该命题不声称任意新增 view 都保持 valuation 不变。</w:t>
      </w:r>
    </w:p>
    <w:p>
      <w:r>
        <w:rPr>
          <w:rFonts w:ascii="Times New Roman" w:hAnsi="Times New Roman" w:eastAsia="宋体"/>
          <w:b/>
          <w:sz w:val="21"/>
        </w:rPr>
        <w:t>命题 2（Replay/canonicalization equivalence）。</w:t>
      </w:r>
      <w:r>
        <w:rPr>
          <w:rFonts w:ascii="Times New Roman" w:hAnsi="Times New Roman" w:eastAsia="宋体"/>
          <w:sz w:val="21"/>
        </w:rPr>
        <w:t xml:space="preserve"> 对相同 FrozenExogenousContext、ImmutableChargeFacts 和全序事件前缀，规范在线执行与从合法 checkpoint 重放得到相同 effective registry、ledger、belief、budget、rate 和 gate state。缺失工件、canonicalization failure 或 cap overflow 进入显式 fail-stop，不属于成功域。</w:t>
      </w:r>
    </w:p>
    <w:p>
      <w:r>
        <w:rPr>
          <w:rFonts w:ascii="Times New Roman" w:hAnsi="Times New Roman" w:eastAsia="宋体"/>
          <w:b/>
          <w:sz w:val="21"/>
        </w:rPr>
        <w:t>命题 3（Registry-relative exclusion consistency）。</w:t>
      </w:r>
      <w:r>
        <w:rPr>
          <w:rFonts w:ascii="Times New Roman" w:hAnsi="Times New Roman" w:eastAsia="宋体"/>
          <w:sz w:val="21"/>
        </w:rPr>
        <w:t xml:space="preserve"> 若声明的 observation-generation graph、physical-coupling hypergraph、adapter/mapping 和 completeness contract 对目标执行域正确且覆盖充分，则获准组合不会由该声明图中已知的共同祖先或重复路径造成额外 contribution。该命题不是对真实独立性的无条件 soundness；漏边、伪边、错误 root merge 和错误 Eventifier 必须通过 oracle stress test 单独量化。</w:t>
      </w:r>
    </w:p>
    <w:p>
      <w:r>
        <w:rPr>
          <w:rFonts w:ascii="Times New Roman" w:hAnsi="Times New Roman" w:eastAsia="宋体"/>
          <w:sz w:val="21"/>
        </w:rPr>
        <w:t>三个命题是架构/实现性质，而不是新的信念函数定理。S1-v20.1 给出性质测试义务；v6.8 要求独立 oracle 与第二实现进行 differential verification。若任一生命周期轨迹出现 class contribution 大于 1，核心架构直接否证，停止性能实验。</w:t>
      </w:r>
    </w:p>
    <w:p>
      <w:pPr>
        <w:pStyle w:val="Heading2"/>
      </w:pPr>
      <w:r>
        <w:rPr>
          <w:rFonts w:ascii="Times New Roman" w:hAnsi="Times New Roman" w:eastAsia="宋体"/>
          <w:sz w:val="24"/>
        </w:rPr>
        <w:t>5.2 接受分支的支撑性 (1/\delta) 界</w:t>
      </w:r>
    </w:p>
    <w:p>
      <w:r>
        <w:rPr>
          <w:rFonts w:ascii="Times New Roman" w:hAnsi="Times New Roman" w:eastAsia="宋体"/>
          <w:sz w:val="21"/>
        </w:rPr>
        <w:t>对固定操作数 (b)，令 (s_b(q)=1-K_{\mathrm{norm}}(b,q))、(F_b(q)) 为归一合取的接受分支，并定义</w:t>
      </w:r>
    </w:p>
    <w:p>
      <w:pPr>
        <w:spacing w:before="100" w:after="100"/>
        <w:ind w:firstLine="0"/>
        <w:jc w:val="center"/>
      </w:pPr>
      <w:r>
        <w:rPr>
          <w:rFonts w:ascii="Cambria Math" w:hAnsi="Cambria Math" w:eastAsia="Cambria Math"/>
          <w:sz w:val="21"/>
        </w:rPr>
        <w:t>\mathcal A_{b,\delta}=\{q:s_b(q)\ge\delta\}.</w:t>
      </w:r>
    </w:p>
    <w:p>
      <w:r>
        <w:rPr>
          <w:rFonts w:ascii="Times New Roman" w:hAnsi="Times New Roman" w:eastAsia="宋体"/>
          <w:sz w:val="21"/>
        </w:rPr>
        <w:t>在有限框架且 (delta\in(0,1]) 时，跨操作数与接受输入类的 (L_1) 一致 Lipschitz 常数为</w:t>
      </w:r>
    </w:p>
    <w:p>
      <w:pPr>
        <w:spacing w:before="100" w:after="100"/>
        <w:ind w:firstLine="0"/>
        <w:jc w:val="center"/>
      </w:pPr>
      <w:r>
        <w:rPr>
          <w:rFonts w:ascii="Cambria Math" w:hAnsi="Cambria Math" w:eastAsia="Cambria Math"/>
          <w:sz w:val="21"/>
        </w:rPr>
        <w:t>L_\delta^\star= \sup_b\sup_{q\ne q'\in\mathcal A_{b,\delta}} \frac{\|F_b(q)-F_b(q')\|_1}{\|q-q'\|_1} =\frac1\delta .</w:t>
      </w:r>
    </w:p>
    <w:p>
      <w:r>
        <w:rPr>
          <w:rFonts w:ascii="Times New Roman" w:hAnsi="Times New Roman" w:eastAsia="宋体"/>
          <w:sz w:val="21"/>
        </w:rPr>
        <w:t>该结果沿用归一合取与随机集交的既有连续性工具 [30], [43]，本文仅把它用于冻结接受轨迹的敏感性审计。它不跨越 hard gate、supersede、merge、retire 或 replay，也不是本文主要理论创新。</w:t>
      </w:r>
    </w:p>
    <w:p>
      <w:r>
        <w:rPr>
          <w:rFonts w:ascii="Times New Roman" w:hAnsi="Times New Roman" w:eastAsia="宋体"/>
          <w:sz w:val="21"/>
        </w:rPr>
        <w:t>若每一步先以单一遗忘率预测，且共同接受步的 survival mass 不低于 (delta_\star)，则目标 root 内容替换导致的轨迹距离可按接受次数与遗忘时间形成上界；详细式与证明义务保留在 S1-v20.1。每个候选必须重新检查 gate margin，不能把一个时刻的界外推为未来安全证书。</w:t>
      </w:r>
    </w:p>
    <w:p>
      <w:pPr>
        <w:pStyle w:val="Heading2"/>
      </w:pPr>
      <w:r>
        <w:rPr>
          <w:rFonts w:ascii="Times New Roman" w:hAnsi="Times New Roman" w:eastAsia="宋体"/>
          <w:sz w:val="24"/>
        </w:rPr>
        <w:t>5.3 保证边界与敏感性义务</w:t>
      </w:r>
    </w:p>
    <w:p>
      <w:r>
        <w:rPr>
          <w:rFonts w:ascii="Times New Roman" w:hAnsi="Times New Roman" w:eastAsia="宋体"/>
          <w:sz w:val="21"/>
        </w:rPr>
        <w:t>实现命题依赖四个外部对象：Eventifier、root-equivalence evidence、registry coverage 和 root-level mapper。v6.8 为每个对象规定否证压力：</w:t>
      </w:r>
    </w:p>
    <w:p>
      <w:pPr>
        <w:pStyle w:val="ListNumber"/>
        <w:ind w:firstLine="0"/>
      </w:pPr>
      <w:r>
        <w:rPr>
          <w:rFonts w:ascii="Times New Roman" w:hAnsi="Times New Roman" w:eastAsia="宋体"/>
          <w:sz w:val="21"/>
        </w:rPr>
        <w:t>对同一 latent physical truth 改变 Eventifier split/merge 粒度；</w:t>
      </w:r>
    </w:p>
    <w:p>
      <w:pPr>
        <w:pStyle w:val="ListNumber"/>
        <w:ind w:firstLine="0"/>
      </w:pPr>
      <w:r>
        <w:rPr>
          <w:rFonts w:ascii="Times New Roman" w:hAnsi="Times New Roman" w:eastAsia="宋体"/>
          <w:sz w:val="21"/>
        </w:rPr>
        <w:t>随机删除/添加 lineage edge 与高阶 hyperedge；</w:t>
      </w:r>
    </w:p>
    <w:p>
      <w:pPr>
        <w:pStyle w:val="ListNumber"/>
        <w:ind w:firstLine="0"/>
      </w:pPr>
      <w:r>
        <w:rPr>
          <w:rFonts w:ascii="Times New Roman" w:hAnsi="Times New Roman" w:eastAsia="宋体"/>
          <w:sz w:val="21"/>
        </w:rPr>
        <w:t>延迟 root-equivalence disclosure，覆盖 post-commit merge；</w:t>
      </w:r>
    </w:p>
    <w:p>
      <w:pPr>
        <w:pStyle w:val="ListNumber"/>
        <w:ind w:firstLine="0"/>
      </w:pPr>
      <w:r>
        <w:rPr>
          <w:rFonts w:ascii="Times New Roman" w:hAnsi="Times New Roman" w:eastAsia="宋体"/>
          <w:sz w:val="21"/>
        </w:rPr>
        <w:t>加入不增加信息的 views 与真正独立 roots，分别测量不变性和响应性；</w:t>
      </w:r>
    </w:p>
    <w:p>
      <w:pPr>
        <w:pStyle w:val="ListNumber"/>
        <w:ind w:firstLine="0"/>
      </w:pPr>
      <w:r>
        <w:rPr>
          <w:rFonts w:ascii="Times New Roman" w:hAnsi="Times New Roman" w:eastAsia="宋体"/>
          <w:sz w:val="21"/>
        </w:rPr>
        <w:t>使用独立实现和 scorer-only oracle，禁止从本文 ledger 读取真值。</w:t>
      </w:r>
    </w:p>
    <w:p>
      <w:r>
        <w:rPr>
          <w:rFonts w:ascii="Times New Roman" w:hAnsi="Times New Roman" w:eastAsia="宋体"/>
          <w:sz w:val="21"/>
        </w:rPr>
        <w:t>只有在这些压力下同时保持 unique-root oracle 一致性和合理 availability，才能把“合同一致”升级为可发表的机制证据。</w:t>
      </w:r>
    </w:p>
    <w:p>
      <w:pPr>
        <w:pStyle w:val="Heading1"/>
      </w:pPr>
      <w:r>
        <w:rPr>
          <w:rFonts w:ascii="Times New Roman" w:hAnsi="Times New Roman" w:eastAsia="宋体"/>
          <w:sz w:val="28"/>
        </w:rPr>
        <w:t>6 验证状态与分阶段实验设计</w:t>
      </w:r>
    </w:p>
    <w:p>
      <w:pPr>
        <w:pStyle w:val="Heading2"/>
      </w:pPr>
      <w:r>
        <w:rPr>
          <w:rFonts w:ascii="Times New Roman" w:hAnsi="Times New Roman" w:eastAsia="宋体"/>
          <w:sz w:val="24"/>
        </w:rPr>
        <w:t>6.1 SHK-000：非确认性工程资格，而非论文结果</w:t>
      </w:r>
    </w:p>
    <w:p>
      <w:r>
        <w:rPr>
          <w:rFonts w:ascii="Times New Roman" w:hAnsi="Times New Roman" w:eastAsia="宋体"/>
          <w:sz w:val="21"/>
        </w:rPr>
        <w:t>远程 SHK-000 已在实际 NVIDIA L20 主机上完成窄资格：25 项工程测试通过，16/16 canary 检查通过；100 个 physical seed 产生 100 个不同 truth hash，固定 physical seed 的 10 个 noise seed 保持 1 个 truth hash并产生 10 个 evidence hash；重复运行保持 hash 一致。该结果只支持 toy generator 的 seed/hash 隔离和一小部分 duplicate/root contract。</w:t>
      </w:r>
    </w:p>
    <w:p>
      <w:r>
        <w:rPr>
          <w:rFonts w:ascii="Times New Roman" w:hAnsi="Times New Roman" w:eastAsia="宋体"/>
          <w:sz w:val="21"/>
        </w:rPr>
        <w:t>同一次执行的 G0_RESOURCE 失败，完整 G1/G2/P0 未关闭，`PILOT_AUTHORIZED=false`、`D_TEST_AUTHORIZED=false`，权威结果标记 `claim_support=none`。它没有验证完整 supersede/merge/retire/replay、第二实现、物理 ACL 隔离、MME、功效、系统优越性或外部效度。本文因此把 SHK-000 作为工程状态披露，不把它写入 abstract 的效果结论。</w:t>
      </w:r>
    </w:p>
    <w:p>
      <w:pPr>
        <w:pStyle w:val="Heading2"/>
      </w:pPr>
      <w:r>
        <w:rPr>
          <w:rFonts w:ascii="Times New Roman" w:hAnsi="Times New Roman" w:eastAsia="宋体"/>
          <w:sz w:val="24"/>
        </w:rPr>
        <w:t>6.2 Phase 1：外部 oracle 驱动的最小机制实验</w:t>
      </w:r>
    </w:p>
    <w:p>
      <w:r>
        <w:rPr>
          <w:rFonts w:ascii="Times New Roman" w:hAnsi="Times New Roman" w:eastAsia="宋体"/>
          <w:sz w:val="21"/>
        </w:rPr>
        <w:t>MME 是投稿前最低证据，不使用确认性 `D_test`，也不能用于调 SESOI、no-harm margin 或效应方向。scorer-only oracle 保存 latent physical-acquisition id、真实 ancestry graph、真实独立 root 与 action-relevant state；所有方法只见相同的 opaque events。</w:t>
      </w:r>
    </w:p>
    <w:p>
      <w:r>
        <w:rPr>
          <w:rFonts w:ascii="Times New Roman" w:hAnsi="Times New Roman" w:eastAsia="宋体"/>
          <w:sz w:val="21"/>
        </w:rPr>
        <w:t>比较方法至少包括：完整方法 A；简单 event-sourced exactly-once baseline；provenance/lineage-only baseline（含 PRIMEX-PEV 型逻辑）；cautious/partial-dependence baseline；naïve normalized-conjunctive reference。四类操纵为 exact retry、不同键同源 views、延迟披露的 post-commit equivalence、真正独立的新 root；另对 registry 漏边/伪边、高阶边遗漏和 Eventifier split/merge 做压力测试。</w:t>
      </w:r>
    </w:p>
    <w:p>
      <w:r>
        <w:rPr>
          <w:rFonts w:ascii="Times New Roman" w:hAnsi="Times New Roman" w:eastAsia="宋体"/>
          <w:sz w:val="21"/>
        </w:rPr>
        <w:t>对方法 (m) 的公共输出 (g_m) 定义冗余扰动不变性</w:t>
      </w:r>
    </w:p>
    <w:p>
      <w:pPr>
        <w:spacing w:before="100" w:after="100"/>
        <w:ind w:firstLine="0"/>
        <w:jc w:val="center"/>
      </w:pPr>
      <w:r>
        <w:rPr>
          <w:rFonts w:ascii="Cambria Math" w:hAnsi="Cambria Math" w:eastAsia="Cambria Math"/>
          <w:sz w:val="21"/>
        </w:rPr>
        <w:t>DRI_m(k)=d\{g_m(X\cup D_k),g_m(X)\},</w:t>
      </w:r>
    </w:p>
    <w:p>
      <w:r>
        <w:rPr>
          <w:rFonts w:ascii="Times New Roman" w:hAnsi="Times New Roman" w:eastAsia="宋体"/>
          <w:sz w:val="21"/>
        </w:rPr>
        <w:t>其中 (D_k) 只增加重复或派生 views；并定义独立信息响应</w:t>
      </w:r>
    </w:p>
    <w:p>
      <w:pPr>
        <w:spacing w:before="100" w:after="100"/>
        <w:ind w:firstLine="0"/>
        <w:jc w:val="center"/>
      </w:pPr>
      <w:r>
        <w:rPr>
          <w:rFonts w:ascii="Cambria Math" w:hAnsi="Cambria Math" w:eastAsia="Cambria Math"/>
          <w:sz w:val="21"/>
        </w:rPr>
        <w:t>SRI_m(k)=d\{g_m(X\cup I_k),g_m(X)\},</w:t>
      </w:r>
    </w:p>
    <w:p>
      <w:r>
        <w:rPr>
          <w:rFonts w:ascii="Times New Roman" w:hAnsi="Times New Roman" w:eastAsia="宋体"/>
          <w:sz w:val="21"/>
        </w:rPr>
        <w:t>其中 (I_k) 增加 oracle 证明独立的新采集。理想方法对 (D_k) 的 DRI 小，但对有决策意义的 (I_k) 仍有足够 SRI。主要评分统一使用 belief/credal-risk/action 输出与 unique-root oracle 的距离；A 的内部 canonical-root count 只作诊断，不能当裁判。</w:t>
      </w:r>
    </w:p>
    <w:p>
      <w:r>
        <w:rPr>
          <w:rFonts w:ascii="Times New Roman" w:hAnsi="Times New Roman" w:eastAsia="宋体"/>
          <w:sz w:val="21"/>
        </w:rPr>
        <w:t>MME 同时报告 duplicate suppression、post-merge recovery error、false block、benign availability、wrong-direction action、decision delay、P99、OOM/crash 和 replay cost。若 A 只降低 DRI 却显著压低 SRI 或 availability，不能进入确认性主张。</w:t>
      </w:r>
    </w:p>
    <w:p>
      <w:pPr>
        <w:pStyle w:val="Heading2"/>
      </w:pPr>
      <w:r>
        <w:rPr>
          <w:rFonts w:ascii="Times New Roman" w:hAnsi="Times New Roman" w:eastAsia="宋体"/>
          <w:sz w:val="24"/>
        </w:rPr>
        <w:t>6.3 Phase 2：门控确认性设计</w:t>
      </w:r>
    </w:p>
    <w:p>
      <w:r>
        <w:rPr>
          <w:rFonts w:ascii="Times New Roman" w:hAnsi="Times New Roman" w:eastAsia="宋体"/>
          <w:sz w:val="21"/>
        </w:rPr>
        <w:t>目标总体仍限定为两个预签、结构不同的 barrier-explicit exothermic CSTR strata；它们是固定验证层，不代表从“拓扑总体”随机抽样。每个 topology 分别报告效应和交互，混合 estimand 使用预签权重。只有未来从冻结 topology generator 独立抽取足够多结构并设置 held-out family，才允许随机效应或拓扑总体外推。</w:t>
      </w:r>
    </w:p>
    <w:p>
      <w:r>
        <w:rPr>
          <w:rFonts w:ascii="Times New Roman" w:hAnsi="Times New Roman" w:eastAsia="宋体"/>
          <w:sz w:val="21"/>
        </w:rPr>
        <w:t>主比较为 A 对在独立 `D_select` 上按冻结规则选出的唯一 G</w:t>
      </w:r>
      <w:r>
        <w:rPr>
          <w:rFonts w:ascii="Times New Roman" w:hAnsi="Times New Roman" w:eastAsia="宋体"/>
          <w:i/>
          <w:sz w:val="21"/>
        </w:rPr>
        <w:t>；每个功效 Monte Carlo replicate 重做选择。三个固定 sentinel baselines 进行 Holm 调整的支持性比较，用于检验 G</w:t>
      </w:r>
      <w:r>
        <w:rPr>
          <w:rFonts w:ascii="Times New Roman" w:hAnsi="Times New Roman" w:eastAsia="宋体"/>
          <w:sz w:val="21"/>
        </w:rPr>
        <w:t xml:space="preserve"> 脆弱性。winner stability 未过门时当前版本停止并升版，不在同一协议临时换 baseline。</w:t>
      </w:r>
    </w:p>
    <w:p>
      <w:r>
        <w:rPr>
          <w:rFonts w:ascii="Times New Roman" w:hAnsi="Times New Roman" w:eastAsia="宋体"/>
          <w:sz w:val="21"/>
        </w:rPr>
        <w:t>共同主终点保留：(i) unsafe-SAFE 或方法失败的复合风险，且两个组件各自 no-harm；(ii) restricted correct-action delay。良性 SAFE availability、miss mass、误升级、拒判、barrier calibration、P99 和资源合同为绑定资格门。正确行动由独立安全团队在 test 生成前双签 `ActionTruthRuleManifest`、generator/scorer code 与 hash；bundle manifest 自动生成，执行 100% 机器资格和预签分层人工抽审，禁止逐 bundle 人工编辑。</w:t>
      </w:r>
    </w:p>
    <w:p>
      <w:pPr>
        <w:pStyle w:val="Heading2"/>
      </w:pPr>
      <w:r>
        <w:rPr>
          <w:rFonts w:ascii="Times New Roman" w:hAnsi="Times New Roman" w:eastAsia="宋体"/>
          <w:sz w:val="24"/>
        </w:rPr>
        <w:t>6.4 IUT、联合功效与预算可行性</w:t>
      </w:r>
    </w:p>
    <w:p>
      <w:r>
        <w:rPr>
          <w:rFonts w:ascii="Times New Roman" w:hAnsi="Times New Roman" w:eastAsia="宋体"/>
          <w:sz w:val="21"/>
        </w:rPr>
        <w:t>系统通过事件是全部共同主效应和资格门的交集</w:t>
      </w:r>
    </w:p>
    <w:p>
      <w:pPr>
        <w:spacing w:before="100" w:after="100"/>
        <w:ind w:firstLine="0"/>
        <w:jc w:val="center"/>
      </w:pPr>
      <w:r>
        <w:rPr>
          <w:rFonts w:ascii="Cambria Math" w:hAnsi="Cambria Math" w:eastAsia="Cambria Math"/>
          <w:sz w:val="21"/>
        </w:rPr>
        <w:t>\pi_{joint}=P\!\left(\bigcap_j E_j\right),</w:t>
      </w:r>
    </w:p>
    <w:p>
      <w:r>
        <w:rPr>
          <w:rFonts w:ascii="Times New Roman" w:hAnsi="Times New Roman" w:eastAsia="宋体"/>
          <w:sz w:val="21"/>
        </w:rPr>
        <w:t>不能用边际功效的乘积近似，除非通过事件独立。IUT 的复合零假设中只要至少一个组件为真，全部拒绝的概率即由单个组件的单侧 (alpha=0.025) 控制；不在 IUT 组件间再做 Bonferroni 拆分。v6.8 使用完整 joint endpoint kernel，对相关终点、batch ICC、failure、miss mass、G* 选择和所有 gate 进行联合 Monte Carlo，并用独立 power-confirm seed 复核一次。</w:t>
      </w:r>
    </w:p>
    <w:p>
      <w:r>
        <w:rPr>
          <w:rFonts w:ascii="Times New Roman" w:hAnsi="Times New Roman" w:eastAsia="宋体"/>
          <w:sz w:val="21"/>
        </w:rPr>
        <w:t>新增预算硬门：若在冻结 nuisance grid 上不存在 (n\le n_{max,budget}) 使完整 gate 的功效下限达到目标，则 `C-System=NOT_TESTED`，不得生成 `D_test`。pilot 后不能在原协议删除终点以追求阳性；只能停止、升版并用独立数据验证较弱主张。</w:t>
      </w:r>
    </w:p>
    <w:p>
      <w:pPr>
        <w:pStyle w:val="Heading2"/>
      </w:pPr>
      <w:r>
        <w:rPr>
          <w:rFonts w:ascii="Times New Roman" w:hAnsi="Times New Roman" w:eastAsia="宋体"/>
          <w:sz w:val="24"/>
        </w:rPr>
        <w:t>6.5 Phase 3：外部支持与措辞纪律</w:t>
      </w:r>
    </w:p>
    <w:p>
      <w:r>
        <w:rPr>
          <w:rFonts w:ascii="Times New Roman" w:hAnsi="Times New Roman" w:eastAsia="宋体"/>
          <w:sz w:val="21"/>
        </w:rPr>
        <w:t>同一数值生态的两个 CSTR 只支持有限模拟域。扩展 Tennessee Eastman 数据 [29] 可承担公开故障窗、provenance 攻击和计算压力支持，但不能证明 barrier demand。投稿前至少需要独立 simulator、shadow 或 HIL 中一项，且复用冻结的 root/registry/oracle 接口。HRI/6M 可作为未来异构 transportability case，但 6M 分类不是方法创新，也不能替代 lifecycle MME。</w:t>
      </w:r>
    </w:p>
    <w:p>
      <w:r>
        <w:rPr>
          <w:rFonts w:ascii="Times New Roman" w:hAnsi="Times New Roman" w:eastAsia="宋体"/>
          <w:sz w:val="21"/>
        </w:rPr>
        <w:t>结果措辞按门降级：只有性质资格成功时可声称合同一致；MME 成功可声称相对简单 exactly-once/lineage baseline 的机制增量；确认性 gate 全部通过才可声称系统收益；外部支持未完成时题名、摘要和结论不得外推到通用工业或人机协作。</w:t>
      </w:r>
    </w:p>
    <w:p>
      <w:pPr>
        <w:pStyle w:val="Heading1"/>
      </w:pPr>
      <w:r>
        <w:rPr>
          <w:rFonts w:ascii="Times New Roman" w:hAnsi="Times New Roman" w:eastAsia="宋体"/>
          <w:sz w:val="28"/>
        </w:rPr>
        <w:t>7 讨论</w:t>
      </w:r>
    </w:p>
    <w:p>
      <w:r>
        <w:rPr>
          <w:rFonts w:ascii="Times New Roman" w:hAnsi="Times New Roman" w:eastAsia="宋体"/>
          <w:sz w:val="21"/>
        </w:rPr>
        <w:t>本文最强也最容易被攻击的主张是：把 exactly-once 从消息处理边界推进到信念组合的认知贡献边界，并处理提交后才出现的 root equivalence。它不是新组合规则，也不是 provenance 或 event sourcing 的首创。其发表价值取决于一个直接对撞：在相同外部 physical-acquisition oracle 下，普通 transport exactly-once、provenance/lineage-only 和依赖组合基线是否仍偏离 unique-root belief 或动作，而本文能否在不过度拒绝的前提下恢复一致。</w:t>
      </w:r>
    </w:p>
    <w:p>
      <w:r>
        <w:rPr>
          <w:rFonts w:ascii="Times New Roman" w:hAnsi="Times New Roman" w:eastAsia="宋体"/>
          <w:sz w:val="21"/>
        </w:rPr>
        <w:t>过程安全是高约束验证案例而非原创性的唯一来源。SafetyArtifactIR 帮助把 demand、barrier、CCF、lineage 与 forbidden inference 分开，但其字段和失败码不应淹没主线，因此 v21 将大部分规范下沉 S2-v20.1。若 C-HB 消融不通过，过程安全只能保留为应用域；若 lifecycle MME 不通过，即使安全工件编译正确，融合创新也不成立。</w:t>
      </w:r>
    </w:p>
    <w:p>
      <w:r>
        <w:rPr>
          <w:rFonts w:ascii="Times New Roman" w:hAnsi="Times New Roman" w:eastAsia="宋体"/>
          <w:sz w:val="21"/>
        </w:rPr>
        <w:t>条件保证还有四个硬边界。第一，registry-relative 不是现实完备；隐藏漏边必须测。第二，Eventifier 决定 root 粒度，必须做 refinement sensitivity。第三，root-level mapper 对新增 view 未必幂等，不能泛化宣称 view invariance。第四，fail-closed 会牺牲 availability，必须用独立信息响应、false block、正确行动和资源 no-harm 共同约束。</w:t>
      </w:r>
    </w:p>
    <w:p>
      <w:r>
        <w:rPr>
          <w:rFonts w:ascii="Times New Roman" w:hAnsi="Times New Roman" w:eastAsia="宋体"/>
          <w:sz w:val="21"/>
        </w:rPr>
        <w:t>当前稿仍不是可直接投稿的结果论文。SHK-000 证明代码从纯规范进入窄工程资格，但不能回答 Information Fusion 作者指南要求的主要结果、比较证据和标准验证。真正改变编辑结论的节点是：完整生命周期 runtime、独立 oracle/第二实现、MME 对近邻基线的机制优势，以及至少一个受控确认性或外部支持结果。</w:t>
      </w:r>
    </w:p>
    <w:p>
      <w:pPr>
        <w:pStyle w:val="Heading1"/>
      </w:pPr>
      <w:r>
        <w:rPr>
          <w:rFonts w:ascii="Times New Roman" w:hAnsi="Times New Roman" w:eastAsia="宋体"/>
          <w:sz w:val="28"/>
        </w:rPr>
        <w:t>8 结论</w:t>
      </w:r>
    </w:p>
    <w:p>
      <w:r>
        <w:rPr>
          <w:rFonts w:ascii="Times New Roman" w:hAnsi="Times New Roman" w:eastAsia="宋体"/>
          <w:sz w:val="21"/>
        </w:rPr>
        <w:t>本文提出谱系依赖信念融合的生命周期一致组合前治理。其核心不是 provenance、去重或 Dempster 组合本身，而是 evidence-specific exactly-once admission semantics：每个 physical-acquisition root 在非幂等组合中至多形成一个当前认知贡献，并在 post-commit equivalence、supersede、merge、retire 与 replay 中原子重建 belief、ledger、budget、availability 和 action eligibility。</w:t>
      </w:r>
    </w:p>
    <w:p>
      <w:r>
        <w:rPr>
          <w:rFonts w:ascii="Times New Roman" w:hAnsi="Times New Roman" w:eastAsia="宋体"/>
          <w:sz w:val="21"/>
        </w:rPr>
        <w:t>最小反例说明 transport exactly-once 不能自动阻止不同消息键造成的 epistemic double counting。本文给出的保证严格限定为 registry、Eventifier 与 mapper 正确且覆盖充分的执行域；接受分支 (1/\delta) 界只是支撑分析。当前证据仅到窄工程资格，尚无性能或安全收益结论。v6.8 已把独立 oracle MME、完整联合功效、availability/no-harm 与外部支持设为投稿前硬门；任何未过门的主张必须删除或降级。</w:t>
      </w:r>
    </w:p>
    <w:p>
      <w:pPr>
        <w:pStyle w:val="Heading1"/>
      </w:pPr>
      <w:r>
        <w:rPr>
          <w:rFonts w:ascii="Times New Roman" w:hAnsi="Times New Roman" w:eastAsia="宋体"/>
          <w:sz w:val="28"/>
        </w:rPr>
        <w:t>数据与代码可用性</w:t>
      </w:r>
    </w:p>
    <w:p>
      <w:r>
        <w:rPr>
          <w:rFonts w:ascii="Times New Roman" w:hAnsi="Times New Roman" w:eastAsia="宋体"/>
          <w:sz w:val="21"/>
        </w:rPr>
        <w:t>工作区已存在与 v20.1/v6.7 部分合同对齐的 `risk-fusion-bench` 资格切片，以及 SHK-000 的测试、canary、环境和审计工件；该切片只覆盖 seed/hash 隔离、候选完整性和部分 root/ledger 性质。完整 supersede/merge/retire/replay runtime、第二实现、MME、确认性数据和公共匿名复现包尚未完成。投稿前将公开 schema/compiler、状态机、性质测试、生成器、容器、分析代码、冻结 manifests 与可复现工件；当前版本不宣称已有公开数据集结果或完整 reference implementation。</w:t>
      </w:r>
    </w:p>
    <w:p>
      <w:pPr>
        <w:pStyle w:val="Heading1"/>
      </w:pPr>
      <w:r>
        <w:rPr>
          <w:rFonts w:ascii="Times New Roman" w:hAnsi="Times New Roman" w:eastAsia="宋体"/>
          <w:sz w:val="28"/>
        </w:rPr>
        <w:t>伦理与安全声明</w:t>
      </w:r>
    </w:p>
    <w:p>
      <w:r>
        <w:rPr>
          <w:rFonts w:ascii="Times New Roman" w:hAnsi="Times New Roman" w:eastAsia="宋体"/>
          <w:sz w:val="21"/>
        </w:rPr>
        <w:t>过程仿真和公开数据回放不得直接控制 BPCS、SIS、联锁、ESD、紧停或人员保护。IndependentSafetyChainMirror 只读记录外部状态。任何 shadow/HIL 或人机协作研究必须另行完成伦理、HAZOP/作业安全分析、数据保护和独立安全监护。</w:t>
      </w:r>
    </w:p>
    <w:p>
      <w:pPr>
        <w:pStyle w:val="Heading1"/>
      </w:pPr>
      <w:r>
        <w:rPr>
          <w:rFonts w:ascii="Times New Roman" w:hAnsi="Times New Roman" w:eastAsia="宋体"/>
          <w:sz w:val="28"/>
        </w:rPr>
        <w:t>生成式 AI 使用说明</w:t>
      </w:r>
    </w:p>
    <w:p>
      <w:r>
        <w:rPr>
          <w:rFonts w:ascii="Times New Roman" w:hAnsi="Times New Roman" w:eastAsia="宋体"/>
          <w:sz w:val="21"/>
        </w:rPr>
        <w:t>During the preparation of this work the authors used OpenAI Codex to support literature organization, version comparison, language revision, and consistency checks. The authors reviewed and edited all outputs, verified the cited sources, formulas, code, and final statements, and take full responsibility for the content of the manuscript.</w:t>
      </w:r>
    </w:p>
    <w:p>
      <w:r>
        <w:br w:type="page"/>
      </w:r>
    </w:p>
    <w:p>
      <w:pPr>
        <w:pStyle w:val="Heading1"/>
      </w:pPr>
      <w:r>
        <w:rPr>
          <w:rFonts w:ascii="Times New Roman" w:hAnsi="Times New Roman" w:eastAsia="宋体"/>
          <w:sz w:val="28"/>
        </w:rPr>
        <w:t>参考文献</w:t>
      </w:r>
    </w:p>
    <w:p>
      <w:pPr>
        <w:spacing w:after="40"/>
        <w:ind w:hanging="369" w:left="369"/>
      </w:pPr>
      <w:r>
        <w:rPr>
          <w:rFonts w:ascii="Times New Roman" w:hAnsi="Times New Roman" w:eastAsia="宋体"/>
          <w:sz w:val="17"/>
        </w:rPr>
        <w:t>[1] International Electrotechnical Commission, IEC 61511-1:2016+AMD1:2017 CSV, Functional safety—Safety instrumented systems for the process industry sector—Part 1: Framework, definitions, system, hardware and application programming requirements, IEC, Geneva, 2017. https://webstore.iec.ch/en/publication/61289.</w:t>
      </w:r>
    </w:p>
    <w:p>
      <w:pPr>
        <w:spacing w:after="40"/>
        <w:ind w:hanging="369" w:left="369"/>
      </w:pPr>
      <w:r>
        <w:rPr>
          <w:rFonts w:ascii="Times New Roman" w:hAnsi="Times New Roman" w:eastAsia="宋体"/>
          <w:sz w:val="17"/>
        </w:rPr>
        <w:t>[2] International Electrotechnical Commission, IEC 61508-6:2010, Functional safety of electrical/electronic/programmable electronic safety-related systems—Part 6: Guidelines on the application of IEC 61508-2 and IEC 61508-3, IEC, Geneva, 2010. https://webstore.iec.ch/en/publication/5520.</w:t>
      </w:r>
    </w:p>
    <w:p>
      <w:pPr>
        <w:spacing w:after="40"/>
        <w:ind w:hanging="369" w:left="369"/>
      </w:pPr>
      <w:r>
        <w:rPr>
          <w:rFonts w:ascii="Times New Roman" w:hAnsi="Times New Roman" w:eastAsia="宋体"/>
          <w:sz w:val="17"/>
        </w:rPr>
        <w:t>[3] H. Sun, M. Qi, M. Yang, F. Wang, H. Wang, Multiparametric resilience assessment of chemical process systems incorporating process dynamics and independent protection layers, Process Saf. Environ. Prot. 197 (2025) 107018. https://doi.org/10.1016/j.psep.2025.107018.</w:t>
      </w:r>
    </w:p>
    <w:p>
      <w:pPr>
        <w:spacing w:after="40"/>
        <w:ind w:hanging="369" w:left="369"/>
      </w:pPr>
      <w:r>
        <w:rPr>
          <w:rFonts w:ascii="Times New Roman" w:hAnsi="Times New Roman" w:eastAsia="宋体"/>
          <w:sz w:val="17"/>
        </w:rPr>
        <w:t>[4] S. Yuan, M. Yang, G. Reniers, C. Chen, J. Wu, Safety barriers in the chemical process industries: A state-of-the-art review on their classification, assessment, and management, Saf. Sci. 148 (2022) 105647. https://doi.org/10.1016/j.ssci.2021.105647.</w:t>
      </w:r>
    </w:p>
    <w:p>
      <w:pPr>
        <w:spacing w:after="40"/>
        <w:ind w:hanging="369" w:left="369"/>
      </w:pPr>
      <w:r>
        <w:rPr>
          <w:rFonts w:ascii="Times New Roman" w:hAnsi="Times New Roman" w:eastAsia="宋体"/>
          <w:sz w:val="17"/>
        </w:rPr>
        <w:t>[5] R. Wei, S. Foster, H. Mei, F. Yan, R. Yang, I. Habli, C. O’Halloran, N. Tudor, T. Kelly, Y. Nemouchi, ACCESS: Assurance Case Centric Engineering of Safety-critical Systems, J. Syst. Softw. 213 (2024) 112034. https://doi.org/10.1016/j.jss.2024.112034.</w:t>
      </w:r>
    </w:p>
    <w:p>
      <w:pPr>
        <w:spacing w:after="40"/>
        <w:ind w:hanging="369" w:left="369"/>
      </w:pPr>
      <w:r>
        <w:rPr>
          <w:rFonts w:ascii="Times New Roman" w:hAnsi="Times New Roman" w:eastAsia="宋体"/>
          <w:sz w:val="17"/>
        </w:rPr>
        <w:t>[6] A. Retouniotis, Y. Papadopoulos, I. Sorokos, Andromeda: A model-connected framework for safety assessment and assurance, J. Syst. Softw. 220 (2025) 112256. https://doi.org/10.1016/j.jss.2024.112256.</w:t>
      </w:r>
    </w:p>
    <w:p>
      <w:pPr>
        <w:spacing w:after="40"/>
        <w:ind w:hanging="369" w:left="369"/>
      </w:pPr>
      <w:r>
        <w:rPr>
          <w:rFonts w:ascii="Times New Roman" w:hAnsi="Times New Roman" w:eastAsia="宋体"/>
          <w:sz w:val="17"/>
        </w:rPr>
        <w:t>[7] Y. Pan, L. Zhang, X. Wu, M.J. Skibniewski, Multi-classifier information fusion in risk analysis, Inf. Fusion 60 (2020) 121–136. https://doi.org/10.1016/j.inffus.2020.02.003.</w:t>
      </w:r>
    </w:p>
    <w:p>
      <w:pPr>
        <w:spacing w:after="40"/>
        <w:ind w:hanging="369" w:left="369"/>
      </w:pPr>
      <w:r>
        <w:rPr>
          <w:rFonts w:ascii="Times New Roman" w:hAnsi="Times New Roman" w:eastAsia="宋体"/>
          <w:sz w:val="17"/>
        </w:rPr>
        <w:t>[8] International Electrotechnical Commission, IEC 61882:2016, Hazard and operability studies (HAZOP studies)—Application guide, IEC, Geneva, 2016. https://webstore.iec.ch/en/publication/24321.</w:t>
      </w:r>
    </w:p>
    <w:p>
      <w:pPr>
        <w:spacing w:after="40"/>
        <w:ind w:hanging="369" w:left="369"/>
      </w:pPr>
      <w:r>
        <w:rPr>
          <w:rFonts w:ascii="Times New Roman" w:hAnsi="Times New Roman" w:eastAsia="宋体"/>
          <w:sz w:val="17"/>
        </w:rPr>
        <w:t>[9] A. Braniff, S.S. Akundi, Y. Liu, B. Dantas, S.S. Niknezhad, F. Khan, E.N. Pistikopoulos, Y. Tian, Real-time process safety and systems decision-making toward safe and smart chemical manufacturing, Digit. Chem. Eng. 15 (2025) 100227. https://doi.org/10.1016/j.dche.2025.100227.</w:t>
      </w:r>
    </w:p>
    <w:p>
      <w:pPr>
        <w:spacing w:after="40"/>
        <w:ind w:hanging="369" w:left="369"/>
      </w:pPr>
      <w:r>
        <w:rPr>
          <w:rFonts w:ascii="Times New Roman" w:hAnsi="Times New Roman" w:eastAsia="宋体"/>
          <w:sz w:val="17"/>
        </w:rPr>
        <w:t>[10] Center for Chemical Process Safety and Energy Institute, Bow Ties in Risk Management: A Concept Book for Process Safety, Wiley-AIChE, Hoboken, 2018. https://doi.org/10.1002/9781119490357.</w:t>
      </w:r>
    </w:p>
    <w:p>
      <w:pPr>
        <w:spacing w:after="40"/>
        <w:ind w:hanging="369" w:left="369"/>
      </w:pPr>
      <w:r>
        <w:rPr>
          <w:rFonts w:ascii="Times New Roman" w:hAnsi="Times New Roman" w:eastAsia="宋体"/>
          <w:sz w:val="17"/>
        </w:rPr>
        <w:t>[11] Y. Wang, Z. Ji, Y. Cao, S.-H. Yang, Dynamic risk assessment for process operational safety based on reachability analysis, Reliab. Eng. Syst. Saf. 253 (2025) 110564. https://doi.org/10.1016/j.ress.2024.110564.</w:t>
      </w:r>
    </w:p>
    <w:p>
      <w:pPr>
        <w:spacing w:after="40"/>
        <w:ind w:hanging="369" w:left="369"/>
      </w:pPr>
      <w:r>
        <w:rPr>
          <w:rFonts w:ascii="Times New Roman" w:hAnsi="Times New Roman" w:eastAsia="宋体"/>
          <w:sz w:val="17"/>
        </w:rPr>
        <w:t>[12] S. Yuan, G. Reniers, M. Yang, Dynamic-risk-informed safety barrier management: An application to cost-effective barrier optimization based on data from multiple sources, J. Loss Prev. Process Ind. 83 (2023) 105034. https://doi.org/10.1016/j.jlp.2023.105034.</w:t>
      </w:r>
    </w:p>
    <w:p>
      <w:pPr>
        <w:spacing w:after="40"/>
        <w:ind w:hanging="369" w:left="369"/>
      </w:pPr>
      <w:r>
        <w:rPr>
          <w:rFonts w:ascii="Times New Roman" w:hAnsi="Times New Roman" w:eastAsia="宋体"/>
          <w:sz w:val="17"/>
        </w:rPr>
        <w:t>[13] P. Kowalski, T. Martin, Provenance across evidence combination in theory of belief functions, Proc. 21st Int. Conf. Information Fusion (FUSION), 2018, 635–642. https://doi.org/10.23919/ICIF.2018.8455764.</w:t>
      </w:r>
    </w:p>
    <w:p>
      <w:pPr>
        <w:spacing w:after="40"/>
        <w:ind w:hanging="369" w:left="369"/>
      </w:pPr>
      <w:r>
        <w:rPr>
          <w:rFonts w:ascii="Times New Roman" w:hAnsi="Times New Roman" w:eastAsia="宋体"/>
          <w:sz w:val="17"/>
        </w:rPr>
        <w:t>[14] A.P. Dempster, Upper and lower probabilities induced by a multivalued mapping, Ann. Math. Stat. 38 (1967) 325–339. https://doi.org/10.1214/aoms/1177698950.</w:t>
      </w:r>
    </w:p>
    <w:p>
      <w:pPr>
        <w:spacing w:after="40"/>
        <w:ind w:hanging="369" w:left="369"/>
      </w:pPr>
      <w:r>
        <w:rPr>
          <w:rFonts w:ascii="Times New Roman" w:hAnsi="Times New Roman" w:eastAsia="宋体"/>
          <w:sz w:val="17"/>
        </w:rPr>
        <w:t>[15] G. Shafer, A Mathematical Theory of Evidence, Princeton University Press, Princeton, 1976. https://doi.org/10.1515/9780691214696.</w:t>
      </w:r>
    </w:p>
    <w:p>
      <w:pPr>
        <w:spacing w:after="40"/>
        <w:ind w:hanging="369" w:left="369"/>
      </w:pPr>
      <w:r>
        <w:rPr>
          <w:rFonts w:ascii="Times New Roman" w:hAnsi="Times New Roman" w:eastAsia="宋体"/>
          <w:sz w:val="17"/>
        </w:rPr>
        <w:t>[16] P. Smets, R. Kennes, The transferable belief model, Artif. Intell. 66 (1994) 191–234. https://doi.org/10.1016/0004-3702(94)90026-4.</w:t>
      </w:r>
    </w:p>
    <w:p>
      <w:pPr>
        <w:spacing w:after="40"/>
        <w:ind w:hanging="369" w:left="369"/>
      </w:pPr>
      <w:r>
        <w:rPr>
          <w:rFonts w:ascii="Times New Roman" w:hAnsi="Times New Roman" w:eastAsia="宋体"/>
          <w:sz w:val="17"/>
        </w:rPr>
        <w:t>[17] G. Shafer, The problem of dependent evidence, Int. J. Approx. Reason. 79 (2016) 41–44. https://doi.org/10.1016/j.ijar.2016.05.003.</w:t>
      </w:r>
    </w:p>
    <w:p>
      <w:pPr>
        <w:spacing w:after="40"/>
        <w:ind w:hanging="369" w:left="369"/>
      </w:pPr>
      <w:r>
        <w:rPr>
          <w:rFonts w:ascii="Times New Roman" w:hAnsi="Times New Roman" w:eastAsia="宋体"/>
          <w:sz w:val="17"/>
        </w:rPr>
        <w:t>[18] T. Denœux, Conjunctive and disjunctive combination of belief functions induced by nondistinct bodies of evidence, Artif. Intell. 172 (2008) 234–264. https://doi.org/10.1016/j.artint.2007.05.008.</w:t>
      </w:r>
    </w:p>
    <w:p>
      <w:pPr>
        <w:spacing w:after="40"/>
        <w:ind w:hanging="369" w:left="369"/>
      </w:pPr>
      <w:r>
        <w:rPr>
          <w:rFonts w:ascii="Times New Roman" w:hAnsi="Times New Roman" w:eastAsia="宋体"/>
          <w:sz w:val="17"/>
        </w:rPr>
        <w:t>[19] D. Mercier, B. Quost, T. Denœux, Refined modeling of sensor reliability in the belief function framework using contextual discounting, Inf. Fusion 9 (2008) 246–258. https://doi.org/10.1016/j.inffus.2006.08.001.</w:t>
      </w:r>
    </w:p>
    <w:p>
      <w:pPr>
        <w:spacing w:after="40"/>
        <w:ind w:hanging="369" w:left="369"/>
      </w:pPr>
      <w:r>
        <w:rPr>
          <w:rFonts w:ascii="Times New Roman" w:hAnsi="Times New Roman" w:eastAsia="宋体"/>
          <w:sz w:val="17"/>
        </w:rPr>
        <w:t>[20] M. Chebbah, A. Martin, B. Ben Yaghlane, Combining partially independent belief functions, Decis. Support Syst. 73 (2015) 37–46. https://doi.org/10.1016/j.dss.2015.02.017.</w:t>
      </w:r>
    </w:p>
    <w:p>
      <w:pPr>
        <w:spacing w:after="40"/>
        <w:ind w:hanging="369" w:left="369"/>
      </w:pPr>
      <w:r>
        <w:rPr>
          <w:rFonts w:ascii="Times New Roman" w:hAnsi="Times New Roman" w:eastAsia="宋体"/>
          <w:sz w:val="17"/>
        </w:rPr>
        <w:t>[21] A.-L. Jousselme, D. Grenier, É. Bossé, A new distance between two bodies of evidence, Inf. Fusion 2 (2001) 91–101. https://doi.org/10.1016/S1566-2535(01)00026-4.</w:t>
      </w:r>
    </w:p>
    <w:p>
      <w:pPr>
        <w:spacing w:after="40"/>
        <w:ind w:hanging="369" w:left="369"/>
      </w:pPr>
      <w:r>
        <w:rPr>
          <w:rFonts w:ascii="Times New Roman" w:hAnsi="Times New Roman" w:eastAsia="宋体"/>
          <w:sz w:val="17"/>
        </w:rPr>
        <w:t>[22] É. Lefèvre, Z. Elouedi, How to preserve the conflict as an alarm in the combination of belief functions?, Decis. Support Syst. 56 (2013) 326–333. https://doi.org/10.1016/j.dss.2013.06.012.</w:t>
      </w:r>
    </w:p>
    <w:p>
      <w:pPr>
        <w:spacing w:after="40"/>
        <w:ind w:hanging="369" w:left="369"/>
      </w:pPr>
      <w:r>
        <w:rPr>
          <w:rFonts w:ascii="Times New Roman" w:hAnsi="Times New Roman" w:eastAsia="宋体"/>
          <w:sz w:val="17"/>
        </w:rPr>
        <w:t>[23] T. Denœux, Decision-making with belief functions: A review, Int. J. Approx. Reason. 109 (2019) 87–110. https://doi.org/10.1016/j.ijar.2019.03.009.</w:t>
      </w:r>
    </w:p>
    <w:p>
      <w:pPr>
        <w:spacing w:after="40"/>
        <w:ind w:hanging="369" w:left="369"/>
      </w:pPr>
      <w:r>
        <w:rPr>
          <w:rFonts w:ascii="Times New Roman" w:hAnsi="Times New Roman" w:eastAsia="宋体"/>
          <w:sz w:val="17"/>
        </w:rPr>
        <w:t>[24] S. Yuan, G. Reniers, M. Yang, Dynamic and integrated safety and security barrier management: A new framework to manage major event risks in chemical plants, J. Loss Prev. Process Ind. 96 (2025) 105632. https://doi.org/10.1016/j.jlp.2025.105632.</w:t>
      </w:r>
    </w:p>
    <w:p>
      <w:pPr>
        <w:spacing w:after="40"/>
        <w:ind w:hanging="369" w:left="369"/>
      </w:pPr>
      <w:r>
        <w:rPr>
          <w:rFonts w:ascii="Times New Roman" w:hAnsi="Times New Roman" w:eastAsia="宋体"/>
          <w:sz w:val="17"/>
        </w:rPr>
        <w:t>[25] M. Wang, H. Liu, H. Tang, M. Zhang, X. Shen, IFNet: Data-driven multisensor estimate fusion with unknown correlation in sensor measurement noises, Inf. Fusion 115 (2025) 102750. https://doi.org/10.1016/j.inffus.2024.102750.</w:t>
      </w:r>
    </w:p>
    <w:p>
      <w:pPr>
        <w:spacing w:after="40"/>
        <w:ind w:hanging="369" w:left="369"/>
      </w:pPr>
      <w:r>
        <w:rPr>
          <w:rFonts w:ascii="Times New Roman" w:hAnsi="Times New Roman" w:eastAsia="宋体"/>
          <w:sz w:val="17"/>
        </w:rPr>
        <w:t>[26] B. Yu, S. Kallurkar, R. Flo, A Dempster-Shafer approach to provenance-aware trust assessment, Proc. 2008 Int. Symp. Collaborative Technologies and Systems (CTS), IEEE, 2008, 383–390. https://doi.org/10.1109/CTS.2008.4543955.</w:t>
      </w:r>
    </w:p>
    <w:p>
      <w:pPr>
        <w:spacing w:after="40"/>
        <w:ind w:hanging="369" w:left="369"/>
      </w:pPr>
      <w:r>
        <w:rPr>
          <w:rFonts w:ascii="Times New Roman" w:hAnsi="Times New Roman" w:eastAsia="宋体"/>
          <w:sz w:val="17"/>
        </w:rPr>
        <w:t>[27] P. Kowalski, M. Zocholl, A.-L. Jousselme, Explaining the impact of source behaviour in evidential reasoning, Inf. Fusion 81 (2022) 41–58. https://doi.org/10.1016/j.inffus.2021.11.007.</w:t>
      </w:r>
    </w:p>
    <w:p>
      <w:pPr>
        <w:spacing w:after="40"/>
        <w:ind w:hanging="369" w:left="369"/>
      </w:pPr>
      <w:r>
        <w:rPr>
          <w:rFonts w:ascii="Times New Roman" w:hAnsi="Times New Roman" w:eastAsia="宋体"/>
          <w:sz w:val="17"/>
        </w:rPr>
        <w:t>[28] T. Lebo, S. Sahoo, D. McGuinness (Eds.), PROV-O: The PROV Ontology, W3C Recommendation, 2013. https://www.w3.org/TR/prov-o/.</w:t>
      </w:r>
    </w:p>
    <w:p>
      <w:pPr>
        <w:spacing w:after="40"/>
        <w:ind w:hanging="369" w:left="369"/>
      </w:pPr>
      <w:r>
        <w:rPr>
          <w:rFonts w:ascii="Times New Roman" w:hAnsi="Times New Roman" w:eastAsia="宋体"/>
          <w:sz w:val="17"/>
        </w:rPr>
        <w:t>[29] C. Reinartz, M. Kulahci, O. Ravn, An extended Tennessee Eastman simulation dataset for fault-detection and decision support systems, Comput. Chem. Eng. 149 (2021) 107281. https://doi.org/10.1016/j.compchemeng.2021.107281.</w:t>
      </w:r>
    </w:p>
    <w:p>
      <w:pPr>
        <w:spacing w:after="40"/>
        <w:ind w:hanging="369" w:left="369"/>
      </w:pPr>
      <w:r>
        <w:rPr>
          <w:rFonts w:ascii="Times New Roman" w:hAnsi="Times New Roman" w:eastAsia="宋体"/>
          <w:sz w:val="17"/>
        </w:rPr>
        <w:t>[30] M. Loudahi, J. Klein, J.-M. Vannobel, O. Colot, New distances between bodies of evidence based on Dempsterian specialization matrices and their consistency with the conjunctive combination rule, Int. J. Approx. Reason. 55 (2014) 1093–1112. https://doi.org/10.1016/j.ijar.2014.02.007.</w:t>
      </w:r>
    </w:p>
    <w:p>
      <w:pPr>
        <w:spacing w:after="40"/>
        <w:ind w:hanging="369" w:left="369"/>
      </w:pPr>
      <w:r>
        <w:rPr>
          <w:rFonts w:ascii="Times New Roman" w:hAnsi="Times New Roman" w:eastAsia="宋体"/>
          <w:sz w:val="17"/>
        </w:rPr>
        <w:t>[31] S.J. Julier, J.K. Uhlmann, A non-divergent estimation algorithm in the presence of unknown correlations, Proc. American Control Conference, IEEE, 1997, 2369–2373. https://doi.org/10.1109/ACC.1997.609105.</w:t>
      </w:r>
    </w:p>
    <w:p>
      <w:pPr>
        <w:spacing w:after="40"/>
        <w:ind w:hanging="369" w:left="369"/>
      </w:pPr>
      <w:r>
        <w:rPr>
          <w:rFonts w:ascii="Times New Roman" w:hAnsi="Times New Roman" w:eastAsia="宋体"/>
          <w:sz w:val="17"/>
        </w:rPr>
        <w:t>[32] J.-B. Yang, D.-L. Xu, Evidential reasoning rule for evidence combination, Artif. Intell. 205 (2013) 1–29. https://doi.org/10.1016/j.artint.2013.09.003.</w:t>
      </w:r>
    </w:p>
    <w:p>
      <w:pPr>
        <w:spacing w:after="40"/>
        <w:ind w:hanging="369" w:left="369"/>
      </w:pPr>
      <w:r>
        <w:rPr>
          <w:rFonts w:ascii="Times New Roman" w:hAnsi="Times New Roman" w:eastAsia="宋体"/>
          <w:sz w:val="17"/>
        </w:rPr>
        <w:t>[33] X. Su, S. Mahadevan, P. Xu, Y. Deng, Handling of dependence in Dempster–Shafer theory, Int. J. Intell. Syst. 30 (2015) 441–467. https://doi.org/10.1002/int.21695.</w:t>
      </w:r>
    </w:p>
    <w:p>
      <w:pPr>
        <w:spacing w:after="40"/>
        <w:ind w:hanging="369" w:left="369"/>
      </w:pPr>
      <w:r>
        <w:rPr>
          <w:rFonts w:ascii="Times New Roman" w:hAnsi="Times New Roman" w:eastAsia="宋体"/>
          <w:sz w:val="17"/>
        </w:rPr>
        <w:t>[34] Q. Zhang, P. Zhang, T. Li, Information fusion for large-scale multi-source data based on the Dempster-Shafer evidence theory, Inf. Fusion 115 (2025) 102754. https://doi.org/10.1016/j.inffus.2024.102754.</w:t>
      </w:r>
    </w:p>
    <w:p>
      <w:pPr>
        <w:spacing w:after="40"/>
        <w:ind w:hanging="369" w:left="369"/>
      </w:pPr>
      <w:r>
        <w:rPr>
          <w:rFonts w:ascii="Times New Roman" w:hAnsi="Times New Roman" w:eastAsia="宋体"/>
          <w:sz w:val="17"/>
        </w:rPr>
        <w:t>[35] S. Guo, D. Gao, D. Lu, M. Wang, HAZOP knowledge graph construction: Dual optimization of ontology design and information extraction, J. Loss Prev. Process Ind. 99 (2026) 105814. https://doi.org/10.1016/j.jlp.2025.105814.</w:t>
      </w:r>
    </w:p>
    <w:p>
      <w:pPr>
        <w:spacing w:after="40"/>
        <w:ind w:hanging="369" w:left="369"/>
      </w:pPr>
      <w:r>
        <w:rPr>
          <w:rFonts w:ascii="Times New Roman" w:hAnsi="Times New Roman" w:eastAsia="宋体"/>
          <w:sz w:val="17"/>
        </w:rPr>
        <w:t>[36] K.-C. Chang, S.-M. Kuo, Y. Bar-Shalom, C.-Y. Chong, S. Mori, Encoding information lineage for scalable distributed fusion, J. Adv. Inf. Fusion 20(2) (2025) 152–171. https://isif.org/media/encoding-information-lineage-scalable-distributed-fusion.</w:t>
      </w:r>
    </w:p>
    <w:p>
      <w:pPr>
        <w:spacing w:after="40"/>
        <w:ind w:hanging="369" w:left="369"/>
      </w:pPr>
      <w:r>
        <w:rPr>
          <w:rFonts w:ascii="Times New Roman" w:hAnsi="Times New Roman" w:eastAsia="宋体"/>
          <w:sz w:val="17"/>
        </w:rPr>
        <w:t>[37] S. Barhoumi, I. Khanfir Kallel, É. Bossé, B. Solaiman, An empirical survey-type analysis of uncertainty measures for the fusion of crisp and fuzzy bodies of evidence, Inf. Fusion 121 (2025) 103106. https://doi.org/10.1016/j.inffus.2025.103106.</w:t>
      </w:r>
    </w:p>
    <w:p>
      <w:pPr>
        <w:spacing w:after="40"/>
        <w:ind w:hanging="369" w:left="369"/>
      </w:pPr>
      <w:r>
        <w:rPr>
          <w:rFonts w:ascii="Times New Roman" w:hAnsi="Times New Roman" w:eastAsia="宋体"/>
          <w:sz w:val="17"/>
        </w:rPr>
        <w:t>[38] Y. Song, X. Wang, L. Lei, Y. Xing, Credibility decay model in temporal evidence combination, Inf. Process. Lett. 115 (2015) 248–252. https://doi.org/10.1016/j.ipl.2014.09.022.</w:t>
      </w:r>
    </w:p>
    <w:p>
      <w:pPr>
        <w:spacing w:after="40"/>
        <w:ind w:hanging="369" w:left="369"/>
      </w:pPr>
      <w:r>
        <w:rPr>
          <w:rFonts w:ascii="Times New Roman" w:hAnsi="Times New Roman" w:eastAsia="宋体"/>
          <w:sz w:val="17"/>
        </w:rPr>
        <w:t>[39] P.P. Shenoy, On distinct belief functions in the Dempster-Shafer theory, Proc. 13th Int. Symp. Imprecise Probability: Theories and Applications, PMLR 215 (2023) 426–437. https://proceedings.mlr.press/v215/shenoy23a.html.</w:t>
      </w:r>
    </w:p>
    <w:p>
      <w:pPr>
        <w:spacing w:after="40"/>
        <w:ind w:hanging="369" w:left="369"/>
      </w:pPr>
      <w:r>
        <w:rPr>
          <w:rFonts w:ascii="Times New Roman" w:hAnsi="Times New Roman" w:eastAsia="宋体"/>
          <w:sz w:val="17"/>
        </w:rPr>
        <w:t>[40] P. Zhang, Z. Zhou, S. Tang, J. Wang, G. Hu, D. Zhao, Y. Cao, On the evidential reasoning rule for dependent evidence combination, Chin. J. Aeronaut. 36 (2023) 306–327. https://doi.org/10.1016/j.cja.2023.03.037.</w:t>
      </w:r>
    </w:p>
    <w:p>
      <w:pPr>
        <w:spacing w:after="40"/>
        <w:ind w:hanging="369" w:left="369"/>
      </w:pPr>
      <w:r>
        <w:rPr>
          <w:rFonts w:ascii="Times New Roman" w:hAnsi="Times New Roman" w:eastAsia="宋体"/>
          <w:sz w:val="17"/>
        </w:rPr>
        <w:t>[41] P. Zhang, Z. Zhou, Z. Feng, J. Wang, Y. Zhang, Inference and analysis on the evidential reasoning rule with time-lagged dependencies, Eng. Appl. Artif. Intell. 126 (2023) 106978. https://doi.org/10.1016/j.engappai.2023.106978.</w:t>
      </w:r>
    </w:p>
    <w:p>
      <w:pPr>
        <w:spacing w:after="40"/>
        <w:ind w:hanging="369" w:left="369"/>
      </w:pPr>
      <w:r>
        <w:rPr>
          <w:rFonts w:ascii="Times New Roman" w:hAnsi="Times New Roman" w:eastAsia="宋体"/>
          <w:sz w:val="17"/>
        </w:rPr>
        <w:t>[42] B. Kang, C. Zhao, Deceptive evidence detection in information fusion of belief functions based on reinforcement learning, Inf. Fusion 103 (2024) 102102. https://doi.org/10.1016/j.inffus.2023.102102.</w:t>
      </w:r>
    </w:p>
    <w:p>
      <w:pPr>
        <w:spacing w:after="40"/>
        <w:ind w:hanging="369" w:left="369"/>
      </w:pPr>
      <w:r>
        <w:rPr>
          <w:rFonts w:ascii="Times New Roman" w:hAnsi="Times New Roman" w:eastAsia="宋体"/>
          <w:sz w:val="17"/>
        </w:rPr>
        <w:t>[43] J. Klein, Complementary Lipschitz continuity results for the distribution of intersections or unions of independent random sets in finite discrete spaces, Int. J. Approx. Reason. 110 (2019) 164–184. https://doi.org/10.1016/j.ijar.2019.04.007.</w:t>
      </w:r>
    </w:p>
    <w:p>
      <w:pPr>
        <w:spacing w:after="40"/>
        <w:ind w:hanging="369" w:left="369"/>
      </w:pPr>
      <w:r>
        <w:rPr>
          <w:rFonts w:ascii="Times New Roman" w:hAnsi="Times New Roman" w:eastAsia="宋体"/>
          <w:sz w:val="17"/>
        </w:rPr>
        <w:t>[44] W. Liu, Analyzing the degree of conflict among belief functions, Artif. Intell. 170 (11) (2006) 909–924. https://doi.org/10.1016/j.artint.2006.05.002.</w:t>
      </w:r>
    </w:p>
    <w:p>
      <w:pPr>
        <w:spacing w:after="40"/>
        <w:ind w:hanging="369" w:left="369"/>
      </w:pPr>
      <w:r>
        <w:rPr>
          <w:rFonts w:ascii="Times New Roman" w:hAnsi="Times New Roman" w:eastAsia="宋体"/>
          <w:sz w:val="17"/>
        </w:rPr>
        <w:t>[45] T. Akidau, R. Bradshaw, C. Chambers, S. Chernyak, R.J. Fernández-Moctezuma, R. Lax, S. McVeety, D. Mills, F. Perry, E. Schmidt, S. Whittle, The Dataflow Model: A practical approach to balancing correctness, latency, and cost in massive-scale, unbounded, out-of-order data processing, Proc. VLDB Endow. 8(12) (2015) 1792–1803. https://doi.org/10.14778/2824032.2824076.</w:t>
      </w:r>
    </w:p>
    <w:p>
      <w:pPr>
        <w:spacing w:after="40"/>
        <w:ind w:hanging="369" w:left="369"/>
      </w:pPr>
      <w:r>
        <w:rPr>
          <w:rFonts w:ascii="Times New Roman" w:hAnsi="Times New Roman" w:eastAsia="宋体"/>
          <w:sz w:val="17"/>
        </w:rPr>
        <w:t>[46] S. Li, T. Cui, Robust factor information fusion for industrial safety through TSFD-Based phase space reconstruction and noise reduction, Inf. Fusion 128 (2026) 103917. https://doi.org/10.1016/j.inffus.2025.103917.</w:t>
      </w:r>
    </w:p>
    <w:p>
      <w:pPr>
        <w:spacing w:after="40"/>
        <w:ind w:hanging="369" w:left="369"/>
      </w:pPr>
      <w:r>
        <w:rPr>
          <w:rFonts w:ascii="Times New Roman" w:hAnsi="Times New Roman" w:eastAsia="宋体"/>
          <w:sz w:val="17"/>
        </w:rPr>
        <w:t>[47] W.E. Vesely, F.F. Goldberg, N.H. Roberts, D.F. Haasl, Fault Tree Handbook, NUREG-0492, U.S. Nuclear Regulatory Commission, Washington, DC, 1981. https://www.nrc.gov/reading-rm/doc-collections/nuregs/staff/sr0492/index.</w:t>
      </w:r>
    </w:p>
    <w:p>
      <w:pPr>
        <w:spacing w:after="40"/>
        <w:ind w:hanging="369" w:left="369"/>
      </w:pPr>
      <w:r>
        <w:rPr>
          <w:rFonts w:ascii="Times New Roman" w:hAnsi="Times New Roman" w:eastAsia="宋体"/>
          <w:sz w:val="17"/>
        </w:rPr>
        <w:t>[48] N. Khakzad, F. Khan, P. Amyotte, Dynamic safety analysis of process systems by mapping bow-tie into Bayesian network, Process Saf. Environ. Prot. 91 (2013) 46–53. https://doi.org/10.1016/j.psep.2012.01.005.</w:t>
      </w:r>
    </w:p>
    <w:p>
      <w:pPr>
        <w:spacing w:after="40"/>
        <w:ind w:hanging="369" w:left="369"/>
      </w:pPr>
      <w:r>
        <w:rPr>
          <w:rFonts w:ascii="Times New Roman" w:hAnsi="Times New Roman" w:eastAsia="宋体"/>
          <w:sz w:val="17"/>
        </w:rPr>
        <w:t>[49] G. Curcurù, G.M. Galante, C.M. La Fata, Epistemic uncertainty in fault tree analysis approached by the evidence theory, J. Loss Prev. Process Ind. 25(4) (2012) 667–676. https://doi.org/10.1016/j.jlp.2012.02.003.</w:t>
      </w:r>
    </w:p>
    <w:p>
      <w:pPr>
        <w:spacing w:after="40"/>
        <w:ind w:hanging="369" w:left="369"/>
      </w:pPr>
      <w:r>
        <w:rPr>
          <w:rFonts w:ascii="Times New Roman" w:hAnsi="Times New Roman" w:eastAsia="宋体"/>
          <w:sz w:val="17"/>
        </w:rPr>
        <w:t>[50] Center for Chemical Process Safety, Guidelines for Initiating Events and Independent Protection Layers in Layer of Protection Analysis, Wiley-AIChE, Hoboken, 2015. https://doi.org/10.1002/9781118948743.</w:t>
      </w:r>
    </w:p>
    <w:sectPr w:rsidR="00FC693F" w:rsidRPr="0006063C" w:rsidSect="00034616">
      <w:headerReference w:type="default" r:id="rId9"/>
      <w:footerReference w:type="default" r:id="rId10"/>
      <w:pgSz w:w="11906" w:h="16838"/>
      <w:pgMar w:top="1247" w:right="1361"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646464"/>
        <w:sz w:val="17"/>
      </w:rPr>
      <w:t>v21：生命周期一致组合前治理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outlineLvl w:val="0"/>
    </w:pPr>
    <w:rPr>
      <w:rFonts w:asciiTheme="majorHAnsi" w:eastAsiaTheme="majorEastAsia" w:hAnsiTheme="majorHAnsi" w:cstheme="majorBidi" w:ascii="Arial" w:hAnsi="Arial" w:eastAsia="黑体"/>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ascii="Arial" w:hAnsi="Arial" w:eastAsia="黑体"/>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Arial" w:hAnsi="Arial" w:eastAsia="黑体"/>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160" w:after="80"/>
      <w:ind w:firstLine="0"/>
      <w:outlineLvl w:val="3"/>
    </w:pPr>
    <w:rPr>
      <w:rFonts w:asciiTheme="majorHAnsi" w:eastAsiaTheme="majorEastAsia" w:hAnsiTheme="majorHAnsi" w:cstheme="majorBidi" w:ascii="Arial" w:hAnsi="Arial" w:eastAsia="黑体"/>
      <w:b/>
      <w:bCs/>
      <w:i/>
      <w:iCs/>
      <w:color w:val="44546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ind w:firstLine="0"/>
      <w:contextualSpacing/>
      <w:jc w:val="center"/>
    </w:pPr>
    <w:rPr>
      <w:rFonts w:asciiTheme="majorHAnsi" w:eastAsiaTheme="majorEastAsia" w:hAnsiTheme="majorHAnsi" w:cstheme="majorBidi" w:ascii="Arial" w:hAnsi="Arial" w:eastAsia="黑体"/>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ind w:firstLine="0"/>
      <w:jc w:val="center"/>
    </w:pPr>
    <w:rPr>
      <w:rFonts w:asciiTheme="majorHAnsi" w:eastAsiaTheme="majorEastAsia" w:hAnsiTheme="majorHAnsi" w:cstheme="majorBidi" w:ascii="Times New Roman" w:hAnsi="Times New Roman" w:eastAsia="宋体"/>
      <w:i/>
      <w:iCs/>
      <w:color w:val="44546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v21：生命周期一致组合前治理</dc:title>
  <dc:subject>Information Fusion pre-experiment manuscript and review package</dc:subject>
  <dc:creator>Project authors</dc:creator>
  <cp:keywords/>
  <dc:description>Generated from version-controlled Markdown; all text and equations remain editable.</dc:description>
  <cp:lastModifiedBy/>
  <cp:revision>1</cp:revision>
  <dcterms:created xsi:type="dcterms:W3CDTF">2013-12-23T23:15:00Z</dcterms:created>
  <dcterms:modified xsi:type="dcterms:W3CDTF">2013-12-23T23:15:00Z</dcterms:modified>
  <cp:category/>
</cp:coreProperties>
</file>