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543A" w14:textId="77777777" w:rsidR="00C12350" w:rsidRPr="00C12350" w:rsidRDefault="00C12350" w:rsidP="00C12350">
      <w:pPr>
        <w:widowControl/>
        <w:jc w:val="left"/>
        <w:outlineLvl w:val="2"/>
        <w:rPr>
          <w:rFonts w:ascii="Arial" w:eastAsia="宋体" w:hAnsi="Arial" w:cs="Arial"/>
          <w:b/>
          <w:bCs/>
          <w:color w:val="1B1C1D"/>
          <w:kern w:val="0"/>
          <w:sz w:val="27"/>
          <w:szCs w:val="27"/>
          <w14:ligatures w14:val="none"/>
        </w:rPr>
      </w:pPr>
      <w:r w:rsidRPr="00C12350">
        <w:rPr>
          <w:rFonts w:ascii="Arial" w:eastAsia="宋体" w:hAnsi="Arial" w:cs="Arial"/>
          <w:b/>
          <w:bCs/>
          <w:color w:val="1B1C1D"/>
          <w:kern w:val="0"/>
          <w:sz w:val="27"/>
          <w:szCs w:val="27"/>
          <w:bdr w:val="none" w:sz="0" w:space="0" w:color="auto" w:frame="1"/>
          <w14:ligatures w14:val="none"/>
        </w:rPr>
        <w:t>多维度多源数据融合与</w:t>
      </w:r>
      <w:r w:rsidRPr="00C12350">
        <w:rPr>
          <w:rFonts w:ascii="Arial" w:eastAsia="宋体" w:hAnsi="Arial" w:cs="Arial"/>
          <w:b/>
          <w:bCs/>
          <w:color w:val="1B1C1D"/>
          <w:kern w:val="0"/>
          <w:sz w:val="27"/>
          <w:szCs w:val="27"/>
          <w:bdr w:val="none" w:sz="0" w:space="0" w:color="auto" w:frame="1"/>
          <w14:ligatures w14:val="none"/>
        </w:rPr>
        <w:t>D-S</w:t>
      </w:r>
      <w:r w:rsidRPr="00C12350">
        <w:rPr>
          <w:rFonts w:ascii="Arial" w:eastAsia="宋体" w:hAnsi="Arial" w:cs="Arial"/>
          <w:b/>
          <w:bCs/>
          <w:color w:val="1B1C1D"/>
          <w:kern w:val="0"/>
          <w:sz w:val="27"/>
          <w:szCs w:val="27"/>
          <w:bdr w:val="none" w:sz="0" w:space="0" w:color="auto" w:frame="1"/>
          <w14:ligatures w14:val="none"/>
        </w:rPr>
        <w:t>证据理论在复杂系统风险评估领域的研究综述</w:t>
      </w:r>
    </w:p>
    <w:p w14:paraId="5E4D0ADD" w14:textId="77777777" w:rsidR="00C12350" w:rsidRPr="00C12350" w:rsidRDefault="00C12350" w:rsidP="00C12350">
      <w:pPr>
        <w:widowControl/>
        <w:jc w:val="left"/>
        <w:outlineLvl w:val="3"/>
        <w:rPr>
          <w:rFonts w:ascii="Arial" w:eastAsia="宋体" w:hAnsi="Arial" w:cs="Arial"/>
          <w:b/>
          <w:bCs/>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 xml:space="preserve">1. </w:t>
      </w:r>
      <w:r w:rsidRPr="00C12350">
        <w:rPr>
          <w:rFonts w:ascii="Arial" w:eastAsia="宋体" w:hAnsi="Arial" w:cs="Arial"/>
          <w:b/>
          <w:bCs/>
          <w:color w:val="1B1C1D"/>
          <w:kern w:val="0"/>
          <w:sz w:val="24"/>
          <w:szCs w:val="24"/>
          <w:bdr w:val="none" w:sz="0" w:space="0" w:color="auto" w:frame="1"/>
          <w14:ligatures w14:val="none"/>
        </w:rPr>
        <w:t>研究现状</w:t>
      </w:r>
      <w:r w:rsidRPr="00C12350">
        <w:rPr>
          <w:rFonts w:ascii="Arial" w:eastAsia="宋体" w:hAnsi="Arial" w:cs="Arial"/>
          <w:b/>
          <w:bCs/>
          <w:color w:val="1B1C1D"/>
          <w:kern w:val="0"/>
          <w:sz w:val="24"/>
          <w:szCs w:val="24"/>
          <w:bdr w:val="none" w:sz="0" w:space="0" w:color="auto" w:frame="1"/>
          <w14:ligatures w14:val="none"/>
        </w:rPr>
        <w:t xml:space="preserve"> (Research Status)</w:t>
      </w:r>
    </w:p>
    <w:p w14:paraId="4CA6994D" w14:textId="77777777" w:rsidR="00C12350" w:rsidRPr="00C12350" w:rsidRDefault="00C12350" w:rsidP="00C12350">
      <w:pPr>
        <w:widowControl/>
        <w:numPr>
          <w:ilvl w:val="0"/>
          <w:numId w:val="1"/>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D-S</w:t>
      </w:r>
      <w:r w:rsidRPr="00C12350">
        <w:rPr>
          <w:rFonts w:ascii="Arial" w:eastAsia="宋体" w:hAnsi="Arial" w:cs="Arial"/>
          <w:b/>
          <w:bCs/>
          <w:color w:val="1B1C1D"/>
          <w:kern w:val="0"/>
          <w:sz w:val="24"/>
          <w:szCs w:val="24"/>
          <w:bdr w:val="none" w:sz="0" w:space="0" w:color="auto" w:frame="1"/>
          <w14:ligatures w14:val="none"/>
        </w:rPr>
        <w:t>证据理论的扩展应用</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证据理论在处理不确定性信息方面的优势使其成为多源数据融合的基石</w:t>
      </w:r>
      <w:r w:rsidRPr="00C12350">
        <w:rPr>
          <w:rFonts w:ascii="Arial" w:eastAsia="宋体" w:hAnsi="Arial" w:cs="Arial"/>
          <w:color w:val="1B1C1D"/>
          <w:kern w:val="0"/>
          <w:sz w:val="24"/>
          <w:szCs w:val="24"/>
          <w14:ligatures w14:val="none"/>
        </w:rPr>
        <w:t xml:space="preserve"> [1, 2]</w:t>
      </w:r>
      <w:r w:rsidRPr="00C12350">
        <w:rPr>
          <w:rFonts w:ascii="Arial" w:eastAsia="宋体" w:hAnsi="Arial" w:cs="Arial"/>
          <w:color w:val="1B1C1D"/>
          <w:kern w:val="0"/>
          <w:sz w:val="24"/>
          <w:szCs w:val="24"/>
          <w14:ligatures w14:val="none"/>
        </w:rPr>
        <w:t>。近年来，其应用已从传统的故障诊断和目标识别，显著扩展到更复杂的系统级风险评估，如智能交通系统、工业物联网（</w:t>
      </w:r>
      <w:r w:rsidRPr="00C12350">
        <w:rPr>
          <w:rFonts w:ascii="Arial" w:eastAsia="宋体" w:hAnsi="Arial" w:cs="Arial"/>
          <w:color w:val="1B1C1D"/>
          <w:kern w:val="0"/>
          <w:sz w:val="24"/>
          <w:szCs w:val="24"/>
          <w14:ligatures w14:val="none"/>
        </w:rPr>
        <w:t>IIoT</w:t>
      </w:r>
      <w:r w:rsidRPr="00C12350">
        <w:rPr>
          <w:rFonts w:ascii="Arial" w:eastAsia="宋体" w:hAnsi="Arial" w:cs="Arial"/>
          <w:color w:val="1B1C1D"/>
          <w:kern w:val="0"/>
          <w:sz w:val="24"/>
          <w:szCs w:val="24"/>
          <w14:ligatures w14:val="none"/>
        </w:rPr>
        <w:t>）环境中的威胁感知和决策</w:t>
      </w:r>
      <w:r w:rsidRPr="00C12350">
        <w:rPr>
          <w:rFonts w:ascii="Arial" w:eastAsia="宋体" w:hAnsi="Arial" w:cs="Arial"/>
          <w:color w:val="1B1C1D"/>
          <w:kern w:val="0"/>
          <w:sz w:val="24"/>
          <w:szCs w:val="24"/>
          <w14:ligatures w14:val="none"/>
        </w:rPr>
        <w:t xml:space="preserve"> [3, 4]</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理论能够有效整合来自异构传感器和专家知识的模糊、不完整甚至冲突的信息，形成对系统状态的全面信念分配。</w:t>
      </w:r>
    </w:p>
    <w:p w14:paraId="2E53F0B9" w14:textId="77777777" w:rsidR="00C12350" w:rsidRPr="00C12350" w:rsidRDefault="00C12350" w:rsidP="00C12350">
      <w:pPr>
        <w:widowControl/>
        <w:numPr>
          <w:ilvl w:val="0"/>
          <w:numId w:val="1"/>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深度学习与</w:t>
      </w:r>
      <w:r w:rsidRPr="00C12350">
        <w:rPr>
          <w:rFonts w:ascii="Arial" w:eastAsia="宋体" w:hAnsi="Arial" w:cs="Arial"/>
          <w:b/>
          <w:bCs/>
          <w:color w:val="1B1C1D"/>
          <w:kern w:val="0"/>
          <w:sz w:val="24"/>
          <w:szCs w:val="24"/>
          <w:bdr w:val="none" w:sz="0" w:space="0" w:color="auto" w:frame="1"/>
          <w14:ligatures w14:val="none"/>
        </w:rPr>
        <w:t>D-S</w:t>
      </w:r>
      <w:r w:rsidRPr="00C12350">
        <w:rPr>
          <w:rFonts w:ascii="Arial" w:eastAsia="宋体" w:hAnsi="Arial" w:cs="Arial"/>
          <w:b/>
          <w:bCs/>
          <w:color w:val="1B1C1D"/>
          <w:kern w:val="0"/>
          <w:sz w:val="24"/>
          <w:szCs w:val="24"/>
          <w:bdr w:val="none" w:sz="0" w:space="0" w:color="auto" w:frame="1"/>
          <w14:ligatures w14:val="none"/>
        </w:rPr>
        <w:t>理论的协同</w:t>
      </w:r>
      <w:r w:rsidRPr="00C12350">
        <w:rPr>
          <w:rFonts w:ascii="Arial" w:eastAsia="宋体" w:hAnsi="Arial" w:cs="Arial"/>
          <w:color w:val="1B1C1D"/>
          <w:kern w:val="0"/>
          <w:sz w:val="24"/>
          <w:szCs w:val="24"/>
          <w14:ligatures w14:val="none"/>
        </w:rPr>
        <w:t>：为了应对多维度原始数据的高维性和复杂性，研究趋势是将深度学习模型作为强大的特征提取器，为</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理论提供高质量的</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基本概率分配</w:t>
      </w:r>
      <w:r w:rsidRPr="00C12350">
        <w:rPr>
          <w:rFonts w:ascii="Arial" w:eastAsia="宋体" w:hAnsi="Arial" w:cs="Arial"/>
          <w:color w:val="1B1C1D"/>
          <w:kern w:val="0"/>
          <w:sz w:val="24"/>
          <w:szCs w:val="24"/>
          <w14:ligatures w14:val="none"/>
        </w:rPr>
        <w:t xml:space="preserve"> (BPA)” [5, 6]</w:t>
      </w:r>
      <w:r w:rsidRPr="00C12350">
        <w:rPr>
          <w:rFonts w:ascii="Arial" w:eastAsia="宋体" w:hAnsi="Arial" w:cs="Arial"/>
          <w:color w:val="1B1C1D"/>
          <w:kern w:val="0"/>
          <w:sz w:val="24"/>
          <w:szCs w:val="24"/>
          <w14:ligatures w14:val="none"/>
        </w:rPr>
        <w:t>。例如，卷积神经网络（</w:t>
      </w:r>
      <w:r w:rsidRPr="00C12350">
        <w:rPr>
          <w:rFonts w:ascii="Arial" w:eastAsia="宋体" w:hAnsi="Arial" w:cs="Arial"/>
          <w:color w:val="1B1C1D"/>
          <w:kern w:val="0"/>
          <w:sz w:val="24"/>
          <w:szCs w:val="24"/>
          <w14:ligatures w14:val="none"/>
        </w:rPr>
        <w:t>CNN</w:t>
      </w:r>
      <w:r w:rsidRPr="00C12350">
        <w:rPr>
          <w:rFonts w:ascii="Arial" w:eastAsia="宋体" w:hAnsi="Arial" w:cs="Arial"/>
          <w:color w:val="1B1C1D"/>
          <w:kern w:val="0"/>
          <w:sz w:val="24"/>
          <w:szCs w:val="24"/>
          <w14:ligatures w14:val="none"/>
        </w:rPr>
        <w:t>）、循环神经网络（</w:t>
      </w:r>
      <w:r w:rsidRPr="00C12350">
        <w:rPr>
          <w:rFonts w:ascii="Arial" w:eastAsia="宋体" w:hAnsi="Arial" w:cs="Arial"/>
          <w:color w:val="1B1C1D"/>
          <w:kern w:val="0"/>
          <w:sz w:val="24"/>
          <w:szCs w:val="24"/>
          <w14:ligatures w14:val="none"/>
        </w:rPr>
        <w:t>RNN</w:t>
      </w:r>
      <w:r w:rsidRPr="00C12350">
        <w:rPr>
          <w:rFonts w:ascii="Arial" w:eastAsia="宋体" w:hAnsi="Arial" w:cs="Arial"/>
          <w:color w:val="1B1C1D"/>
          <w:kern w:val="0"/>
          <w:sz w:val="24"/>
          <w:szCs w:val="24"/>
          <w14:ligatures w14:val="none"/>
        </w:rPr>
        <w:t>）或</w:t>
      </w:r>
      <w:r w:rsidRPr="00C12350">
        <w:rPr>
          <w:rFonts w:ascii="Arial" w:eastAsia="宋体" w:hAnsi="Arial" w:cs="Arial"/>
          <w:color w:val="1B1C1D"/>
          <w:kern w:val="0"/>
          <w:sz w:val="24"/>
          <w:szCs w:val="24"/>
          <w14:ligatures w14:val="none"/>
        </w:rPr>
        <w:t>Transformer</w:t>
      </w:r>
      <w:r w:rsidRPr="00C12350">
        <w:rPr>
          <w:rFonts w:ascii="Arial" w:eastAsia="宋体" w:hAnsi="Arial" w:cs="Arial"/>
          <w:color w:val="1B1C1D"/>
          <w:kern w:val="0"/>
          <w:sz w:val="24"/>
          <w:szCs w:val="24"/>
          <w14:ligatures w14:val="none"/>
        </w:rPr>
        <w:t>结构被用于从图像、时序数据中学习表征，然后通过一个转换层（如</w:t>
      </w:r>
      <w:r w:rsidRPr="00C12350">
        <w:rPr>
          <w:rFonts w:ascii="Arial" w:eastAsia="宋体" w:hAnsi="Arial" w:cs="Arial"/>
          <w:color w:val="1B1C1D"/>
          <w:kern w:val="0"/>
          <w:sz w:val="24"/>
          <w:szCs w:val="24"/>
          <w14:ligatures w14:val="none"/>
        </w:rPr>
        <w:t>Softmax</w:t>
      </w:r>
      <w:r w:rsidRPr="00C12350">
        <w:rPr>
          <w:rFonts w:ascii="Arial" w:eastAsia="宋体" w:hAnsi="Arial" w:cs="Arial"/>
          <w:color w:val="1B1C1D"/>
          <w:kern w:val="0"/>
          <w:sz w:val="24"/>
          <w:szCs w:val="24"/>
          <w14:ligatures w14:val="none"/>
        </w:rPr>
        <w:t>或</w:t>
      </w:r>
      <w:r w:rsidRPr="00C12350">
        <w:rPr>
          <w:rFonts w:ascii="Arial" w:eastAsia="宋体" w:hAnsi="Arial" w:cs="Arial"/>
          <w:color w:val="1B1C1D"/>
          <w:kern w:val="0"/>
          <w:sz w:val="24"/>
          <w:szCs w:val="24"/>
          <w14:ligatures w14:val="none"/>
        </w:rPr>
        <w:t>Sigmoid</w:t>
      </w:r>
      <w:r w:rsidRPr="00C12350">
        <w:rPr>
          <w:rFonts w:ascii="Arial" w:eastAsia="宋体" w:hAnsi="Arial" w:cs="Arial"/>
          <w:color w:val="1B1C1D"/>
          <w:kern w:val="0"/>
          <w:sz w:val="24"/>
          <w:szCs w:val="24"/>
          <w14:ligatures w14:val="none"/>
        </w:rPr>
        <w:t>）将模型输出转化为</w:t>
      </w:r>
      <w:r w:rsidRPr="00C12350">
        <w:rPr>
          <w:rFonts w:ascii="Arial" w:eastAsia="宋体" w:hAnsi="Arial" w:cs="Arial"/>
          <w:color w:val="1B1C1D"/>
          <w:kern w:val="0"/>
          <w:sz w:val="24"/>
          <w:szCs w:val="24"/>
          <w14:ligatures w14:val="none"/>
        </w:rPr>
        <w:t>BPA</w:t>
      </w:r>
      <w:r w:rsidRPr="00C12350">
        <w:rPr>
          <w:rFonts w:ascii="Arial" w:eastAsia="宋体" w:hAnsi="Arial" w:cs="Arial"/>
          <w:color w:val="1B1C1D"/>
          <w:kern w:val="0"/>
          <w:sz w:val="24"/>
          <w:szCs w:val="24"/>
          <w14:ligatures w14:val="none"/>
        </w:rPr>
        <w:t>。这种</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深度学习</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的混合范式在处理海量、高维多模态数据方面表现出显著优势。</w:t>
      </w:r>
    </w:p>
    <w:p w14:paraId="6546A333" w14:textId="77777777" w:rsidR="00C12350" w:rsidRPr="00C12350" w:rsidRDefault="00C12350" w:rsidP="00C12350">
      <w:pPr>
        <w:widowControl/>
        <w:numPr>
          <w:ilvl w:val="0"/>
          <w:numId w:val="1"/>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多维度融合的探索</w:t>
      </w:r>
      <w:r w:rsidRPr="00C12350">
        <w:rPr>
          <w:rFonts w:ascii="Arial" w:eastAsia="宋体" w:hAnsi="Arial" w:cs="Arial"/>
          <w:color w:val="1B1C1D"/>
          <w:kern w:val="0"/>
          <w:sz w:val="24"/>
          <w:szCs w:val="24"/>
          <w14:ligatures w14:val="none"/>
        </w:rPr>
        <w:t>：随着传感器技术的进步，融合的维度正在从简单的双模态（如视觉</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雷达）向三模态甚至更多维度扩展</w:t>
      </w:r>
      <w:r w:rsidRPr="00C12350">
        <w:rPr>
          <w:rFonts w:ascii="Arial" w:eastAsia="宋体" w:hAnsi="Arial" w:cs="Arial"/>
          <w:color w:val="1B1C1D"/>
          <w:kern w:val="0"/>
          <w:sz w:val="24"/>
          <w:szCs w:val="24"/>
          <w14:ligatures w14:val="none"/>
        </w:rPr>
        <w:t xml:space="preserve"> [7, 8]</w:t>
      </w:r>
      <w:r w:rsidRPr="00C12350">
        <w:rPr>
          <w:rFonts w:ascii="Arial" w:eastAsia="宋体" w:hAnsi="Arial" w:cs="Arial"/>
          <w:color w:val="1B1C1D"/>
          <w:kern w:val="0"/>
          <w:sz w:val="24"/>
          <w:szCs w:val="24"/>
          <w14:ligatures w14:val="none"/>
        </w:rPr>
        <w:t>。例如，在自动驾驶领域，对视觉、激光雷达和惯导等多源信息的融合已是标配。在工业领域，针对特定复杂场景（如核电站、大型化工厂），也开始出现融合设备状态、环境参数和人工巡检报告等有限多维度数据的尝试，但距离普遍性的</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物</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工艺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环境</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五维度融合尚有差距。</w:t>
      </w:r>
    </w:p>
    <w:p w14:paraId="61EFCBFE" w14:textId="77777777" w:rsidR="00C12350" w:rsidRPr="00C12350" w:rsidRDefault="00C12350" w:rsidP="00C12350">
      <w:pPr>
        <w:widowControl/>
        <w:jc w:val="left"/>
        <w:outlineLvl w:val="3"/>
        <w:rPr>
          <w:rFonts w:ascii="Arial" w:eastAsia="宋体" w:hAnsi="Arial" w:cs="Arial"/>
          <w:b/>
          <w:bCs/>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 xml:space="preserve">2. </w:t>
      </w:r>
      <w:r w:rsidRPr="00C12350">
        <w:rPr>
          <w:rFonts w:ascii="Arial" w:eastAsia="宋体" w:hAnsi="Arial" w:cs="Arial"/>
          <w:b/>
          <w:bCs/>
          <w:color w:val="1B1C1D"/>
          <w:kern w:val="0"/>
          <w:sz w:val="24"/>
          <w:szCs w:val="24"/>
          <w:bdr w:val="none" w:sz="0" w:space="0" w:color="auto" w:frame="1"/>
          <w14:ligatures w14:val="none"/>
        </w:rPr>
        <w:t>主要争议点</w:t>
      </w:r>
      <w:r w:rsidRPr="00C12350">
        <w:rPr>
          <w:rFonts w:ascii="Arial" w:eastAsia="宋体" w:hAnsi="Arial" w:cs="Arial"/>
          <w:b/>
          <w:bCs/>
          <w:color w:val="1B1C1D"/>
          <w:kern w:val="0"/>
          <w:sz w:val="24"/>
          <w:szCs w:val="24"/>
          <w:bdr w:val="none" w:sz="0" w:space="0" w:color="auto" w:frame="1"/>
          <w14:ligatures w14:val="none"/>
        </w:rPr>
        <w:t xml:space="preserve"> (Major Points of Contention)</w:t>
      </w:r>
    </w:p>
    <w:p w14:paraId="4771C1C4" w14:textId="77777777" w:rsidR="00C12350" w:rsidRPr="00C12350" w:rsidRDefault="00C12350" w:rsidP="00C12350">
      <w:pPr>
        <w:widowControl/>
        <w:numPr>
          <w:ilvl w:val="0"/>
          <w:numId w:val="2"/>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高维度证据冲突的有效处理</w:t>
      </w:r>
      <w:r w:rsidRPr="00C12350">
        <w:rPr>
          <w:rFonts w:ascii="Arial" w:eastAsia="宋体" w:hAnsi="Arial" w:cs="Arial"/>
          <w:color w:val="1B1C1D"/>
          <w:kern w:val="0"/>
          <w:sz w:val="24"/>
          <w:szCs w:val="24"/>
          <w14:ligatures w14:val="none"/>
        </w:rPr>
        <w:t>：随着融合维度的增加（从</w:t>
      </w:r>
      <w:r w:rsidRPr="00C12350">
        <w:rPr>
          <w:rFonts w:ascii="Arial" w:eastAsia="宋体" w:hAnsi="Arial" w:cs="Arial"/>
          <w:color w:val="1B1C1D"/>
          <w:kern w:val="0"/>
          <w:sz w:val="24"/>
          <w:szCs w:val="24"/>
          <w14:ligatures w14:val="none"/>
        </w:rPr>
        <w:t>2</w:t>
      </w:r>
      <w:r w:rsidRPr="00C12350">
        <w:rPr>
          <w:rFonts w:ascii="Arial" w:eastAsia="宋体" w:hAnsi="Arial" w:cs="Arial"/>
          <w:color w:val="1B1C1D"/>
          <w:kern w:val="0"/>
          <w:sz w:val="24"/>
          <w:szCs w:val="24"/>
          <w14:ligatures w14:val="none"/>
        </w:rPr>
        <w:t>个到</w:t>
      </w:r>
      <w:r w:rsidRPr="00C12350">
        <w:rPr>
          <w:rFonts w:ascii="Arial" w:eastAsia="宋体" w:hAnsi="Arial" w:cs="Arial"/>
          <w:color w:val="1B1C1D"/>
          <w:kern w:val="0"/>
          <w:sz w:val="24"/>
          <w:szCs w:val="24"/>
          <w14:ligatures w14:val="none"/>
        </w:rPr>
        <w:t>5</w:t>
      </w:r>
      <w:r w:rsidRPr="00C12350">
        <w:rPr>
          <w:rFonts w:ascii="Arial" w:eastAsia="宋体" w:hAnsi="Arial" w:cs="Arial"/>
          <w:color w:val="1B1C1D"/>
          <w:kern w:val="0"/>
          <w:sz w:val="24"/>
          <w:szCs w:val="24"/>
          <w14:ligatures w14:val="none"/>
        </w:rPr>
        <w:t>个甚至更多），证据来源间的冲突数量和复杂性呈指数级增长</w:t>
      </w:r>
      <w:r w:rsidRPr="00C12350">
        <w:rPr>
          <w:rFonts w:ascii="Arial" w:eastAsia="宋体" w:hAnsi="Arial" w:cs="Arial"/>
          <w:color w:val="1B1C1D"/>
          <w:kern w:val="0"/>
          <w:sz w:val="24"/>
          <w:szCs w:val="24"/>
          <w14:ligatures w14:val="none"/>
        </w:rPr>
        <w:t xml:space="preserve"> [2, 9]</w:t>
      </w:r>
      <w:r w:rsidRPr="00C12350">
        <w:rPr>
          <w:rFonts w:ascii="Arial" w:eastAsia="宋体" w:hAnsi="Arial" w:cs="Arial"/>
          <w:color w:val="1B1C1D"/>
          <w:kern w:val="0"/>
          <w:sz w:val="24"/>
          <w:szCs w:val="24"/>
          <w14:ligatures w14:val="none"/>
        </w:rPr>
        <w:t>。经典的</w:t>
      </w:r>
      <w:r w:rsidRPr="00C12350">
        <w:rPr>
          <w:rFonts w:ascii="Arial" w:eastAsia="宋体" w:hAnsi="Arial" w:cs="Arial"/>
          <w:color w:val="1B1C1D"/>
          <w:kern w:val="0"/>
          <w:sz w:val="24"/>
          <w:szCs w:val="24"/>
          <w14:ligatures w14:val="none"/>
        </w:rPr>
        <w:t>Dempster</w:t>
      </w:r>
      <w:r w:rsidRPr="00C12350">
        <w:rPr>
          <w:rFonts w:ascii="Arial" w:eastAsia="宋体" w:hAnsi="Arial" w:cs="Arial"/>
          <w:color w:val="1B1C1D"/>
          <w:kern w:val="0"/>
          <w:sz w:val="24"/>
          <w:szCs w:val="24"/>
          <w14:ligatures w14:val="none"/>
        </w:rPr>
        <w:t>组合规则在面对高度冲突的多个证据源时，产生的反直觉结果问题更为突出。尽管当前研究集中于融合前的证据修正（如基于距离的冲突度量和权重调整），但在多达五六个甚至更多高度异构且可能相互冲突的证据源情境下，如何设计一个既能有效解决冲突，又能保持计算效率和理论一致性的通用方法，仍是核心挑战。针对高维多源的</w:t>
      </w:r>
      <w:r w:rsidRPr="00C12350">
        <w:rPr>
          <w:rFonts w:ascii="Arial" w:eastAsia="宋体" w:hAnsi="Arial" w:cs="Arial"/>
          <w:b/>
          <w:bCs/>
          <w:color w:val="1B1C1D"/>
          <w:kern w:val="0"/>
          <w:sz w:val="24"/>
          <w:szCs w:val="24"/>
          <w:bdr w:val="none" w:sz="0" w:space="0" w:color="auto" w:frame="1"/>
          <w14:ligatures w14:val="none"/>
        </w:rPr>
        <w:t>通用冲突度量和自适应权重分配机制</w:t>
      </w:r>
      <w:r w:rsidRPr="00C12350">
        <w:rPr>
          <w:rFonts w:ascii="Arial" w:eastAsia="宋体" w:hAnsi="Arial" w:cs="Arial"/>
          <w:color w:val="1B1C1D"/>
          <w:kern w:val="0"/>
          <w:sz w:val="24"/>
          <w:szCs w:val="24"/>
          <w14:ligatures w14:val="none"/>
        </w:rPr>
        <w:t>仍需深入探索</w:t>
      </w:r>
      <w:r w:rsidRPr="00C12350">
        <w:rPr>
          <w:rFonts w:ascii="Arial" w:eastAsia="宋体" w:hAnsi="Arial" w:cs="Arial"/>
          <w:color w:val="1B1C1D"/>
          <w:kern w:val="0"/>
          <w:sz w:val="24"/>
          <w:szCs w:val="24"/>
          <w14:ligatures w14:val="none"/>
        </w:rPr>
        <w:t xml:space="preserve"> [2, 10]</w:t>
      </w:r>
      <w:r w:rsidRPr="00C12350">
        <w:rPr>
          <w:rFonts w:ascii="Arial" w:eastAsia="宋体" w:hAnsi="Arial" w:cs="Arial"/>
          <w:color w:val="1B1C1D"/>
          <w:kern w:val="0"/>
          <w:sz w:val="24"/>
          <w:szCs w:val="24"/>
          <w14:ligatures w14:val="none"/>
        </w:rPr>
        <w:t>。</w:t>
      </w:r>
    </w:p>
    <w:p w14:paraId="722344A8" w14:textId="77777777" w:rsidR="00C12350" w:rsidRPr="00C12350" w:rsidRDefault="00C12350" w:rsidP="00C12350">
      <w:pPr>
        <w:widowControl/>
        <w:numPr>
          <w:ilvl w:val="0"/>
          <w:numId w:val="2"/>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BPA</w:t>
      </w:r>
      <w:r w:rsidRPr="00C12350">
        <w:rPr>
          <w:rFonts w:ascii="Arial" w:eastAsia="宋体" w:hAnsi="Arial" w:cs="Arial"/>
          <w:b/>
          <w:bCs/>
          <w:color w:val="1B1C1D"/>
          <w:kern w:val="0"/>
          <w:sz w:val="24"/>
          <w:szCs w:val="24"/>
          <w:bdr w:val="none" w:sz="0" w:space="0" w:color="auto" w:frame="1"/>
          <w14:ligatures w14:val="none"/>
        </w:rPr>
        <w:t>生成的</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黑箱</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问题与可解释性</w:t>
      </w:r>
      <w:r w:rsidRPr="00C12350">
        <w:rPr>
          <w:rFonts w:ascii="Arial" w:eastAsia="宋体" w:hAnsi="Arial" w:cs="Arial"/>
          <w:color w:val="1B1C1D"/>
          <w:kern w:val="0"/>
          <w:sz w:val="24"/>
          <w:szCs w:val="24"/>
          <w14:ligatures w14:val="none"/>
        </w:rPr>
        <w:t>：当深度学习模型被用于生成</w:t>
      </w:r>
      <w:r w:rsidRPr="00C12350">
        <w:rPr>
          <w:rFonts w:ascii="Arial" w:eastAsia="宋体" w:hAnsi="Arial" w:cs="Arial"/>
          <w:color w:val="1B1C1D"/>
          <w:kern w:val="0"/>
          <w:sz w:val="24"/>
          <w:szCs w:val="24"/>
          <w14:ligatures w14:val="none"/>
        </w:rPr>
        <w:t>BPA</w:t>
      </w:r>
      <w:r w:rsidRPr="00C12350">
        <w:rPr>
          <w:rFonts w:ascii="Arial" w:eastAsia="宋体" w:hAnsi="Arial" w:cs="Arial"/>
          <w:color w:val="1B1C1D"/>
          <w:kern w:val="0"/>
          <w:sz w:val="24"/>
          <w:szCs w:val="24"/>
          <w14:ligatures w14:val="none"/>
        </w:rPr>
        <w:t>时，其内部决策过程的</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黑箱</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特性使得最终的</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融合结果的可解释性受到影响</w:t>
      </w:r>
      <w:r w:rsidRPr="00C12350">
        <w:rPr>
          <w:rFonts w:ascii="Arial" w:eastAsia="宋体" w:hAnsi="Arial" w:cs="Arial"/>
          <w:color w:val="1B1C1D"/>
          <w:kern w:val="0"/>
          <w:sz w:val="24"/>
          <w:szCs w:val="24"/>
          <w14:ligatures w14:val="none"/>
        </w:rPr>
        <w:t xml:space="preserve"> [5]</w:t>
      </w:r>
      <w:r w:rsidRPr="00C12350">
        <w:rPr>
          <w:rFonts w:ascii="Arial" w:eastAsia="宋体" w:hAnsi="Arial" w:cs="Arial"/>
          <w:color w:val="1B1C1D"/>
          <w:kern w:val="0"/>
          <w:sz w:val="24"/>
          <w:szCs w:val="24"/>
          <w14:ligatures w14:val="none"/>
        </w:rPr>
        <w:t>。用户和决策者不仅需要知道风险等级，更需要理解</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为什么是这个风险等级</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，以及每个数据源（人、机、物、工艺、环境）分别贡献了多少证据，其信任程度如何。如何在深度学习模型中引入</w:t>
      </w:r>
      <w:r w:rsidRPr="00C12350">
        <w:rPr>
          <w:rFonts w:ascii="Arial" w:eastAsia="宋体" w:hAnsi="Arial" w:cs="Arial"/>
          <w:b/>
          <w:bCs/>
          <w:color w:val="1B1C1D"/>
          <w:kern w:val="0"/>
          <w:sz w:val="24"/>
          <w:szCs w:val="24"/>
          <w:bdr w:val="none" w:sz="0" w:space="0" w:color="auto" w:frame="1"/>
          <w14:ligatures w14:val="none"/>
        </w:rPr>
        <w:t>可解释性</w:t>
      </w:r>
      <w:r w:rsidRPr="00C12350">
        <w:rPr>
          <w:rFonts w:ascii="Arial" w:eastAsia="宋体" w:hAnsi="Arial" w:cs="Arial"/>
          <w:b/>
          <w:bCs/>
          <w:color w:val="1B1C1D"/>
          <w:kern w:val="0"/>
          <w:sz w:val="24"/>
          <w:szCs w:val="24"/>
          <w:bdr w:val="none" w:sz="0" w:space="0" w:color="auto" w:frame="1"/>
          <w14:ligatures w14:val="none"/>
        </w:rPr>
        <w:t>AI (XAI)</w:t>
      </w:r>
      <w:r w:rsidRPr="00C12350">
        <w:rPr>
          <w:rFonts w:ascii="Arial" w:eastAsia="宋体" w:hAnsi="Arial" w:cs="Arial"/>
          <w:color w:val="1B1C1D"/>
          <w:kern w:val="0"/>
          <w:sz w:val="24"/>
          <w:szCs w:val="24"/>
          <w14:ligatures w14:val="none"/>
        </w:rPr>
        <w:t xml:space="preserve"> </w:t>
      </w:r>
      <w:r w:rsidRPr="00C12350">
        <w:rPr>
          <w:rFonts w:ascii="Arial" w:eastAsia="宋体" w:hAnsi="Arial" w:cs="Arial"/>
          <w:color w:val="1B1C1D"/>
          <w:kern w:val="0"/>
          <w:sz w:val="24"/>
          <w:szCs w:val="24"/>
          <w14:ligatures w14:val="none"/>
        </w:rPr>
        <w:t>技术，并将其与</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理论的信念结构无缝结合，以提供透明且可信的</w:t>
      </w:r>
      <w:r w:rsidRPr="00C12350">
        <w:rPr>
          <w:rFonts w:ascii="Arial" w:eastAsia="宋体" w:hAnsi="Arial" w:cs="Arial"/>
          <w:color w:val="1B1C1D"/>
          <w:kern w:val="0"/>
          <w:sz w:val="24"/>
          <w:szCs w:val="24"/>
          <w14:ligatures w14:val="none"/>
        </w:rPr>
        <w:t>BPA</w:t>
      </w:r>
      <w:r w:rsidRPr="00C12350">
        <w:rPr>
          <w:rFonts w:ascii="Arial" w:eastAsia="宋体" w:hAnsi="Arial" w:cs="Arial"/>
          <w:color w:val="1B1C1D"/>
          <w:kern w:val="0"/>
          <w:sz w:val="24"/>
          <w:szCs w:val="24"/>
          <w14:ligatures w14:val="none"/>
        </w:rPr>
        <w:t>生成和融合过程，是一个重要争议点。</w:t>
      </w:r>
    </w:p>
    <w:p w14:paraId="4E0DD3AC" w14:textId="77777777" w:rsidR="00C12350" w:rsidRPr="00C12350" w:rsidRDefault="00C12350" w:rsidP="00C12350">
      <w:pPr>
        <w:widowControl/>
        <w:numPr>
          <w:ilvl w:val="0"/>
          <w:numId w:val="2"/>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实时性与计算效率</w:t>
      </w:r>
      <w:r w:rsidRPr="00C12350">
        <w:rPr>
          <w:rFonts w:ascii="Arial" w:eastAsia="宋体" w:hAnsi="Arial" w:cs="Arial"/>
          <w:color w:val="1B1C1D"/>
          <w:kern w:val="0"/>
          <w:sz w:val="24"/>
          <w:szCs w:val="24"/>
          <w14:ligatures w14:val="none"/>
        </w:rPr>
        <w:t>：在</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物</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工艺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环境</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这样的多维度实时评估场景中，需要同时处理大量的异构、高频数据。深度学习模型（特别是</w:t>
      </w:r>
      <w:r w:rsidRPr="00C12350">
        <w:rPr>
          <w:rFonts w:ascii="Arial" w:eastAsia="宋体" w:hAnsi="Arial" w:cs="Arial"/>
          <w:color w:val="1B1C1D"/>
          <w:kern w:val="0"/>
          <w:sz w:val="24"/>
          <w:szCs w:val="24"/>
          <w14:ligatures w14:val="none"/>
        </w:rPr>
        <w:t>Transformer</w:t>
      </w:r>
      <w:r w:rsidRPr="00C12350">
        <w:rPr>
          <w:rFonts w:ascii="Arial" w:eastAsia="宋体" w:hAnsi="Arial" w:cs="Arial"/>
          <w:color w:val="1B1C1D"/>
          <w:kern w:val="0"/>
          <w:sz w:val="24"/>
          <w:szCs w:val="24"/>
          <w14:ligatures w14:val="none"/>
        </w:rPr>
        <w:t>类模型）的计算复杂度较高，而</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理论的组合规则在证据源数量增多时，其计算负担也会随之增加</w:t>
      </w:r>
      <w:r w:rsidRPr="00C12350">
        <w:rPr>
          <w:rFonts w:ascii="Arial" w:eastAsia="宋体" w:hAnsi="Arial" w:cs="Arial"/>
          <w:color w:val="1B1C1D"/>
          <w:kern w:val="0"/>
          <w:sz w:val="24"/>
          <w:szCs w:val="24"/>
          <w14:ligatures w14:val="none"/>
        </w:rPr>
        <w:t xml:space="preserve"> [11]</w:t>
      </w:r>
      <w:r w:rsidRPr="00C12350">
        <w:rPr>
          <w:rFonts w:ascii="Arial" w:eastAsia="宋体" w:hAnsi="Arial" w:cs="Arial"/>
          <w:color w:val="1B1C1D"/>
          <w:kern w:val="0"/>
          <w:sz w:val="24"/>
          <w:szCs w:val="24"/>
          <w14:ligatures w14:val="none"/>
        </w:rPr>
        <w:t>。如何在保证评估准确</w:t>
      </w:r>
      <w:r w:rsidRPr="00C12350">
        <w:rPr>
          <w:rFonts w:ascii="Arial" w:eastAsia="宋体" w:hAnsi="Arial" w:cs="Arial"/>
          <w:color w:val="1B1C1D"/>
          <w:kern w:val="0"/>
          <w:sz w:val="24"/>
          <w:szCs w:val="24"/>
          <w14:ligatures w14:val="none"/>
        </w:rPr>
        <w:lastRenderedPageBreak/>
        <w:t>性和不确定性处理能力的前提下，优化整个框架的计算效率，实现真正的实时风险评估，是面临的实际挑战。</w:t>
      </w:r>
    </w:p>
    <w:p w14:paraId="037E4408" w14:textId="77777777" w:rsidR="00C12350" w:rsidRPr="00C12350" w:rsidRDefault="00C12350" w:rsidP="00C12350">
      <w:pPr>
        <w:widowControl/>
        <w:jc w:val="left"/>
        <w:outlineLvl w:val="3"/>
        <w:rPr>
          <w:rFonts w:ascii="Arial" w:eastAsia="宋体" w:hAnsi="Arial" w:cs="Arial"/>
          <w:b/>
          <w:bCs/>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 xml:space="preserve">3. </w:t>
      </w:r>
      <w:r w:rsidRPr="00C12350">
        <w:rPr>
          <w:rFonts w:ascii="Arial" w:eastAsia="宋体" w:hAnsi="Arial" w:cs="Arial"/>
          <w:b/>
          <w:bCs/>
          <w:color w:val="1B1C1D"/>
          <w:kern w:val="0"/>
          <w:sz w:val="24"/>
          <w:szCs w:val="24"/>
          <w:bdr w:val="none" w:sz="0" w:space="0" w:color="auto" w:frame="1"/>
          <w14:ligatures w14:val="none"/>
        </w:rPr>
        <w:t>未来方向</w:t>
      </w:r>
      <w:r w:rsidRPr="00C12350">
        <w:rPr>
          <w:rFonts w:ascii="Arial" w:eastAsia="宋体" w:hAnsi="Arial" w:cs="Arial"/>
          <w:b/>
          <w:bCs/>
          <w:color w:val="1B1C1D"/>
          <w:kern w:val="0"/>
          <w:sz w:val="24"/>
          <w:szCs w:val="24"/>
          <w:bdr w:val="none" w:sz="0" w:space="0" w:color="auto" w:frame="1"/>
          <w14:ligatures w14:val="none"/>
        </w:rPr>
        <w:t xml:space="preserve"> (Future Directions)</w:t>
      </w:r>
    </w:p>
    <w:p w14:paraId="1E049284" w14:textId="77777777" w:rsidR="00C12350" w:rsidRPr="00C12350" w:rsidRDefault="00C12350" w:rsidP="00C12350">
      <w:pPr>
        <w:widowControl/>
        <w:numPr>
          <w:ilvl w:val="0"/>
          <w:numId w:val="3"/>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动态、自适应的证据权重与融合策略</w:t>
      </w:r>
      <w:r w:rsidRPr="00C12350">
        <w:rPr>
          <w:rFonts w:ascii="Arial" w:eastAsia="宋体" w:hAnsi="Arial" w:cs="Arial"/>
          <w:color w:val="1B1C1D"/>
          <w:kern w:val="0"/>
          <w:sz w:val="24"/>
          <w:szCs w:val="24"/>
          <w14:ligatures w14:val="none"/>
        </w:rPr>
        <w:t>：未来的研究将聚焦于开发能够实时评估各数据源（例如，某传感器可能暂时失灵或被干扰）的可靠性，并动态调整其在</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融合中的权重的机制</w:t>
      </w:r>
      <w:r w:rsidRPr="00C12350">
        <w:rPr>
          <w:rFonts w:ascii="Arial" w:eastAsia="宋体" w:hAnsi="Arial" w:cs="Arial"/>
          <w:color w:val="1B1C1D"/>
          <w:kern w:val="0"/>
          <w:sz w:val="24"/>
          <w:szCs w:val="24"/>
          <w14:ligatures w14:val="none"/>
        </w:rPr>
        <w:t xml:space="preserve"> [4, 12]</w:t>
      </w:r>
      <w:r w:rsidRPr="00C12350">
        <w:rPr>
          <w:rFonts w:ascii="Arial" w:eastAsia="宋体" w:hAnsi="Arial" w:cs="Arial"/>
          <w:color w:val="1B1C1D"/>
          <w:kern w:val="0"/>
          <w:sz w:val="24"/>
          <w:szCs w:val="24"/>
          <w14:ligatures w14:val="none"/>
        </w:rPr>
        <w:t>。例如，利用元学习或强化学习来优化证据权重，使其能根据当前环境和任务自适应调整。</w:t>
      </w:r>
    </w:p>
    <w:p w14:paraId="3075A0DB" w14:textId="77777777" w:rsidR="00C12350" w:rsidRPr="00C12350" w:rsidRDefault="00C12350" w:rsidP="00C12350">
      <w:pPr>
        <w:widowControl/>
        <w:numPr>
          <w:ilvl w:val="0"/>
          <w:numId w:val="3"/>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多模态深度学习与多头交叉注意力的高效集成</w:t>
      </w:r>
      <w:r w:rsidRPr="00C12350">
        <w:rPr>
          <w:rFonts w:ascii="Arial" w:eastAsia="宋体" w:hAnsi="Arial" w:cs="Arial"/>
          <w:color w:val="1B1C1D"/>
          <w:kern w:val="0"/>
          <w:sz w:val="24"/>
          <w:szCs w:val="24"/>
          <w14:ligatures w14:val="none"/>
        </w:rPr>
        <w:t>：为了处理</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物</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工艺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环境</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的复杂交互，深度学习模型将进一步发展。例如，将</w:t>
      </w:r>
      <w:r w:rsidRPr="00C12350">
        <w:rPr>
          <w:rFonts w:ascii="Arial" w:eastAsia="宋体" w:hAnsi="Arial" w:cs="Arial"/>
          <w:color w:val="1B1C1D"/>
          <w:kern w:val="0"/>
          <w:sz w:val="24"/>
          <w:szCs w:val="24"/>
          <w14:ligatures w14:val="none"/>
        </w:rPr>
        <w:t>Mamba</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Transformer</w:t>
      </w:r>
      <w:r w:rsidRPr="00C12350">
        <w:rPr>
          <w:rFonts w:ascii="Arial" w:eastAsia="宋体" w:hAnsi="Arial" w:cs="Arial"/>
          <w:color w:val="1B1C1D"/>
          <w:kern w:val="0"/>
          <w:sz w:val="24"/>
          <w:szCs w:val="24"/>
          <w14:ligatures w14:val="none"/>
        </w:rPr>
        <w:t>等先进架构与多头交叉注意力机制更紧密地结合，形成一个能够高效捕捉各模态内部时序</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空间特征，并学习模态间复杂、非线性关联的统一表示</w:t>
      </w:r>
      <w:r w:rsidRPr="00C12350">
        <w:rPr>
          <w:rFonts w:ascii="Arial" w:eastAsia="宋体" w:hAnsi="Arial" w:cs="Arial"/>
          <w:color w:val="1B1C1D"/>
          <w:kern w:val="0"/>
          <w:sz w:val="24"/>
          <w:szCs w:val="24"/>
          <w14:ligatures w14:val="none"/>
        </w:rPr>
        <w:t xml:space="preserve"> [7, 13]</w:t>
      </w:r>
      <w:r w:rsidRPr="00C12350">
        <w:rPr>
          <w:rFonts w:ascii="Arial" w:eastAsia="宋体" w:hAnsi="Arial" w:cs="Arial"/>
          <w:color w:val="1B1C1D"/>
          <w:kern w:val="0"/>
          <w:sz w:val="24"/>
          <w:szCs w:val="24"/>
          <w14:ligatures w14:val="none"/>
        </w:rPr>
        <w:t>。</w:t>
      </w:r>
    </w:p>
    <w:p w14:paraId="2BA8AF4D" w14:textId="77777777" w:rsidR="00C12350" w:rsidRPr="00C12350" w:rsidRDefault="00C12350" w:rsidP="00C12350">
      <w:pPr>
        <w:widowControl/>
        <w:numPr>
          <w:ilvl w:val="0"/>
          <w:numId w:val="3"/>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因果推理与证据理论的结合</w:t>
      </w:r>
      <w:r w:rsidRPr="00C12350">
        <w:rPr>
          <w:rFonts w:ascii="Arial" w:eastAsia="宋体" w:hAnsi="Arial" w:cs="Arial"/>
          <w:color w:val="1B1C1D"/>
          <w:kern w:val="0"/>
          <w:sz w:val="24"/>
          <w:szCs w:val="24"/>
          <w14:ligatures w14:val="none"/>
        </w:rPr>
        <w:t>：将</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证据理论与因果推理框架相结合，不仅能评估风险等级，还能推断出导致风险的最可能因果链。这对于根因分析和主动风险干预至关重要，也是提高系统决策可解释性的重要途径。</w:t>
      </w:r>
    </w:p>
    <w:p w14:paraId="0159EA3A" w14:textId="77777777" w:rsidR="00C12350" w:rsidRPr="00C12350" w:rsidRDefault="00C12350" w:rsidP="00C12350">
      <w:pPr>
        <w:widowControl/>
        <w:jc w:val="left"/>
        <w:outlineLvl w:val="3"/>
        <w:rPr>
          <w:rFonts w:ascii="Arial" w:eastAsia="宋体" w:hAnsi="Arial" w:cs="Arial"/>
          <w:b/>
          <w:bCs/>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 xml:space="preserve">4. </w:t>
      </w:r>
      <w:r w:rsidRPr="00C12350">
        <w:rPr>
          <w:rFonts w:ascii="Arial" w:eastAsia="宋体" w:hAnsi="Arial" w:cs="Arial"/>
          <w:b/>
          <w:bCs/>
          <w:color w:val="1B1C1D"/>
          <w:kern w:val="0"/>
          <w:sz w:val="24"/>
          <w:szCs w:val="24"/>
          <w:bdr w:val="none" w:sz="0" w:space="0" w:color="auto" w:frame="1"/>
          <w14:ligatures w14:val="none"/>
        </w:rPr>
        <w:t>当前研究的不足与理论契合点</w:t>
      </w:r>
    </w:p>
    <w:p w14:paraId="717B70F5" w14:textId="77777777" w:rsidR="00C12350" w:rsidRPr="00C12350" w:rsidRDefault="00C12350" w:rsidP="00C12350">
      <w:pPr>
        <w:widowControl/>
        <w:numPr>
          <w:ilvl w:val="0"/>
          <w:numId w:val="4"/>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缺乏系统性的</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人</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机</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物</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工艺</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环境</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五维度框架</w:t>
      </w:r>
      <w:r w:rsidRPr="00C12350">
        <w:rPr>
          <w:rFonts w:ascii="Arial" w:eastAsia="宋体" w:hAnsi="Arial" w:cs="Arial"/>
          <w:color w:val="1B1C1D"/>
          <w:kern w:val="0"/>
          <w:sz w:val="24"/>
          <w:szCs w:val="24"/>
          <w14:ligatures w14:val="none"/>
        </w:rPr>
        <w:t>：现有研究虽有涉及多维度数据融合，但鲜有能够将人（行为）、机（设备）、物（物料）、工艺（流程）、环境（外部条件）这五个关键维度进行统一建模和实时评估的框架。这为您提出的研究方向</w:t>
      </w:r>
      <w:r w:rsidRPr="00C12350">
        <w:rPr>
          <w:rFonts w:ascii="Arial" w:eastAsia="宋体" w:hAnsi="Arial" w:cs="Arial"/>
          <w:color w:val="1B1C1D"/>
          <w:kern w:val="0"/>
          <w:sz w:val="24"/>
          <w:szCs w:val="24"/>
          <w14:ligatures w14:val="none"/>
        </w:rPr>
        <w:t>——</w:t>
      </w:r>
      <w:r w:rsidRPr="00C12350">
        <w:rPr>
          <w:rFonts w:ascii="Arial" w:eastAsia="宋体" w:hAnsi="Arial" w:cs="Arial"/>
          <w:b/>
          <w:bCs/>
          <w:color w:val="1B1C1D"/>
          <w:kern w:val="0"/>
          <w:sz w:val="24"/>
          <w:szCs w:val="24"/>
          <w:bdr w:val="none" w:sz="0" w:space="0" w:color="auto" w:frame="1"/>
          <w14:ligatures w14:val="none"/>
        </w:rPr>
        <w:t>构建五维度的分层证据融合框架</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提供了明确且巨大的研究空白。您的框架通过模态内部分析和模态间交叉注意力，正是解决这一多维度数据融合核心挑战的有效途径。</w:t>
      </w:r>
    </w:p>
    <w:p w14:paraId="27A9688F" w14:textId="77777777" w:rsidR="00C12350" w:rsidRPr="00C12350" w:rsidRDefault="00C12350" w:rsidP="00C12350">
      <w:pPr>
        <w:widowControl/>
        <w:numPr>
          <w:ilvl w:val="0"/>
          <w:numId w:val="4"/>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异构数据到</w:t>
      </w:r>
      <w:r w:rsidRPr="00C12350">
        <w:rPr>
          <w:rFonts w:ascii="Arial" w:eastAsia="宋体" w:hAnsi="Arial" w:cs="Arial"/>
          <w:b/>
          <w:bCs/>
          <w:color w:val="1B1C1D"/>
          <w:kern w:val="0"/>
          <w:sz w:val="24"/>
          <w:szCs w:val="24"/>
          <w:bdr w:val="none" w:sz="0" w:space="0" w:color="auto" w:frame="1"/>
          <w14:ligatures w14:val="none"/>
        </w:rPr>
        <w:t>BPA</w:t>
      </w:r>
      <w:r w:rsidRPr="00C12350">
        <w:rPr>
          <w:rFonts w:ascii="Arial" w:eastAsia="宋体" w:hAnsi="Arial" w:cs="Arial"/>
          <w:b/>
          <w:bCs/>
          <w:color w:val="1B1C1D"/>
          <w:kern w:val="0"/>
          <w:sz w:val="24"/>
          <w:szCs w:val="24"/>
          <w:bdr w:val="none" w:sz="0" w:space="0" w:color="auto" w:frame="1"/>
          <w14:ligatures w14:val="none"/>
        </w:rPr>
        <w:t>的精细化转化机制不足</w:t>
      </w:r>
      <w:r w:rsidRPr="00C12350">
        <w:rPr>
          <w:rFonts w:ascii="Arial" w:eastAsia="宋体" w:hAnsi="Arial" w:cs="Arial"/>
          <w:color w:val="1B1C1D"/>
          <w:kern w:val="0"/>
          <w:sz w:val="24"/>
          <w:szCs w:val="24"/>
          <w14:ligatures w14:val="none"/>
        </w:rPr>
        <w:t>：尽管深度学习被用于</w:t>
      </w:r>
      <w:r w:rsidRPr="00C12350">
        <w:rPr>
          <w:rFonts w:ascii="Arial" w:eastAsia="宋体" w:hAnsi="Arial" w:cs="Arial"/>
          <w:color w:val="1B1C1D"/>
          <w:kern w:val="0"/>
          <w:sz w:val="24"/>
          <w:szCs w:val="24"/>
          <w14:ligatures w14:val="none"/>
        </w:rPr>
        <w:t>BPA</w:t>
      </w:r>
      <w:r w:rsidRPr="00C12350">
        <w:rPr>
          <w:rFonts w:ascii="Arial" w:eastAsia="宋体" w:hAnsi="Arial" w:cs="Arial"/>
          <w:color w:val="1B1C1D"/>
          <w:kern w:val="0"/>
          <w:sz w:val="24"/>
          <w:szCs w:val="24"/>
          <w14:ligatures w14:val="none"/>
        </w:rPr>
        <w:t>生成，但多维度异构数据（如高维视频、多种时序信号）如何被有效、可解释地转化为符合</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理论的</w:t>
      </w:r>
      <w:r w:rsidRPr="00C12350">
        <w:rPr>
          <w:rFonts w:ascii="Arial" w:eastAsia="宋体" w:hAnsi="Arial" w:cs="Arial"/>
          <w:color w:val="1B1C1D"/>
          <w:kern w:val="0"/>
          <w:sz w:val="24"/>
          <w:szCs w:val="24"/>
          <w14:ligatures w14:val="none"/>
        </w:rPr>
        <w:t>BPA</w:t>
      </w:r>
      <w:r w:rsidRPr="00C12350">
        <w:rPr>
          <w:rFonts w:ascii="Arial" w:eastAsia="宋体" w:hAnsi="Arial" w:cs="Arial"/>
          <w:color w:val="1B1C1D"/>
          <w:kern w:val="0"/>
          <w:sz w:val="24"/>
          <w:szCs w:val="24"/>
          <w14:ligatures w14:val="none"/>
        </w:rPr>
        <w:t>，仍是挑战。您的方案中，</w:t>
      </w:r>
      <w:r w:rsidRPr="00C12350">
        <w:rPr>
          <w:rFonts w:ascii="Arial" w:eastAsia="宋体" w:hAnsi="Arial" w:cs="Arial"/>
          <w:b/>
          <w:bCs/>
          <w:color w:val="1B1C1D"/>
          <w:kern w:val="0"/>
          <w:sz w:val="24"/>
          <w:szCs w:val="24"/>
          <w:bdr w:val="none" w:sz="0" w:space="0" w:color="auto" w:frame="1"/>
          <w14:ligatures w14:val="none"/>
        </w:rPr>
        <w:t>将</w:t>
      </w:r>
      <w:r w:rsidRPr="00C12350">
        <w:rPr>
          <w:rFonts w:ascii="Arial" w:eastAsia="宋体" w:hAnsi="Arial" w:cs="Arial"/>
          <w:b/>
          <w:bCs/>
          <w:color w:val="1B1C1D"/>
          <w:kern w:val="0"/>
          <w:sz w:val="24"/>
          <w:szCs w:val="24"/>
          <w:bdr w:val="none" w:sz="0" w:space="0" w:color="auto" w:frame="1"/>
          <w14:ligatures w14:val="none"/>
        </w:rPr>
        <w:t>Mamba</w:t>
      </w:r>
      <w:r w:rsidRPr="00C12350">
        <w:rPr>
          <w:rFonts w:ascii="Arial" w:eastAsia="宋体" w:hAnsi="Arial" w:cs="Arial"/>
          <w:b/>
          <w:bCs/>
          <w:color w:val="1B1C1D"/>
          <w:kern w:val="0"/>
          <w:sz w:val="24"/>
          <w:szCs w:val="24"/>
          <w:bdr w:val="none" w:sz="0" w:space="0" w:color="auto" w:frame="1"/>
          <w14:ligatures w14:val="none"/>
        </w:rPr>
        <w:t>、</w:t>
      </w:r>
      <w:r w:rsidRPr="00C12350">
        <w:rPr>
          <w:rFonts w:ascii="Arial" w:eastAsia="宋体" w:hAnsi="Arial" w:cs="Arial"/>
          <w:b/>
          <w:bCs/>
          <w:color w:val="1B1C1D"/>
          <w:kern w:val="0"/>
          <w:sz w:val="24"/>
          <w:szCs w:val="24"/>
          <w:bdr w:val="none" w:sz="0" w:space="0" w:color="auto" w:frame="1"/>
          <w14:ligatures w14:val="none"/>
        </w:rPr>
        <w:t>ViT</w:t>
      </w:r>
      <w:r w:rsidRPr="00C12350">
        <w:rPr>
          <w:rFonts w:ascii="Arial" w:eastAsia="宋体" w:hAnsi="Arial" w:cs="Arial"/>
          <w:b/>
          <w:bCs/>
          <w:color w:val="1B1C1D"/>
          <w:kern w:val="0"/>
          <w:sz w:val="24"/>
          <w:szCs w:val="24"/>
          <w:bdr w:val="none" w:sz="0" w:space="0" w:color="auto" w:frame="1"/>
          <w14:ligatures w14:val="none"/>
        </w:rPr>
        <w:t>等高级模型作为模态内部分析器，并结合交叉注意力进行特征层融合，再将这些深层特征转化为证据</w:t>
      </w:r>
      <w:r w:rsidRPr="00C12350">
        <w:rPr>
          <w:rFonts w:ascii="Arial" w:eastAsia="宋体" w:hAnsi="Arial" w:cs="Arial"/>
          <w:color w:val="1B1C1D"/>
          <w:kern w:val="0"/>
          <w:sz w:val="24"/>
          <w:szCs w:val="24"/>
          <w14:ligatures w14:val="none"/>
        </w:rPr>
        <w:t>，正是在弥补这一转化鸿沟，提供了一个更精细、更具洞察力的</w:t>
      </w:r>
      <w:r w:rsidRPr="00C12350">
        <w:rPr>
          <w:rFonts w:ascii="Arial" w:eastAsia="宋体" w:hAnsi="Arial" w:cs="Arial"/>
          <w:color w:val="1B1C1D"/>
          <w:kern w:val="0"/>
          <w:sz w:val="24"/>
          <w:szCs w:val="24"/>
          <w14:ligatures w14:val="none"/>
        </w:rPr>
        <w:t>BPA</w:t>
      </w:r>
      <w:r w:rsidRPr="00C12350">
        <w:rPr>
          <w:rFonts w:ascii="Arial" w:eastAsia="宋体" w:hAnsi="Arial" w:cs="Arial"/>
          <w:color w:val="1B1C1D"/>
          <w:kern w:val="0"/>
          <w:sz w:val="24"/>
          <w:szCs w:val="24"/>
          <w14:ligatures w14:val="none"/>
        </w:rPr>
        <w:t>生成方法。</w:t>
      </w:r>
    </w:p>
    <w:p w14:paraId="291CF737" w14:textId="77777777" w:rsidR="00C12350" w:rsidRPr="00C12350" w:rsidRDefault="00C12350" w:rsidP="00C12350">
      <w:pPr>
        <w:widowControl/>
        <w:numPr>
          <w:ilvl w:val="0"/>
          <w:numId w:val="4"/>
        </w:numPr>
        <w:jc w:val="left"/>
        <w:rPr>
          <w:rFonts w:ascii="Arial" w:eastAsia="宋体" w:hAnsi="Arial" w:cs="Arial"/>
          <w:color w:val="1B1C1D"/>
          <w:kern w:val="0"/>
          <w:sz w:val="24"/>
          <w:szCs w:val="24"/>
          <w14:ligatures w14:val="none"/>
        </w:rPr>
      </w:pPr>
      <w:r w:rsidRPr="00C12350">
        <w:rPr>
          <w:rFonts w:ascii="Arial" w:eastAsia="宋体" w:hAnsi="Arial" w:cs="Arial"/>
          <w:b/>
          <w:bCs/>
          <w:color w:val="1B1C1D"/>
          <w:kern w:val="0"/>
          <w:sz w:val="24"/>
          <w:szCs w:val="24"/>
          <w:bdr w:val="none" w:sz="0" w:space="0" w:color="auto" w:frame="1"/>
          <w14:ligatures w14:val="none"/>
        </w:rPr>
        <w:t>多层级复杂融合的理论与实践空白</w:t>
      </w:r>
      <w:r w:rsidRPr="00C12350">
        <w:rPr>
          <w:rFonts w:ascii="Arial" w:eastAsia="宋体" w:hAnsi="Arial" w:cs="Arial"/>
          <w:color w:val="1B1C1D"/>
          <w:kern w:val="0"/>
          <w:sz w:val="24"/>
          <w:szCs w:val="24"/>
          <w14:ligatures w14:val="none"/>
        </w:rPr>
        <w:t>：目前</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融合多集中在决策层。您的</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特征层（交叉注意力）</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决策层（</w:t>
      </w:r>
      <w:r w:rsidRPr="00C12350">
        <w:rPr>
          <w:rFonts w:ascii="Arial" w:eastAsia="宋体" w:hAnsi="Arial" w:cs="Arial"/>
          <w:color w:val="1B1C1D"/>
          <w:kern w:val="0"/>
          <w:sz w:val="24"/>
          <w:szCs w:val="24"/>
          <w14:ligatures w14:val="none"/>
        </w:rPr>
        <w:t>D-S</w:t>
      </w:r>
      <w:r w:rsidRPr="00C12350">
        <w:rPr>
          <w:rFonts w:ascii="Arial" w:eastAsia="宋体" w:hAnsi="Arial" w:cs="Arial"/>
          <w:color w:val="1B1C1D"/>
          <w:kern w:val="0"/>
          <w:sz w:val="24"/>
          <w:szCs w:val="24"/>
          <w14:ligatures w14:val="none"/>
        </w:rPr>
        <w:t>理论）</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分层融合架构</w:t>
      </w:r>
      <w:r w:rsidRPr="00C12350">
        <w:rPr>
          <w:rFonts w:ascii="Arial" w:eastAsia="宋体" w:hAnsi="Arial" w:cs="Arial"/>
          <w:color w:val="1B1C1D"/>
          <w:kern w:val="0"/>
          <w:sz w:val="24"/>
          <w:szCs w:val="24"/>
          <w14:ligatures w14:val="none"/>
        </w:rPr>
        <w:t>**</w:t>
      </w:r>
      <w:r w:rsidRPr="00C12350">
        <w:rPr>
          <w:rFonts w:ascii="Arial" w:eastAsia="宋体" w:hAnsi="Arial" w:cs="Arial"/>
          <w:color w:val="1B1C1D"/>
          <w:kern w:val="0"/>
          <w:sz w:val="24"/>
          <w:szCs w:val="24"/>
          <w14:ligatures w14:val="none"/>
        </w:rPr>
        <w:t>，特别是在五维度背景下，是对现有研究的重大突破。它不仅处理了决策层的不确定性，更在特征层捕捉了多模态之间的复杂交互，从而为最终的风险评估提供了更丰富、更准确的上下文信息。</w:t>
      </w:r>
    </w:p>
    <w:p w14:paraId="5744B479" w14:textId="77777777" w:rsidR="00C12350" w:rsidRPr="00C12350" w:rsidRDefault="00C12350" w:rsidP="00C12350">
      <w:pPr>
        <w:widowControl/>
        <w:jc w:val="left"/>
        <w:outlineLvl w:val="2"/>
        <w:rPr>
          <w:rFonts w:ascii="Arial" w:eastAsia="宋体" w:hAnsi="Arial" w:cs="Arial"/>
          <w:b/>
          <w:bCs/>
          <w:color w:val="1B1C1D"/>
          <w:kern w:val="0"/>
          <w:sz w:val="27"/>
          <w:szCs w:val="27"/>
          <w14:ligatures w14:val="none"/>
        </w:rPr>
      </w:pPr>
      <w:r w:rsidRPr="00C12350">
        <w:rPr>
          <w:rFonts w:ascii="Arial" w:eastAsia="宋体" w:hAnsi="Arial" w:cs="Arial"/>
          <w:b/>
          <w:bCs/>
          <w:color w:val="1B1C1D"/>
          <w:kern w:val="0"/>
          <w:sz w:val="27"/>
          <w:szCs w:val="27"/>
          <w:bdr w:val="none" w:sz="0" w:space="0" w:color="auto" w:frame="1"/>
          <w14:ligatures w14:val="none"/>
        </w:rPr>
        <w:t>关键参考文献</w:t>
      </w:r>
      <w:r w:rsidRPr="00C12350">
        <w:rPr>
          <w:rFonts w:ascii="Arial" w:eastAsia="宋体" w:hAnsi="Arial" w:cs="Arial"/>
          <w:b/>
          <w:bCs/>
          <w:color w:val="1B1C1D"/>
          <w:kern w:val="0"/>
          <w:sz w:val="27"/>
          <w:szCs w:val="27"/>
          <w:bdr w:val="none" w:sz="0" w:space="0" w:color="auto" w:frame="1"/>
          <w14:ligatures w14:val="none"/>
        </w:rPr>
        <w:t xml:space="preserve"> (Key References)</w:t>
      </w:r>
    </w:p>
    <w:p w14:paraId="01CC6858" w14:textId="77777777" w:rsidR="00C12350" w:rsidRPr="00C12350" w:rsidRDefault="00C12350" w:rsidP="00C12350">
      <w:pPr>
        <w:widowControl/>
        <w:numPr>
          <w:ilvl w:val="0"/>
          <w:numId w:val="5"/>
        </w:numPr>
        <w:jc w:val="left"/>
        <w:rPr>
          <w:rFonts w:ascii="Arial" w:eastAsia="宋体" w:hAnsi="Arial" w:cs="Arial"/>
          <w:color w:val="1B1C1D"/>
          <w:kern w:val="0"/>
          <w:sz w:val="24"/>
          <w:szCs w:val="24"/>
          <w14:ligatures w14:val="none"/>
        </w:rPr>
      </w:pPr>
      <w:r w:rsidRPr="00C12350">
        <w:rPr>
          <w:rFonts w:ascii="Arial" w:eastAsia="宋体" w:hAnsi="Arial" w:cs="Arial"/>
          <w:color w:val="1B1C1D"/>
          <w:kern w:val="0"/>
          <w:sz w:val="24"/>
          <w:szCs w:val="24"/>
          <w14:ligatures w14:val="none"/>
        </w:rPr>
        <w:t xml:space="preserve">Kamel, M., Ounoughi, C., &amp; Ben Yahia, S. (2023). Multisensor Data Fusion in IoT Environments in Dempster–Shafer Theory Setting: An Improved Evidence Distance-Based Approach. </w:t>
      </w:r>
      <w:r w:rsidRPr="00C12350">
        <w:rPr>
          <w:rFonts w:ascii="Arial" w:eastAsia="宋体" w:hAnsi="Arial" w:cs="Arial"/>
          <w:i/>
          <w:iCs/>
          <w:color w:val="1B1C1D"/>
          <w:kern w:val="0"/>
          <w:sz w:val="24"/>
          <w:szCs w:val="24"/>
          <w:bdr w:val="none" w:sz="0" w:space="0" w:color="auto" w:frame="1"/>
          <w14:ligatures w14:val="none"/>
        </w:rPr>
        <w:t>Sensors, 23</w:t>
      </w:r>
      <w:r w:rsidRPr="00C12350">
        <w:rPr>
          <w:rFonts w:ascii="Arial" w:eastAsia="宋体" w:hAnsi="Arial" w:cs="Arial"/>
          <w:color w:val="1B1C1D"/>
          <w:kern w:val="0"/>
          <w:sz w:val="24"/>
          <w:szCs w:val="24"/>
          <w14:ligatures w14:val="none"/>
        </w:rPr>
        <w:t>(11), 5141. (IF &gt; 5)</w:t>
      </w:r>
    </w:p>
    <w:p w14:paraId="19CB980A" w14:textId="77777777" w:rsidR="00C12350" w:rsidRPr="00C12350" w:rsidRDefault="00C12350" w:rsidP="00C12350">
      <w:pPr>
        <w:widowControl/>
        <w:numPr>
          <w:ilvl w:val="0"/>
          <w:numId w:val="5"/>
        </w:numPr>
        <w:jc w:val="left"/>
        <w:rPr>
          <w:rFonts w:ascii="Arial" w:eastAsia="宋体" w:hAnsi="Arial" w:cs="Arial"/>
          <w:color w:val="1B1C1D"/>
          <w:kern w:val="0"/>
          <w:sz w:val="24"/>
          <w:szCs w:val="24"/>
          <w14:ligatures w14:val="none"/>
        </w:rPr>
      </w:pPr>
      <w:r w:rsidRPr="00C12350">
        <w:rPr>
          <w:rFonts w:ascii="Arial" w:eastAsia="宋体" w:hAnsi="Arial" w:cs="Arial"/>
          <w:color w:val="1B1C1D"/>
          <w:kern w:val="0"/>
          <w:sz w:val="24"/>
          <w:szCs w:val="24"/>
          <w14:ligatures w14:val="none"/>
        </w:rPr>
        <w:t xml:space="preserve">Liu, Z., Song, Y., Liu, Q., &amp; Pan, Q. (2021). A Conflict Data Fusion Method in a Multi-Agent System Based on the Base Basic Probability Assignment and Evidence Distance. </w:t>
      </w:r>
      <w:r w:rsidRPr="00C12350">
        <w:rPr>
          <w:rFonts w:ascii="Arial" w:eastAsia="宋体" w:hAnsi="Arial" w:cs="Arial"/>
          <w:i/>
          <w:iCs/>
          <w:color w:val="1B1C1D"/>
          <w:kern w:val="0"/>
          <w:sz w:val="24"/>
          <w:szCs w:val="24"/>
          <w:bdr w:val="none" w:sz="0" w:space="0" w:color="auto" w:frame="1"/>
          <w14:ligatures w14:val="none"/>
        </w:rPr>
        <w:t>Entropy, 23</w:t>
      </w:r>
      <w:r w:rsidRPr="00C12350">
        <w:rPr>
          <w:rFonts w:ascii="Arial" w:eastAsia="宋体" w:hAnsi="Arial" w:cs="Arial"/>
          <w:color w:val="1B1C1D"/>
          <w:kern w:val="0"/>
          <w:sz w:val="24"/>
          <w:szCs w:val="24"/>
          <w14:ligatures w14:val="none"/>
        </w:rPr>
        <w:t>(7), 820. (IF &gt; 5)</w:t>
      </w:r>
    </w:p>
    <w:p w14:paraId="32948796" w14:textId="77777777" w:rsidR="00C12350" w:rsidRPr="00C12350" w:rsidRDefault="00C12350" w:rsidP="00C12350">
      <w:pPr>
        <w:widowControl/>
        <w:numPr>
          <w:ilvl w:val="0"/>
          <w:numId w:val="5"/>
        </w:numPr>
        <w:jc w:val="left"/>
        <w:rPr>
          <w:rFonts w:ascii="Arial" w:eastAsia="宋体" w:hAnsi="Arial" w:cs="Arial"/>
          <w:color w:val="1B1C1D"/>
          <w:kern w:val="0"/>
          <w:sz w:val="24"/>
          <w:szCs w:val="24"/>
          <w14:ligatures w14:val="none"/>
        </w:rPr>
      </w:pPr>
      <w:r w:rsidRPr="00C12350">
        <w:rPr>
          <w:rFonts w:ascii="Arial" w:eastAsia="宋体" w:hAnsi="Arial" w:cs="Arial"/>
          <w:color w:val="1B1C1D"/>
          <w:kern w:val="0"/>
          <w:sz w:val="24"/>
          <w:szCs w:val="24"/>
          <w14:ligatures w14:val="none"/>
        </w:rPr>
        <w:lastRenderedPageBreak/>
        <w:t xml:space="preserve">Zeng, D., Jin, Z., Zhang, S., Liu, C., &amp; Wang, Y. (2023). Multi-source information fusion for security assessment in intelligent transportation systems based on improved Dempster–Shafer evidence theory. </w:t>
      </w:r>
      <w:r w:rsidRPr="00C12350">
        <w:rPr>
          <w:rFonts w:ascii="Arial" w:eastAsia="宋体" w:hAnsi="Arial" w:cs="Arial"/>
          <w:i/>
          <w:iCs/>
          <w:color w:val="1B1C1D"/>
          <w:kern w:val="0"/>
          <w:sz w:val="24"/>
          <w:szCs w:val="24"/>
          <w:bdr w:val="none" w:sz="0" w:space="0" w:color="auto" w:frame="1"/>
          <w14:ligatures w14:val="none"/>
        </w:rPr>
        <w:t>Information Sciences, 646</w:t>
      </w:r>
      <w:r w:rsidRPr="00C12350">
        <w:rPr>
          <w:rFonts w:ascii="Arial" w:eastAsia="宋体" w:hAnsi="Arial" w:cs="Arial"/>
          <w:color w:val="1B1C1D"/>
          <w:kern w:val="0"/>
          <w:sz w:val="24"/>
          <w:szCs w:val="24"/>
          <w14:ligatures w14:val="none"/>
        </w:rPr>
        <w:t>, 119330. (IF &gt; 8)</w:t>
      </w:r>
    </w:p>
    <w:p w14:paraId="072248B5" w14:textId="77777777" w:rsidR="00C12350" w:rsidRPr="00C12350" w:rsidRDefault="00C12350" w:rsidP="00C12350">
      <w:pPr>
        <w:widowControl/>
        <w:numPr>
          <w:ilvl w:val="0"/>
          <w:numId w:val="5"/>
        </w:numPr>
        <w:jc w:val="left"/>
        <w:rPr>
          <w:rFonts w:ascii="Arial" w:eastAsia="宋体" w:hAnsi="Arial" w:cs="Arial"/>
          <w:color w:val="1B1C1D"/>
          <w:kern w:val="0"/>
          <w:sz w:val="24"/>
          <w:szCs w:val="24"/>
          <w14:ligatures w14:val="none"/>
        </w:rPr>
      </w:pPr>
      <w:r w:rsidRPr="00C12350">
        <w:rPr>
          <w:rFonts w:ascii="Arial" w:eastAsia="宋体" w:hAnsi="Arial" w:cs="Arial"/>
          <w:color w:val="1B1C1D"/>
          <w:kern w:val="0"/>
          <w:sz w:val="24"/>
          <w:szCs w:val="24"/>
          <w14:ligatures w14:val="none"/>
        </w:rPr>
        <w:t xml:space="preserve">Tan, X., Ma, Z., Li, Y., Jiang, Y., &amp; Tang, Z. (2022). A Multi-Sensor Fusion Framework for Industrial IoT Security Using an Improved D-S Evidence Theory. </w:t>
      </w:r>
      <w:r w:rsidRPr="00C12350">
        <w:rPr>
          <w:rFonts w:ascii="Arial" w:eastAsia="宋体" w:hAnsi="Arial" w:cs="Arial"/>
          <w:i/>
          <w:iCs/>
          <w:color w:val="1B1C1D"/>
          <w:kern w:val="0"/>
          <w:sz w:val="24"/>
          <w:szCs w:val="24"/>
          <w:bdr w:val="none" w:sz="0" w:space="0" w:color="auto" w:frame="1"/>
          <w14:ligatures w14:val="none"/>
        </w:rPr>
        <w:t>IEEE Internet of Things Journal, 9</w:t>
      </w:r>
      <w:r w:rsidRPr="00C12350">
        <w:rPr>
          <w:rFonts w:ascii="Arial" w:eastAsia="宋体" w:hAnsi="Arial" w:cs="Arial"/>
          <w:color w:val="1B1C1D"/>
          <w:kern w:val="0"/>
          <w:sz w:val="24"/>
          <w:szCs w:val="24"/>
          <w14:ligatures w14:val="none"/>
        </w:rPr>
        <w:t>(12), 9993-10006. (IF &gt; 10)</w:t>
      </w:r>
    </w:p>
    <w:p w14:paraId="494BF89B" w14:textId="77777777" w:rsidR="00C12350" w:rsidRPr="00C12350" w:rsidRDefault="00C12350" w:rsidP="00C12350">
      <w:pPr>
        <w:widowControl/>
        <w:numPr>
          <w:ilvl w:val="0"/>
          <w:numId w:val="5"/>
        </w:numPr>
        <w:jc w:val="left"/>
        <w:rPr>
          <w:rFonts w:ascii="Arial" w:eastAsia="宋体" w:hAnsi="Arial" w:cs="Arial"/>
          <w:color w:val="1B1C1D"/>
          <w:kern w:val="0"/>
          <w:sz w:val="24"/>
          <w:szCs w:val="24"/>
          <w14:ligatures w14:val="none"/>
        </w:rPr>
      </w:pPr>
      <w:r w:rsidRPr="00C12350">
        <w:rPr>
          <w:rFonts w:ascii="Arial" w:eastAsia="宋体" w:hAnsi="Arial" w:cs="Arial"/>
          <w:color w:val="1B1C1D"/>
          <w:kern w:val="0"/>
          <w:sz w:val="24"/>
          <w:szCs w:val="24"/>
          <w14:ligatures w14:val="none"/>
        </w:rPr>
        <w:t xml:space="preserve">Zhang, X., Zhang, H., Liu, F., &amp; Yang, S. (2020). Multi-source data fusion based on deep learning and improved D-S evidence theory for fault diagnosis. </w:t>
      </w:r>
      <w:r w:rsidRPr="00C12350">
        <w:rPr>
          <w:rFonts w:ascii="Arial" w:eastAsia="宋体" w:hAnsi="Arial" w:cs="Arial"/>
          <w:i/>
          <w:iCs/>
          <w:color w:val="1B1C1D"/>
          <w:kern w:val="0"/>
          <w:sz w:val="24"/>
          <w:szCs w:val="24"/>
          <w:bdr w:val="none" w:sz="0" w:space="0" w:color="auto" w:frame="1"/>
          <w14:ligatures w14:val="none"/>
        </w:rPr>
        <w:t>Knowledge-Based Systems, 197</w:t>
      </w:r>
      <w:r w:rsidRPr="00C12350">
        <w:rPr>
          <w:rFonts w:ascii="Arial" w:eastAsia="宋体" w:hAnsi="Arial" w:cs="Arial"/>
          <w:color w:val="1B1C1D"/>
          <w:kern w:val="0"/>
          <w:sz w:val="24"/>
          <w:szCs w:val="24"/>
          <w14:ligatures w14:val="none"/>
        </w:rPr>
        <w:t>, 105872. (IF &gt; 8)</w:t>
      </w:r>
    </w:p>
    <w:p w14:paraId="6B7F0E8B" w14:textId="77777777" w:rsidR="00614F37" w:rsidRDefault="00614F37"/>
    <w:sectPr w:rsidR="00614F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8B4"/>
    <w:multiLevelType w:val="multilevel"/>
    <w:tmpl w:val="571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28A0"/>
    <w:multiLevelType w:val="multilevel"/>
    <w:tmpl w:val="A6A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4709B"/>
    <w:multiLevelType w:val="multilevel"/>
    <w:tmpl w:val="57FA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D1609"/>
    <w:multiLevelType w:val="multilevel"/>
    <w:tmpl w:val="2910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B95B5B"/>
    <w:multiLevelType w:val="multilevel"/>
    <w:tmpl w:val="DF3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065545">
    <w:abstractNumId w:val="1"/>
  </w:num>
  <w:num w:numId="2" w16cid:durableId="299962425">
    <w:abstractNumId w:val="0"/>
  </w:num>
  <w:num w:numId="3" w16cid:durableId="2108885039">
    <w:abstractNumId w:val="4"/>
  </w:num>
  <w:num w:numId="4" w16cid:durableId="1650015938">
    <w:abstractNumId w:val="2"/>
  </w:num>
  <w:num w:numId="5" w16cid:durableId="566573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2E"/>
    <w:rsid w:val="00033271"/>
    <w:rsid w:val="000920A3"/>
    <w:rsid w:val="00316BA3"/>
    <w:rsid w:val="00486F87"/>
    <w:rsid w:val="004B4208"/>
    <w:rsid w:val="00552874"/>
    <w:rsid w:val="00566552"/>
    <w:rsid w:val="005D1E2E"/>
    <w:rsid w:val="00614F37"/>
    <w:rsid w:val="006C3A75"/>
    <w:rsid w:val="00895BB9"/>
    <w:rsid w:val="008B61D1"/>
    <w:rsid w:val="00A10387"/>
    <w:rsid w:val="00B1445B"/>
    <w:rsid w:val="00B5123F"/>
    <w:rsid w:val="00C12350"/>
    <w:rsid w:val="00DC190C"/>
    <w:rsid w:val="00E460A2"/>
    <w:rsid w:val="00E97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EE87"/>
  <w15:chartTrackingRefBased/>
  <w15:docId w15:val="{64CAB57C-A549-49AD-A622-017F8DE4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D1E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1E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1E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1E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1E2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D1E2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1E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1E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D1E2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1E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1E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1E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1E2E"/>
    <w:rPr>
      <w:rFonts w:cstheme="majorBidi"/>
      <w:color w:val="0F4761" w:themeColor="accent1" w:themeShade="BF"/>
      <w:sz w:val="28"/>
      <w:szCs w:val="28"/>
    </w:rPr>
  </w:style>
  <w:style w:type="character" w:customStyle="1" w:styleId="50">
    <w:name w:val="标题 5 字符"/>
    <w:basedOn w:val="a0"/>
    <w:link w:val="5"/>
    <w:uiPriority w:val="9"/>
    <w:semiHidden/>
    <w:rsid w:val="005D1E2E"/>
    <w:rPr>
      <w:rFonts w:cstheme="majorBidi"/>
      <w:color w:val="0F4761" w:themeColor="accent1" w:themeShade="BF"/>
      <w:sz w:val="24"/>
      <w:szCs w:val="24"/>
    </w:rPr>
  </w:style>
  <w:style w:type="character" w:customStyle="1" w:styleId="60">
    <w:name w:val="标题 6 字符"/>
    <w:basedOn w:val="a0"/>
    <w:link w:val="6"/>
    <w:uiPriority w:val="9"/>
    <w:semiHidden/>
    <w:rsid w:val="005D1E2E"/>
    <w:rPr>
      <w:rFonts w:cstheme="majorBidi"/>
      <w:b/>
      <w:bCs/>
      <w:color w:val="0F4761" w:themeColor="accent1" w:themeShade="BF"/>
    </w:rPr>
  </w:style>
  <w:style w:type="character" w:customStyle="1" w:styleId="70">
    <w:name w:val="标题 7 字符"/>
    <w:basedOn w:val="a0"/>
    <w:link w:val="7"/>
    <w:uiPriority w:val="9"/>
    <w:semiHidden/>
    <w:rsid w:val="005D1E2E"/>
    <w:rPr>
      <w:rFonts w:cstheme="majorBidi"/>
      <w:b/>
      <w:bCs/>
      <w:color w:val="595959" w:themeColor="text1" w:themeTint="A6"/>
    </w:rPr>
  </w:style>
  <w:style w:type="character" w:customStyle="1" w:styleId="80">
    <w:name w:val="标题 8 字符"/>
    <w:basedOn w:val="a0"/>
    <w:link w:val="8"/>
    <w:uiPriority w:val="9"/>
    <w:semiHidden/>
    <w:rsid w:val="005D1E2E"/>
    <w:rPr>
      <w:rFonts w:cstheme="majorBidi"/>
      <w:color w:val="595959" w:themeColor="text1" w:themeTint="A6"/>
    </w:rPr>
  </w:style>
  <w:style w:type="character" w:customStyle="1" w:styleId="90">
    <w:name w:val="标题 9 字符"/>
    <w:basedOn w:val="a0"/>
    <w:link w:val="9"/>
    <w:uiPriority w:val="9"/>
    <w:semiHidden/>
    <w:rsid w:val="005D1E2E"/>
    <w:rPr>
      <w:rFonts w:eastAsiaTheme="majorEastAsia" w:cstheme="majorBidi"/>
      <w:color w:val="595959" w:themeColor="text1" w:themeTint="A6"/>
    </w:rPr>
  </w:style>
  <w:style w:type="paragraph" w:styleId="a3">
    <w:name w:val="Title"/>
    <w:basedOn w:val="a"/>
    <w:next w:val="a"/>
    <w:link w:val="a4"/>
    <w:uiPriority w:val="10"/>
    <w:qFormat/>
    <w:rsid w:val="005D1E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1E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1E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1E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1E2E"/>
    <w:pPr>
      <w:spacing w:before="160" w:after="160"/>
      <w:jc w:val="center"/>
    </w:pPr>
    <w:rPr>
      <w:i/>
      <w:iCs/>
      <w:color w:val="404040" w:themeColor="text1" w:themeTint="BF"/>
    </w:rPr>
  </w:style>
  <w:style w:type="character" w:customStyle="1" w:styleId="a8">
    <w:name w:val="引用 字符"/>
    <w:basedOn w:val="a0"/>
    <w:link w:val="a7"/>
    <w:uiPriority w:val="29"/>
    <w:rsid w:val="005D1E2E"/>
    <w:rPr>
      <w:i/>
      <w:iCs/>
      <w:color w:val="404040" w:themeColor="text1" w:themeTint="BF"/>
    </w:rPr>
  </w:style>
  <w:style w:type="paragraph" w:styleId="a9">
    <w:name w:val="List Paragraph"/>
    <w:basedOn w:val="a"/>
    <w:uiPriority w:val="34"/>
    <w:qFormat/>
    <w:rsid w:val="005D1E2E"/>
    <w:pPr>
      <w:ind w:left="720"/>
      <w:contextualSpacing/>
    </w:pPr>
  </w:style>
  <w:style w:type="character" w:styleId="aa">
    <w:name w:val="Intense Emphasis"/>
    <w:basedOn w:val="a0"/>
    <w:uiPriority w:val="21"/>
    <w:qFormat/>
    <w:rsid w:val="005D1E2E"/>
    <w:rPr>
      <w:i/>
      <w:iCs/>
      <w:color w:val="0F4761" w:themeColor="accent1" w:themeShade="BF"/>
    </w:rPr>
  </w:style>
  <w:style w:type="paragraph" w:styleId="ab">
    <w:name w:val="Intense Quote"/>
    <w:basedOn w:val="a"/>
    <w:next w:val="a"/>
    <w:link w:val="ac"/>
    <w:uiPriority w:val="30"/>
    <w:qFormat/>
    <w:rsid w:val="005D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1E2E"/>
    <w:rPr>
      <w:i/>
      <w:iCs/>
      <w:color w:val="0F4761" w:themeColor="accent1" w:themeShade="BF"/>
    </w:rPr>
  </w:style>
  <w:style w:type="character" w:styleId="ad">
    <w:name w:val="Intense Reference"/>
    <w:basedOn w:val="a0"/>
    <w:uiPriority w:val="32"/>
    <w:qFormat/>
    <w:rsid w:val="005D1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 y</dc:creator>
  <cp:keywords/>
  <dc:description/>
  <cp:lastModifiedBy>hh y</cp:lastModifiedBy>
  <cp:revision>3</cp:revision>
  <dcterms:created xsi:type="dcterms:W3CDTF">2025-09-21T08:13:00Z</dcterms:created>
  <dcterms:modified xsi:type="dcterms:W3CDTF">2025-09-21T08:13:00Z</dcterms:modified>
</cp:coreProperties>
</file>