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8BC3E" w14:textId="203B6219" w:rsidR="007D6AEC" w:rsidRDefault="00DE1E1D" w:rsidP="00044BF4">
      <w:pPr>
        <w:rPr>
          <w:rFonts w:cs="Calibri"/>
          <w:b/>
          <w:sz w:val="24"/>
          <w:szCs w:val="24"/>
        </w:rPr>
      </w:pPr>
      <w:r w:rsidRPr="00353C24">
        <w:rPr>
          <w:rFonts w:cs="Calibri"/>
          <w:b/>
          <w:sz w:val="24"/>
          <w:szCs w:val="24"/>
        </w:rPr>
        <w:t>MODELLING COST-EFFECTIVENESS OF MALARIA DIAGNOSTIC METHODS IN SUB-SAHARAN AFRICA</w:t>
      </w:r>
    </w:p>
    <w:p w14:paraId="212F22D0" w14:textId="77777777" w:rsidR="001D5C71" w:rsidRPr="00353C24" w:rsidRDefault="001D5C71" w:rsidP="00044BF4">
      <w:pPr>
        <w:rPr>
          <w:rFonts w:cs="Calibri"/>
          <w:b/>
          <w:sz w:val="24"/>
          <w:szCs w:val="24"/>
        </w:rPr>
      </w:pPr>
    </w:p>
    <w:p w14:paraId="727A3EFB" w14:textId="77777777" w:rsidR="00DE1E1D" w:rsidRPr="00353C24" w:rsidRDefault="00DE1E1D" w:rsidP="00205F3A">
      <w:pPr>
        <w:jc w:val="both"/>
        <w:rPr>
          <w:b/>
          <w:sz w:val="24"/>
        </w:rPr>
      </w:pPr>
      <w:r w:rsidRPr="00353C24">
        <w:rPr>
          <w:b/>
          <w:sz w:val="24"/>
        </w:rPr>
        <w:t>AIMS AND OBJECTIVES</w:t>
      </w:r>
    </w:p>
    <w:p w14:paraId="56CF26AF" w14:textId="42B6F7D7" w:rsidR="00DE1E1D" w:rsidRPr="001D5C71" w:rsidRDefault="00DE1E1D" w:rsidP="00F2465C">
      <w:pPr>
        <w:autoSpaceDE w:val="0"/>
        <w:autoSpaceDN w:val="0"/>
        <w:adjustRightInd w:val="0"/>
        <w:spacing w:after="0" w:line="360" w:lineRule="auto"/>
        <w:jc w:val="both"/>
        <w:rPr>
          <w:b/>
          <w:sz w:val="24"/>
        </w:rPr>
      </w:pPr>
      <w:r w:rsidRPr="00353C24">
        <w:rPr>
          <w:sz w:val="24"/>
        </w:rPr>
        <w:t xml:space="preserve">The aim of this </w:t>
      </w:r>
      <w:r w:rsidR="001D5C71">
        <w:rPr>
          <w:sz w:val="24"/>
        </w:rPr>
        <w:t xml:space="preserve">project was to carry out the </w:t>
      </w:r>
      <w:r w:rsidRPr="00353C24">
        <w:rPr>
          <w:sz w:val="24"/>
        </w:rPr>
        <w:t xml:space="preserve">economic evaluation methods to a </w:t>
      </w:r>
      <w:proofErr w:type="gramStart"/>
      <w:r w:rsidRPr="00353C24">
        <w:rPr>
          <w:sz w:val="24"/>
        </w:rPr>
        <w:t>real</w:t>
      </w:r>
      <w:r w:rsidR="001D5C71">
        <w:rPr>
          <w:sz w:val="24"/>
        </w:rPr>
        <w:t xml:space="preserve"> </w:t>
      </w:r>
      <w:r w:rsidRPr="00353C24">
        <w:rPr>
          <w:sz w:val="24"/>
        </w:rPr>
        <w:t>world</w:t>
      </w:r>
      <w:proofErr w:type="gramEnd"/>
      <w:r w:rsidRPr="00353C24">
        <w:rPr>
          <w:sz w:val="24"/>
        </w:rPr>
        <w:t xml:space="preserve"> example. The objective </w:t>
      </w:r>
      <w:r w:rsidR="001D5C71">
        <w:rPr>
          <w:sz w:val="24"/>
        </w:rPr>
        <w:t>was</w:t>
      </w:r>
      <w:r w:rsidRPr="00353C24">
        <w:rPr>
          <w:sz w:val="24"/>
        </w:rPr>
        <w:t xml:space="preserve"> to build a decision analytic model for two different methods of the diagnos</w:t>
      </w:r>
      <w:r w:rsidR="00DA29BE" w:rsidRPr="00353C24">
        <w:rPr>
          <w:sz w:val="24"/>
        </w:rPr>
        <w:t>is of</w:t>
      </w:r>
      <w:r w:rsidRPr="00353C24">
        <w:rPr>
          <w:sz w:val="24"/>
        </w:rPr>
        <w:t xml:space="preserve"> malaria in Sub-Saharan Africa. The context of this study is based on information from WHO publications and online materials</w:t>
      </w:r>
      <w:r w:rsidRPr="00353C24">
        <w:rPr>
          <w:rStyle w:val="FootnoteReference"/>
          <w:sz w:val="24"/>
        </w:rPr>
        <w:footnoteReference w:id="1"/>
      </w:r>
      <w:r w:rsidRPr="00353C24">
        <w:rPr>
          <w:sz w:val="24"/>
        </w:rPr>
        <w:t xml:space="preserve">. </w:t>
      </w:r>
    </w:p>
    <w:p w14:paraId="29DB7759" w14:textId="77777777" w:rsidR="00F2465C" w:rsidRPr="00353C24" w:rsidRDefault="00F2465C" w:rsidP="00F2465C">
      <w:pPr>
        <w:autoSpaceDE w:val="0"/>
        <w:autoSpaceDN w:val="0"/>
        <w:adjustRightInd w:val="0"/>
        <w:spacing w:after="0"/>
        <w:jc w:val="both"/>
        <w:rPr>
          <w:sz w:val="24"/>
        </w:rPr>
      </w:pPr>
    </w:p>
    <w:p w14:paraId="119DC538" w14:textId="77777777" w:rsidR="00DE1E1D" w:rsidRPr="00353C24" w:rsidRDefault="00DE1E1D" w:rsidP="00205F3A">
      <w:pPr>
        <w:jc w:val="both"/>
        <w:rPr>
          <w:b/>
          <w:sz w:val="24"/>
        </w:rPr>
      </w:pPr>
      <w:r w:rsidRPr="00353C24">
        <w:rPr>
          <w:b/>
          <w:sz w:val="24"/>
        </w:rPr>
        <w:t>CONTEXT OF THE STUDY</w:t>
      </w:r>
      <w:r w:rsidRPr="00353C24">
        <w:rPr>
          <w:rStyle w:val="FootnoteReference"/>
          <w:b/>
          <w:sz w:val="24"/>
        </w:rPr>
        <w:footnoteReference w:id="2"/>
      </w:r>
      <w:r w:rsidRPr="00353C24">
        <w:rPr>
          <w:b/>
          <w:sz w:val="24"/>
        </w:rPr>
        <w:t>:</w:t>
      </w:r>
    </w:p>
    <w:p w14:paraId="6CA3AAD7" w14:textId="77777777" w:rsidR="00DE1E1D" w:rsidRPr="00353C24" w:rsidRDefault="00DE1E1D" w:rsidP="00453A81">
      <w:pPr>
        <w:spacing w:line="360" w:lineRule="auto"/>
        <w:jc w:val="both"/>
        <w:rPr>
          <w:sz w:val="24"/>
        </w:rPr>
      </w:pPr>
      <w:r w:rsidRPr="00353C24">
        <w:rPr>
          <w:sz w:val="24"/>
        </w:rPr>
        <w:t xml:space="preserve">The introduction of high-cost antimalarial drugs such as artemisinin-based combination therapy (ACT) is encouraging malaria-endemic countries in sub-Saharan Africa to reassess diagnostic practices. Traditional practice for outpatients has been to treat presumptively for malaria based on a history of fever, but a significant proportion of those treated may not have parasites (over 50% in many settings) and hence waste a considerable amount of drugs. Widespread prescription of </w:t>
      </w:r>
      <w:r w:rsidRPr="00353C24">
        <w:rPr>
          <w:i/>
          <w:sz w:val="24"/>
        </w:rPr>
        <w:t>chloroquine</w:t>
      </w:r>
      <w:r w:rsidRPr="00353C24">
        <w:rPr>
          <w:sz w:val="24"/>
        </w:rPr>
        <w:t xml:space="preserve"> to patients not having malaria has been tolerated, partly because </w:t>
      </w:r>
      <w:r w:rsidRPr="00353C24">
        <w:rPr>
          <w:i/>
          <w:sz w:val="24"/>
        </w:rPr>
        <w:t>chloroquine</w:t>
      </w:r>
      <w:r w:rsidRPr="00353C24">
        <w:rPr>
          <w:sz w:val="24"/>
        </w:rPr>
        <w:t xml:space="preserve"> is relatively cheap. However, ACT costs at least 10 times more per treatment. Additionally, over-diagnosis of malaria implies under-diagnosis and inappropriate treatment of </w:t>
      </w:r>
      <w:r w:rsidRPr="00353C24">
        <w:rPr>
          <w:i/>
          <w:sz w:val="24"/>
        </w:rPr>
        <w:t>non-malarial febrile illness</w:t>
      </w:r>
      <w:r w:rsidR="004203BF" w:rsidRPr="00353C24">
        <w:rPr>
          <w:i/>
          <w:sz w:val="24"/>
        </w:rPr>
        <w:t xml:space="preserve"> (NMFI)</w:t>
      </w:r>
      <w:r w:rsidRPr="00353C24">
        <w:rPr>
          <w:sz w:val="24"/>
        </w:rPr>
        <w:t xml:space="preserve">: while a high proportion of such illnesses are self-limiting </w:t>
      </w:r>
      <w:r w:rsidRPr="00353C24">
        <w:rPr>
          <w:i/>
          <w:sz w:val="24"/>
        </w:rPr>
        <w:t>viral diseases</w:t>
      </w:r>
      <w:r w:rsidRPr="00353C24">
        <w:rPr>
          <w:sz w:val="24"/>
        </w:rPr>
        <w:t xml:space="preserve">, a significant minority, such as acute respiratory infections or bacterial meningitis, are </w:t>
      </w:r>
      <w:r w:rsidRPr="00353C24">
        <w:rPr>
          <w:i/>
          <w:sz w:val="24"/>
        </w:rPr>
        <w:t>bacterial diseases</w:t>
      </w:r>
      <w:r w:rsidRPr="00353C24">
        <w:rPr>
          <w:sz w:val="24"/>
        </w:rPr>
        <w:t xml:space="preserve"> and potentially fatal.</w:t>
      </w:r>
    </w:p>
    <w:p w14:paraId="0CD4088B" w14:textId="0DB3CEB5" w:rsidR="001D5C71" w:rsidRDefault="00DE1E1D" w:rsidP="00453A81">
      <w:pPr>
        <w:spacing w:line="360" w:lineRule="auto"/>
        <w:jc w:val="both"/>
        <w:rPr>
          <w:sz w:val="24"/>
        </w:rPr>
      </w:pPr>
      <w:r w:rsidRPr="00353C24">
        <w:rPr>
          <w:sz w:val="24"/>
        </w:rPr>
        <w:t xml:space="preserve">WHO currently makes the tentative recommendation that parasite-based diagnosis should be used in all cases of suspected malaria with the possible exception of children in high-prevalence areas. Parasite-based diagnosis can be done in two main ways; microscopy and rapid diagnostic tests (RDTs). As microscopy is generally limited to larger clinics, rapid diagnostic tests (RDTs) for malaria could be considered for most patients in endemic regions. </w:t>
      </w:r>
      <w:r w:rsidRPr="00353C24">
        <w:rPr>
          <w:sz w:val="24"/>
        </w:rPr>
        <w:lastRenderedPageBreak/>
        <w:t>However, there is very little evidence to guide decision-makers on the relative cost-effectiveness of presumptive treatment</w:t>
      </w:r>
      <w:r w:rsidR="001D5C71">
        <w:rPr>
          <w:sz w:val="24"/>
        </w:rPr>
        <w:t xml:space="preserve"> (PT)</w:t>
      </w:r>
      <w:r w:rsidRPr="00353C24">
        <w:rPr>
          <w:sz w:val="24"/>
        </w:rPr>
        <w:t xml:space="preserve"> versus RDTs.</w:t>
      </w:r>
      <w:r w:rsidR="001D5C71">
        <w:rPr>
          <w:sz w:val="24"/>
        </w:rPr>
        <w:t xml:space="preserve"> </w:t>
      </w:r>
    </w:p>
    <w:p w14:paraId="2CE9E1B3" w14:textId="782DB222" w:rsidR="001D5C71" w:rsidRPr="001D5C71" w:rsidRDefault="00DE1E1D" w:rsidP="00453A81">
      <w:pPr>
        <w:spacing w:line="360" w:lineRule="auto"/>
        <w:jc w:val="both"/>
        <w:rPr>
          <w:sz w:val="24"/>
        </w:rPr>
      </w:pPr>
      <w:r w:rsidRPr="001D5C71">
        <w:rPr>
          <w:b/>
          <w:sz w:val="24"/>
        </w:rPr>
        <w:t>The objective</w:t>
      </w:r>
      <w:r w:rsidRPr="001D5C71">
        <w:rPr>
          <w:sz w:val="24"/>
        </w:rPr>
        <w:t xml:space="preserve"> of this </w:t>
      </w:r>
      <w:r w:rsidR="001D5C71" w:rsidRPr="001D5C71">
        <w:rPr>
          <w:sz w:val="24"/>
        </w:rPr>
        <w:t>project was to</w:t>
      </w:r>
      <w:r w:rsidRPr="001D5C71">
        <w:rPr>
          <w:sz w:val="24"/>
        </w:rPr>
        <w:t xml:space="preserve"> </w:t>
      </w:r>
      <w:r w:rsidRPr="001D5C71">
        <w:rPr>
          <w:i/>
          <w:sz w:val="24"/>
        </w:rPr>
        <w:t xml:space="preserve">use a </w:t>
      </w:r>
      <w:r w:rsidRPr="001D5C71">
        <w:rPr>
          <w:b/>
          <w:i/>
          <w:sz w:val="24"/>
        </w:rPr>
        <w:t>decision tree model</w:t>
      </w:r>
      <w:r w:rsidRPr="001D5C71">
        <w:rPr>
          <w:i/>
          <w:sz w:val="24"/>
        </w:rPr>
        <w:t xml:space="preserve"> to estimate the </w:t>
      </w:r>
      <w:r w:rsidRPr="001D5C71">
        <w:rPr>
          <w:b/>
          <w:i/>
          <w:sz w:val="24"/>
        </w:rPr>
        <w:t>relative cost-effectiveness</w:t>
      </w:r>
      <w:r w:rsidRPr="001D5C71">
        <w:rPr>
          <w:i/>
          <w:sz w:val="24"/>
        </w:rPr>
        <w:t xml:space="preserve"> of RDTs versus presumptive treatment</w:t>
      </w:r>
      <w:r w:rsidR="001D5C71" w:rsidRPr="001D5C71">
        <w:rPr>
          <w:i/>
          <w:sz w:val="24"/>
        </w:rPr>
        <w:t xml:space="preserve"> (PT)</w:t>
      </w:r>
      <w:r w:rsidRPr="001D5C71">
        <w:rPr>
          <w:sz w:val="24"/>
        </w:rPr>
        <w:t xml:space="preserve"> in Kenya</w:t>
      </w:r>
      <w:r w:rsidR="006F0192" w:rsidRPr="001D5C71">
        <w:rPr>
          <w:rStyle w:val="FootnoteReference"/>
          <w:sz w:val="24"/>
        </w:rPr>
        <w:footnoteReference w:id="3"/>
      </w:r>
      <w:r w:rsidR="001D5C71" w:rsidRPr="001D5C71">
        <w:rPr>
          <w:sz w:val="24"/>
        </w:rPr>
        <w:t xml:space="preserve"> and fill this information gap.</w:t>
      </w:r>
    </w:p>
    <w:p w14:paraId="02DAFE04" w14:textId="77777777" w:rsidR="003C5EBE" w:rsidRDefault="003C5EBE" w:rsidP="00453A81">
      <w:pPr>
        <w:spacing w:line="360" w:lineRule="auto"/>
        <w:jc w:val="both"/>
        <w:rPr>
          <w:b/>
          <w:sz w:val="24"/>
        </w:rPr>
      </w:pPr>
    </w:p>
    <w:p w14:paraId="205F4E3B" w14:textId="0C17A9D5" w:rsidR="00DE1E1D" w:rsidRPr="00353C24" w:rsidRDefault="00DE1E1D" w:rsidP="00453A81">
      <w:pPr>
        <w:spacing w:line="360" w:lineRule="auto"/>
        <w:jc w:val="both"/>
        <w:rPr>
          <w:b/>
          <w:sz w:val="24"/>
        </w:rPr>
      </w:pPr>
      <w:r w:rsidRPr="00353C24">
        <w:rPr>
          <w:b/>
          <w:sz w:val="24"/>
        </w:rPr>
        <w:t>DECISION RULE</w:t>
      </w:r>
      <w:r w:rsidR="003C2FB2" w:rsidRPr="00353C24">
        <w:rPr>
          <w:b/>
          <w:sz w:val="24"/>
        </w:rPr>
        <w:t xml:space="preserve"> (ALTERNATIVE TREATMENTS)</w:t>
      </w:r>
      <w:r w:rsidRPr="00353C24">
        <w:rPr>
          <w:b/>
          <w:sz w:val="24"/>
        </w:rPr>
        <w:t>:</w:t>
      </w:r>
    </w:p>
    <w:p w14:paraId="0348F48B" w14:textId="77777777" w:rsidR="00DE1E1D" w:rsidRPr="00353C24" w:rsidRDefault="00DE1E1D" w:rsidP="00453A81">
      <w:pPr>
        <w:spacing w:line="360" w:lineRule="auto"/>
        <w:jc w:val="both"/>
        <w:rPr>
          <w:sz w:val="24"/>
        </w:rPr>
      </w:pPr>
      <w:r w:rsidRPr="00353C24">
        <w:rPr>
          <w:sz w:val="24"/>
        </w:rPr>
        <w:t xml:space="preserve">The process starts with ambulatory patients presenting with fever to health facilities in rural </w:t>
      </w:r>
      <w:r w:rsidR="003743BD" w:rsidRPr="00353C24">
        <w:rPr>
          <w:sz w:val="24"/>
        </w:rPr>
        <w:t>Kenya and</w:t>
      </w:r>
      <w:r w:rsidRPr="00353C24">
        <w:rPr>
          <w:sz w:val="24"/>
        </w:rPr>
        <w:t xml:space="preserve"> then proceeds through diagnosis and treatment to disease outcomes</w:t>
      </w:r>
      <w:r w:rsidR="003743BD" w:rsidRPr="00353C24">
        <w:rPr>
          <w:sz w:val="24"/>
        </w:rPr>
        <w:t xml:space="preserve"> accordingly to the diagnostic</w:t>
      </w:r>
      <w:r w:rsidRPr="00353C24">
        <w:rPr>
          <w:sz w:val="24"/>
        </w:rPr>
        <w:t>.</w:t>
      </w:r>
      <w:r w:rsidR="004203BF" w:rsidRPr="00353C24">
        <w:rPr>
          <w:sz w:val="24"/>
        </w:rPr>
        <w:t xml:space="preserve"> Once the test is done the patient will either </w:t>
      </w:r>
      <w:r w:rsidR="00EF182A" w:rsidRPr="00353C24">
        <w:rPr>
          <w:sz w:val="24"/>
        </w:rPr>
        <w:t>receives</w:t>
      </w:r>
      <w:r w:rsidR="004203BF" w:rsidRPr="00353C24">
        <w:rPr>
          <w:sz w:val="24"/>
        </w:rPr>
        <w:t xml:space="preserve"> ACT if the test is positive or antibiotics if the test is negative. However, given the possibility of the tests provide misleading results (false negative of false positive – </w:t>
      </w:r>
      <w:r w:rsidR="004203BF" w:rsidRPr="00353C24">
        <w:rPr>
          <w:i/>
          <w:sz w:val="24"/>
        </w:rPr>
        <w:t>see section with probabilities</w:t>
      </w:r>
      <w:r w:rsidR="004203BF" w:rsidRPr="00353C24">
        <w:rPr>
          <w:sz w:val="24"/>
        </w:rPr>
        <w:t xml:space="preserve">) patients may receive a treatment that is not advised (ACT for NFMI, e.g.).  </w:t>
      </w:r>
    </w:p>
    <w:p w14:paraId="20DA3A6F" w14:textId="60AF6119" w:rsidR="004203BF" w:rsidRPr="00353C24" w:rsidRDefault="004203BF" w:rsidP="00453A81">
      <w:pPr>
        <w:spacing w:line="360" w:lineRule="auto"/>
        <w:jc w:val="both"/>
        <w:rPr>
          <w:sz w:val="24"/>
        </w:rPr>
      </w:pPr>
      <w:r w:rsidRPr="00353C24">
        <w:rPr>
          <w:sz w:val="24"/>
        </w:rPr>
        <w:t xml:space="preserve">A patient </w:t>
      </w:r>
      <w:r w:rsidR="00DA29BE" w:rsidRPr="00353C24">
        <w:rPr>
          <w:sz w:val="24"/>
        </w:rPr>
        <w:t>with</w:t>
      </w:r>
      <w:r w:rsidRPr="00353C24">
        <w:rPr>
          <w:sz w:val="24"/>
        </w:rPr>
        <w:t xml:space="preserve"> </w:t>
      </w:r>
      <w:r w:rsidR="00281182" w:rsidRPr="00353C24">
        <w:rPr>
          <w:sz w:val="24"/>
        </w:rPr>
        <w:t>m</w:t>
      </w:r>
      <w:r w:rsidRPr="00353C24">
        <w:rPr>
          <w:sz w:val="24"/>
        </w:rPr>
        <w:t xml:space="preserve">alaria </w:t>
      </w:r>
      <w:r w:rsidR="00DA29BE" w:rsidRPr="00353C24">
        <w:rPr>
          <w:sz w:val="24"/>
        </w:rPr>
        <w:t xml:space="preserve">can </w:t>
      </w:r>
      <w:r w:rsidRPr="00353C24">
        <w:rPr>
          <w:sz w:val="24"/>
        </w:rPr>
        <w:t xml:space="preserve">either </w:t>
      </w:r>
      <w:r w:rsidR="00DA29BE" w:rsidRPr="00353C24">
        <w:rPr>
          <w:sz w:val="24"/>
        </w:rPr>
        <w:t>have s</w:t>
      </w:r>
      <w:r w:rsidRPr="00353C24">
        <w:rPr>
          <w:i/>
          <w:sz w:val="24"/>
        </w:rPr>
        <w:t xml:space="preserve">evere </w:t>
      </w:r>
      <w:r w:rsidRPr="00353C24">
        <w:rPr>
          <w:sz w:val="24"/>
        </w:rPr>
        <w:t xml:space="preserve">or </w:t>
      </w:r>
      <w:r w:rsidR="004270C0" w:rsidRPr="00353C24">
        <w:rPr>
          <w:i/>
          <w:sz w:val="24"/>
        </w:rPr>
        <w:t>u</w:t>
      </w:r>
      <w:r w:rsidRPr="00353C24">
        <w:rPr>
          <w:i/>
          <w:sz w:val="24"/>
        </w:rPr>
        <w:t>ncomplicated</w:t>
      </w:r>
      <w:r w:rsidRPr="00353C24">
        <w:rPr>
          <w:sz w:val="24"/>
        </w:rPr>
        <w:t xml:space="preserve"> </w:t>
      </w:r>
      <w:r w:rsidR="00DA29BE" w:rsidRPr="00353C24">
        <w:rPr>
          <w:sz w:val="24"/>
        </w:rPr>
        <w:t xml:space="preserve">malaria, </w:t>
      </w:r>
      <w:r w:rsidRPr="00353C24">
        <w:rPr>
          <w:sz w:val="24"/>
        </w:rPr>
        <w:t xml:space="preserve">and a patient with NMFI can have either a Viral Infection (VI) or a Bacterial Infection (BI) – </w:t>
      </w:r>
      <w:r w:rsidR="00281182" w:rsidRPr="00353C24">
        <w:rPr>
          <w:sz w:val="24"/>
        </w:rPr>
        <w:t>in the la</w:t>
      </w:r>
      <w:r w:rsidR="00610E63" w:rsidRPr="00353C24">
        <w:rPr>
          <w:sz w:val="24"/>
        </w:rPr>
        <w:t>tter</w:t>
      </w:r>
      <w:r w:rsidR="00281182" w:rsidRPr="00353C24">
        <w:rPr>
          <w:sz w:val="24"/>
        </w:rPr>
        <w:t xml:space="preserve"> case the condition can be </w:t>
      </w:r>
      <w:r w:rsidR="00FE7DF3" w:rsidRPr="00353C24">
        <w:rPr>
          <w:i/>
          <w:sz w:val="24"/>
        </w:rPr>
        <w:t xml:space="preserve">severe </w:t>
      </w:r>
      <w:r w:rsidR="00FE7DF3" w:rsidRPr="00353C24">
        <w:rPr>
          <w:sz w:val="24"/>
        </w:rPr>
        <w:t>or</w:t>
      </w:r>
      <w:r w:rsidR="00FE7DF3" w:rsidRPr="00353C24">
        <w:rPr>
          <w:i/>
          <w:sz w:val="24"/>
        </w:rPr>
        <w:t xml:space="preserve"> uncomplicated</w:t>
      </w:r>
      <w:r w:rsidR="00FE7DF3" w:rsidRPr="00353C24">
        <w:rPr>
          <w:sz w:val="24"/>
        </w:rPr>
        <w:t xml:space="preserve">. </w:t>
      </w:r>
      <w:r w:rsidR="00281182" w:rsidRPr="00353C24">
        <w:rPr>
          <w:sz w:val="24"/>
        </w:rPr>
        <w:t xml:space="preserve">The </w:t>
      </w:r>
      <w:r w:rsidR="00FE7DF3" w:rsidRPr="00353C24">
        <w:rPr>
          <w:sz w:val="24"/>
        </w:rPr>
        <w:t xml:space="preserve">available </w:t>
      </w:r>
      <w:r w:rsidR="00281182" w:rsidRPr="00353C24">
        <w:rPr>
          <w:sz w:val="24"/>
        </w:rPr>
        <w:t>t</w:t>
      </w:r>
      <w:r w:rsidRPr="00353C24">
        <w:rPr>
          <w:sz w:val="24"/>
        </w:rPr>
        <w:t>reatment</w:t>
      </w:r>
      <w:r w:rsidR="00FE7DF3" w:rsidRPr="00353C24">
        <w:rPr>
          <w:sz w:val="24"/>
        </w:rPr>
        <w:t>s</w:t>
      </w:r>
      <w:r w:rsidRPr="00353C24">
        <w:rPr>
          <w:sz w:val="24"/>
        </w:rPr>
        <w:t xml:space="preserve"> </w:t>
      </w:r>
      <w:r w:rsidR="00FE7DF3" w:rsidRPr="00353C24">
        <w:rPr>
          <w:sz w:val="24"/>
        </w:rPr>
        <w:t xml:space="preserve">for </w:t>
      </w:r>
      <w:r w:rsidR="00281182" w:rsidRPr="00353C24">
        <w:rPr>
          <w:sz w:val="24"/>
        </w:rPr>
        <w:t>m</w:t>
      </w:r>
      <w:r w:rsidRPr="00353C24">
        <w:rPr>
          <w:sz w:val="24"/>
        </w:rPr>
        <w:t xml:space="preserve">alaria </w:t>
      </w:r>
      <w:r w:rsidR="00FE7DF3" w:rsidRPr="00353C24">
        <w:rPr>
          <w:sz w:val="24"/>
        </w:rPr>
        <w:t xml:space="preserve">are </w:t>
      </w:r>
      <w:r w:rsidR="00281182" w:rsidRPr="00353C24">
        <w:rPr>
          <w:i/>
          <w:sz w:val="24"/>
        </w:rPr>
        <w:t>inpatient care</w:t>
      </w:r>
      <w:r w:rsidR="00281182" w:rsidRPr="00353C24">
        <w:rPr>
          <w:sz w:val="24"/>
        </w:rPr>
        <w:t xml:space="preserve"> (severe cases), </w:t>
      </w:r>
      <w:r w:rsidR="00281182" w:rsidRPr="00353C24">
        <w:rPr>
          <w:i/>
          <w:sz w:val="24"/>
        </w:rPr>
        <w:t>outpatient care</w:t>
      </w:r>
      <w:r w:rsidR="00281182" w:rsidRPr="00353C24">
        <w:rPr>
          <w:sz w:val="24"/>
        </w:rPr>
        <w:t xml:space="preserve"> (uncomplicated) or </w:t>
      </w:r>
      <w:r w:rsidR="00281182" w:rsidRPr="00353C24">
        <w:rPr>
          <w:i/>
          <w:sz w:val="24"/>
        </w:rPr>
        <w:t>no care</w:t>
      </w:r>
      <w:r w:rsidR="00281182" w:rsidRPr="00353C24">
        <w:rPr>
          <w:sz w:val="24"/>
        </w:rPr>
        <w:t xml:space="preserve"> (for both types of malaria). </w:t>
      </w:r>
      <w:r w:rsidR="00FE7DF3" w:rsidRPr="00353C24">
        <w:rPr>
          <w:sz w:val="24"/>
        </w:rPr>
        <w:t xml:space="preserve">The available treatments for BI are </w:t>
      </w:r>
      <w:r w:rsidR="00FE7DF3" w:rsidRPr="00353C24">
        <w:rPr>
          <w:i/>
          <w:sz w:val="24"/>
        </w:rPr>
        <w:t>inpatient care</w:t>
      </w:r>
      <w:r w:rsidR="00FE7DF3" w:rsidRPr="00353C24">
        <w:rPr>
          <w:sz w:val="24"/>
        </w:rPr>
        <w:t xml:space="preserve"> (severe cases), </w:t>
      </w:r>
      <w:r w:rsidR="00FE7DF3" w:rsidRPr="00353C24">
        <w:rPr>
          <w:i/>
          <w:sz w:val="24"/>
        </w:rPr>
        <w:t>outpatient care</w:t>
      </w:r>
      <w:r w:rsidR="00FE7DF3" w:rsidRPr="00353C24">
        <w:rPr>
          <w:sz w:val="24"/>
        </w:rPr>
        <w:t xml:space="preserve"> (uncomplicated) or </w:t>
      </w:r>
      <w:r w:rsidR="00FE7DF3" w:rsidRPr="00353C24">
        <w:rPr>
          <w:i/>
          <w:sz w:val="24"/>
        </w:rPr>
        <w:t>no care</w:t>
      </w:r>
      <w:r w:rsidR="00FE7DF3" w:rsidRPr="00353C24">
        <w:rPr>
          <w:sz w:val="24"/>
        </w:rPr>
        <w:t xml:space="preserve"> (for both types of BI). For all cases of malaria</w:t>
      </w:r>
      <w:r w:rsidR="00657B33" w:rsidRPr="00353C24">
        <w:rPr>
          <w:sz w:val="24"/>
        </w:rPr>
        <w:t xml:space="preserve"> and bacterial infection</w:t>
      </w:r>
      <w:r w:rsidR="00FE7DF3" w:rsidRPr="00353C24">
        <w:rPr>
          <w:sz w:val="24"/>
        </w:rPr>
        <w:t xml:space="preserve"> the possible outcomes are </w:t>
      </w:r>
      <w:r w:rsidR="00FE7DF3" w:rsidRPr="00353C24">
        <w:rPr>
          <w:i/>
          <w:sz w:val="24"/>
        </w:rPr>
        <w:t>fully recover</w:t>
      </w:r>
      <w:r w:rsidR="003713B0" w:rsidRPr="00353C24">
        <w:rPr>
          <w:i/>
          <w:sz w:val="24"/>
        </w:rPr>
        <w:t>s</w:t>
      </w:r>
      <w:r w:rsidR="00FE7DF3" w:rsidRPr="00353C24">
        <w:rPr>
          <w:i/>
          <w:sz w:val="24"/>
        </w:rPr>
        <w:t xml:space="preserve">, </w:t>
      </w:r>
      <w:r w:rsidR="003713B0" w:rsidRPr="00353C24">
        <w:rPr>
          <w:i/>
          <w:sz w:val="24"/>
        </w:rPr>
        <w:t xml:space="preserve">recovers with neurological </w:t>
      </w:r>
      <w:r w:rsidR="00F20A80" w:rsidRPr="00353C24">
        <w:rPr>
          <w:i/>
          <w:sz w:val="24"/>
        </w:rPr>
        <w:t>sequel</w:t>
      </w:r>
      <w:r w:rsidR="003713B0" w:rsidRPr="00353C24">
        <w:rPr>
          <w:sz w:val="24"/>
        </w:rPr>
        <w:t xml:space="preserve">, or </w:t>
      </w:r>
      <w:r w:rsidR="003713B0" w:rsidRPr="00353C24">
        <w:rPr>
          <w:i/>
          <w:sz w:val="24"/>
        </w:rPr>
        <w:t>death</w:t>
      </w:r>
      <w:r w:rsidR="003713B0" w:rsidRPr="00353C24">
        <w:rPr>
          <w:sz w:val="24"/>
        </w:rPr>
        <w:t>.</w:t>
      </w:r>
      <w:r w:rsidR="003713B0" w:rsidRPr="00353C24">
        <w:rPr>
          <w:i/>
          <w:sz w:val="24"/>
        </w:rPr>
        <w:t xml:space="preserve"> </w:t>
      </w:r>
      <w:r w:rsidR="003713B0" w:rsidRPr="00353C24">
        <w:rPr>
          <w:sz w:val="24"/>
        </w:rPr>
        <w:t xml:space="preserve">All cases of </w:t>
      </w:r>
      <w:r w:rsidR="00657B33" w:rsidRPr="00353C24">
        <w:rPr>
          <w:sz w:val="24"/>
        </w:rPr>
        <w:t>viral infection</w:t>
      </w:r>
      <w:r w:rsidR="003713B0" w:rsidRPr="00353C24">
        <w:rPr>
          <w:sz w:val="24"/>
        </w:rPr>
        <w:t xml:space="preserve"> result in fully recovers.</w:t>
      </w:r>
    </w:p>
    <w:p w14:paraId="6F00882B" w14:textId="77777777" w:rsidR="00DE1E1D" w:rsidRPr="00353C24" w:rsidRDefault="00DE1E1D" w:rsidP="003743BD">
      <w:pPr>
        <w:jc w:val="both"/>
        <w:rPr>
          <w:b/>
          <w:sz w:val="24"/>
        </w:rPr>
      </w:pPr>
      <w:r w:rsidRPr="00353C24">
        <w:rPr>
          <w:b/>
          <w:sz w:val="24"/>
        </w:rPr>
        <w:t>PROBABILITIES:</w:t>
      </w:r>
    </w:p>
    <w:p w14:paraId="0274D448" w14:textId="77777777" w:rsidR="00453A81" w:rsidRPr="00353C24" w:rsidRDefault="00EF182A" w:rsidP="00453A81">
      <w:pPr>
        <w:spacing w:line="360" w:lineRule="auto"/>
        <w:jc w:val="both"/>
        <w:rPr>
          <w:sz w:val="24"/>
        </w:rPr>
      </w:pPr>
      <w:r w:rsidRPr="00353C24">
        <w:rPr>
          <w:sz w:val="24"/>
        </w:rPr>
        <w:t xml:space="preserve">It is assumed that all patients admitted </w:t>
      </w:r>
      <w:r w:rsidR="00F20A80" w:rsidRPr="00353C24">
        <w:rPr>
          <w:sz w:val="24"/>
        </w:rPr>
        <w:t>with fever health facilit</w:t>
      </w:r>
      <w:r w:rsidRPr="00353C24">
        <w:rPr>
          <w:sz w:val="24"/>
        </w:rPr>
        <w:t>ies</w:t>
      </w:r>
      <w:r w:rsidR="00F20A80" w:rsidRPr="00353C24">
        <w:rPr>
          <w:sz w:val="24"/>
        </w:rPr>
        <w:t xml:space="preserve"> </w:t>
      </w:r>
      <w:r w:rsidRPr="00353C24">
        <w:rPr>
          <w:sz w:val="24"/>
        </w:rPr>
        <w:t>in Kenya have</w:t>
      </w:r>
      <w:r w:rsidR="00F20A80" w:rsidRPr="00353C24">
        <w:rPr>
          <w:sz w:val="24"/>
        </w:rPr>
        <w:t xml:space="preserve"> </w:t>
      </w:r>
      <w:r w:rsidRPr="00353C24">
        <w:rPr>
          <w:sz w:val="24"/>
        </w:rPr>
        <w:t xml:space="preserve">either malaria or NMFI, the probability of having malaria is </w:t>
      </w:r>
      <w:r w:rsidRPr="00353C24">
        <w:rPr>
          <w:b/>
          <w:i/>
          <w:sz w:val="24"/>
        </w:rPr>
        <w:t>0.48</w:t>
      </w:r>
      <w:r w:rsidRPr="00353C24">
        <w:rPr>
          <w:sz w:val="24"/>
        </w:rPr>
        <w:t xml:space="preserve"> (C.I. 040 – 0.56). </w:t>
      </w:r>
      <w:r w:rsidR="003C2FB2" w:rsidRPr="00353C24">
        <w:rPr>
          <w:sz w:val="24"/>
        </w:rPr>
        <w:t xml:space="preserve">The best </w:t>
      </w:r>
      <w:r w:rsidR="00A503D8" w:rsidRPr="00353C24">
        <w:rPr>
          <w:sz w:val="24"/>
        </w:rPr>
        <w:t xml:space="preserve">estimates for drug efficacy are </w:t>
      </w:r>
      <w:r w:rsidR="003C2FB2" w:rsidRPr="00353C24">
        <w:rPr>
          <w:sz w:val="24"/>
        </w:rPr>
        <w:t>set at 85% for ACT in cases of malaria and 75% for an</w:t>
      </w:r>
      <w:r w:rsidR="008605F4" w:rsidRPr="00353C24">
        <w:rPr>
          <w:sz w:val="24"/>
        </w:rPr>
        <w:t xml:space="preserve">tibiotics in bacterial disease. </w:t>
      </w:r>
      <w:r w:rsidR="008605F4" w:rsidRPr="00353C24">
        <w:rPr>
          <w:sz w:val="24"/>
        </w:rPr>
        <w:lastRenderedPageBreak/>
        <w:t>For simplicity w</w:t>
      </w:r>
      <w:r w:rsidR="003C2FB2" w:rsidRPr="00353C24">
        <w:rPr>
          <w:sz w:val="24"/>
        </w:rPr>
        <w:t xml:space="preserve">e </w:t>
      </w:r>
      <w:r w:rsidR="008605F4" w:rsidRPr="00353C24">
        <w:rPr>
          <w:sz w:val="24"/>
        </w:rPr>
        <w:t xml:space="preserve">may assume that </w:t>
      </w:r>
      <w:r w:rsidR="003C2FB2" w:rsidRPr="00353C24">
        <w:rPr>
          <w:sz w:val="24"/>
        </w:rPr>
        <w:t xml:space="preserve">antibiotics </w:t>
      </w:r>
      <w:r w:rsidR="008605F4" w:rsidRPr="00353C24">
        <w:rPr>
          <w:sz w:val="24"/>
        </w:rPr>
        <w:t>and ACT have a lower efficacy when used wrongly (NMFI treated with ACT, e.g.)</w:t>
      </w:r>
      <w:r w:rsidR="003C2FB2" w:rsidRPr="00353C24">
        <w:rPr>
          <w:sz w:val="24"/>
        </w:rPr>
        <w:t xml:space="preserve">. </w:t>
      </w:r>
      <w:r w:rsidR="008605F4" w:rsidRPr="00353C24">
        <w:rPr>
          <w:sz w:val="24"/>
        </w:rPr>
        <w:t xml:space="preserve">However, </w:t>
      </w:r>
      <w:r w:rsidR="002A4379" w:rsidRPr="00353C24">
        <w:rPr>
          <w:sz w:val="24"/>
        </w:rPr>
        <w:t xml:space="preserve">all </w:t>
      </w:r>
      <w:r w:rsidR="00391FB3" w:rsidRPr="00353C24">
        <w:rPr>
          <w:sz w:val="24"/>
        </w:rPr>
        <w:t xml:space="preserve">cases </w:t>
      </w:r>
      <w:r w:rsidR="002A4379" w:rsidRPr="00353C24">
        <w:rPr>
          <w:sz w:val="24"/>
        </w:rPr>
        <w:t>treated wrongly will develop the severe condition for both malaria and bacterial infection</w:t>
      </w:r>
      <w:r w:rsidR="007D6AEC" w:rsidRPr="00353C24">
        <w:rPr>
          <w:sz w:val="24"/>
        </w:rPr>
        <w:t xml:space="preserve"> (The probabilities you need to consider are in page 5.)</w:t>
      </w:r>
      <w:r w:rsidR="002A4379" w:rsidRPr="00353C24">
        <w:rPr>
          <w:sz w:val="24"/>
        </w:rPr>
        <w:t xml:space="preserve">. </w:t>
      </w:r>
    </w:p>
    <w:p w14:paraId="188BFDB3" w14:textId="77777777" w:rsidR="001D5C71" w:rsidRDefault="001D5C71" w:rsidP="001D5C71">
      <w:pPr>
        <w:spacing w:after="0" w:line="240" w:lineRule="auto"/>
        <w:rPr>
          <w:sz w:val="24"/>
        </w:rPr>
      </w:pPr>
    </w:p>
    <w:p w14:paraId="4B799E81" w14:textId="3BCA1A3D" w:rsidR="00DA46AF" w:rsidRPr="00353C24" w:rsidRDefault="001D5C71" w:rsidP="001D5C71">
      <w:pPr>
        <w:spacing w:after="0" w:line="240" w:lineRule="auto"/>
        <w:ind w:left="720" w:firstLine="720"/>
        <w:rPr>
          <w:sz w:val="24"/>
        </w:rPr>
      </w:pPr>
      <w:r>
        <w:rPr>
          <w:sz w:val="24"/>
        </w:rPr>
        <w:t xml:space="preserve">  </w:t>
      </w:r>
      <w:r w:rsidR="004270C0" w:rsidRPr="00353C24">
        <w:rPr>
          <w:sz w:val="24"/>
        </w:rPr>
        <w:t xml:space="preserve"> </w:t>
      </w:r>
      <w:r w:rsidR="0080764F" w:rsidRPr="00353C24">
        <w:rPr>
          <w:sz w:val="24"/>
        </w:rPr>
        <w:t>Table 1: Test outcomes</w:t>
      </w:r>
    </w:p>
    <w:tbl>
      <w:tblPr>
        <w:tblW w:w="5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2"/>
        <w:gridCol w:w="1842"/>
        <w:gridCol w:w="1137"/>
      </w:tblGrid>
      <w:tr w:rsidR="00DA46AF" w:rsidRPr="00353C24" w14:paraId="6B6D0E11" w14:textId="77777777" w:rsidTr="004270C0">
        <w:trPr>
          <w:trHeight w:val="300"/>
          <w:jc w:val="center"/>
        </w:trPr>
        <w:tc>
          <w:tcPr>
            <w:tcW w:w="2802" w:type="dxa"/>
            <w:noWrap/>
          </w:tcPr>
          <w:p w14:paraId="13C2A69D" w14:textId="77777777" w:rsidR="00DA46AF" w:rsidRPr="00353C24" w:rsidRDefault="00DA46AF" w:rsidP="00F2465C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eastAsia="en-GB"/>
              </w:rPr>
            </w:pPr>
            <w:r w:rsidRPr="00353C24">
              <w:rPr>
                <w:rFonts w:cs="Calibri"/>
                <w:b/>
                <w:bCs/>
                <w:color w:val="000000"/>
                <w:lang w:eastAsia="en-GB"/>
              </w:rPr>
              <w:t>Test</w:t>
            </w:r>
          </w:p>
        </w:tc>
        <w:tc>
          <w:tcPr>
            <w:tcW w:w="2979" w:type="dxa"/>
            <w:gridSpan w:val="2"/>
            <w:noWrap/>
          </w:tcPr>
          <w:p w14:paraId="2D7E9028" w14:textId="77777777" w:rsidR="00DA46AF" w:rsidRPr="00353C24" w:rsidRDefault="00DA46AF" w:rsidP="00F2465C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lang w:eastAsia="en-GB"/>
              </w:rPr>
            </w:pPr>
            <w:r w:rsidRPr="00353C24">
              <w:rPr>
                <w:rFonts w:cs="Calibri"/>
                <w:b/>
                <w:bCs/>
                <w:color w:val="000000"/>
                <w:lang w:eastAsia="en-GB"/>
              </w:rPr>
              <w:t>Values</w:t>
            </w:r>
          </w:p>
        </w:tc>
      </w:tr>
      <w:tr w:rsidR="00DA46AF" w:rsidRPr="00353C24" w14:paraId="3ACF9CA1" w14:textId="77777777" w:rsidTr="004270C0">
        <w:trPr>
          <w:trHeight w:val="300"/>
          <w:jc w:val="center"/>
        </w:trPr>
        <w:tc>
          <w:tcPr>
            <w:tcW w:w="2802" w:type="dxa"/>
            <w:vMerge w:val="restart"/>
            <w:noWrap/>
          </w:tcPr>
          <w:p w14:paraId="51C1A394" w14:textId="77777777" w:rsidR="00DA46AF" w:rsidRPr="00353C24" w:rsidRDefault="00DA46AF" w:rsidP="00865BA0">
            <w:pPr>
              <w:spacing w:after="0" w:line="240" w:lineRule="auto"/>
              <w:jc w:val="both"/>
              <w:rPr>
                <w:rFonts w:cs="Calibri"/>
                <w:bCs/>
                <w:color w:val="000000"/>
                <w:lang w:eastAsia="en-GB"/>
              </w:rPr>
            </w:pPr>
            <w:r w:rsidRPr="00353C24">
              <w:rPr>
                <w:rFonts w:cs="Calibri"/>
                <w:bCs/>
                <w:color w:val="000000"/>
                <w:lang w:eastAsia="en-GB"/>
              </w:rPr>
              <w:t>Rapid Diagnostic Test (RDT)</w:t>
            </w:r>
          </w:p>
        </w:tc>
        <w:tc>
          <w:tcPr>
            <w:tcW w:w="1842" w:type="dxa"/>
            <w:noWrap/>
          </w:tcPr>
          <w:p w14:paraId="0CAD32EB" w14:textId="77777777" w:rsidR="00DA46AF" w:rsidRPr="00353C24" w:rsidRDefault="00DA46AF" w:rsidP="00865BA0">
            <w:pPr>
              <w:spacing w:after="0" w:line="240" w:lineRule="auto"/>
              <w:jc w:val="both"/>
              <w:rPr>
                <w:rFonts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cs="Calibri"/>
                <w:i/>
                <w:iCs/>
                <w:color w:val="000000"/>
                <w:lang w:eastAsia="en-GB"/>
              </w:rPr>
              <w:t>Sensitivity</w:t>
            </w:r>
          </w:p>
        </w:tc>
        <w:tc>
          <w:tcPr>
            <w:tcW w:w="1137" w:type="dxa"/>
            <w:noWrap/>
          </w:tcPr>
          <w:p w14:paraId="6B872627" w14:textId="77777777" w:rsidR="00DA46AF" w:rsidRPr="00353C24" w:rsidRDefault="00DA46AF" w:rsidP="00391FB3">
            <w:pPr>
              <w:spacing w:after="0" w:line="240" w:lineRule="auto"/>
              <w:jc w:val="center"/>
              <w:rPr>
                <w:rFonts w:cs="Calibri"/>
                <w:color w:val="000000"/>
                <w:lang w:eastAsia="en-GB"/>
              </w:rPr>
            </w:pPr>
            <w:r w:rsidRPr="00353C24">
              <w:rPr>
                <w:rFonts w:cs="Calibri"/>
                <w:color w:val="000000"/>
                <w:lang w:eastAsia="en-GB"/>
              </w:rPr>
              <w:t>0.96</w:t>
            </w:r>
          </w:p>
        </w:tc>
      </w:tr>
      <w:tr w:rsidR="00DA46AF" w:rsidRPr="00353C24" w14:paraId="38CA4D7E" w14:textId="77777777" w:rsidTr="004270C0">
        <w:trPr>
          <w:trHeight w:val="300"/>
          <w:jc w:val="center"/>
        </w:trPr>
        <w:tc>
          <w:tcPr>
            <w:tcW w:w="2802" w:type="dxa"/>
            <w:vMerge/>
          </w:tcPr>
          <w:p w14:paraId="49B8AD12" w14:textId="77777777" w:rsidR="00DA46AF" w:rsidRPr="00353C24" w:rsidRDefault="00DA46AF" w:rsidP="004270C0">
            <w:pPr>
              <w:spacing w:after="0" w:line="240" w:lineRule="auto"/>
              <w:jc w:val="both"/>
              <w:rPr>
                <w:rFonts w:cs="Calibri"/>
                <w:bCs/>
                <w:color w:val="000000"/>
                <w:lang w:eastAsia="en-GB"/>
              </w:rPr>
            </w:pPr>
          </w:p>
        </w:tc>
        <w:tc>
          <w:tcPr>
            <w:tcW w:w="1842" w:type="dxa"/>
            <w:noWrap/>
          </w:tcPr>
          <w:p w14:paraId="4CD46A8C" w14:textId="77777777" w:rsidR="00DA46AF" w:rsidRPr="00353C24" w:rsidRDefault="00DA46AF" w:rsidP="004270C0">
            <w:pPr>
              <w:spacing w:after="0" w:line="240" w:lineRule="auto"/>
              <w:jc w:val="both"/>
              <w:rPr>
                <w:rFonts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cs="Calibri"/>
                <w:i/>
                <w:iCs/>
                <w:color w:val="000000"/>
                <w:lang w:eastAsia="en-GB"/>
              </w:rPr>
              <w:t>Specificity</w:t>
            </w:r>
          </w:p>
        </w:tc>
        <w:tc>
          <w:tcPr>
            <w:tcW w:w="1137" w:type="dxa"/>
            <w:noWrap/>
          </w:tcPr>
          <w:p w14:paraId="0C0862FD" w14:textId="77777777" w:rsidR="00DA46AF" w:rsidRPr="00353C24" w:rsidRDefault="00DA46AF" w:rsidP="00391FB3">
            <w:pPr>
              <w:spacing w:after="0" w:line="240" w:lineRule="auto"/>
              <w:jc w:val="center"/>
              <w:rPr>
                <w:rFonts w:cs="Calibri"/>
                <w:color w:val="000000"/>
                <w:lang w:eastAsia="en-GB"/>
              </w:rPr>
            </w:pPr>
            <w:r w:rsidRPr="00353C24">
              <w:rPr>
                <w:rFonts w:cs="Calibri"/>
                <w:color w:val="000000"/>
                <w:lang w:eastAsia="en-GB"/>
              </w:rPr>
              <w:t>0.95</w:t>
            </w:r>
          </w:p>
        </w:tc>
      </w:tr>
      <w:tr w:rsidR="00DA46AF" w:rsidRPr="00353C24" w14:paraId="62EC8960" w14:textId="77777777" w:rsidTr="004270C0">
        <w:trPr>
          <w:trHeight w:val="300"/>
          <w:jc w:val="center"/>
        </w:trPr>
        <w:tc>
          <w:tcPr>
            <w:tcW w:w="2802" w:type="dxa"/>
            <w:vMerge w:val="restart"/>
            <w:noWrap/>
          </w:tcPr>
          <w:p w14:paraId="440B9C7C" w14:textId="77777777" w:rsidR="00DA46AF" w:rsidRPr="00353C24" w:rsidRDefault="00DA46AF" w:rsidP="004270C0">
            <w:pPr>
              <w:spacing w:after="0" w:line="240" w:lineRule="auto"/>
              <w:jc w:val="both"/>
              <w:rPr>
                <w:rFonts w:cs="Calibri"/>
                <w:bCs/>
                <w:color w:val="000000"/>
                <w:lang w:eastAsia="en-GB"/>
              </w:rPr>
            </w:pPr>
            <w:r w:rsidRPr="00353C24">
              <w:rPr>
                <w:rFonts w:cs="Calibri"/>
                <w:bCs/>
                <w:color w:val="000000"/>
                <w:lang w:eastAsia="en-GB"/>
              </w:rPr>
              <w:t>Presumptive Treatment (PT)</w:t>
            </w:r>
          </w:p>
        </w:tc>
        <w:tc>
          <w:tcPr>
            <w:tcW w:w="1842" w:type="dxa"/>
            <w:noWrap/>
          </w:tcPr>
          <w:p w14:paraId="0C7F265A" w14:textId="77777777" w:rsidR="00DA46AF" w:rsidRPr="00353C24" w:rsidRDefault="00DA46AF" w:rsidP="004270C0">
            <w:pPr>
              <w:spacing w:after="0" w:line="240" w:lineRule="auto"/>
              <w:jc w:val="both"/>
              <w:rPr>
                <w:rFonts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cs="Calibri"/>
                <w:i/>
                <w:iCs/>
                <w:color w:val="000000"/>
                <w:lang w:eastAsia="en-GB"/>
              </w:rPr>
              <w:t>Sensitivity</w:t>
            </w:r>
          </w:p>
        </w:tc>
        <w:tc>
          <w:tcPr>
            <w:tcW w:w="1137" w:type="dxa"/>
            <w:noWrap/>
          </w:tcPr>
          <w:p w14:paraId="04EF145B" w14:textId="77777777" w:rsidR="00DA46AF" w:rsidRPr="00353C24" w:rsidRDefault="00DA46AF" w:rsidP="00391FB3">
            <w:pPr>
              <w:spacing w:after="0" w:line="240" w:lineRule="auto"/>
              <w:jc w:val="center"/>
              <w:rPr>
                <w:rFonts w:cs="Calibri"/>
                <w:color w:val="000000"/>
                <w:lang w:eastAsia="en-GB"/>
              </w:rPr>
            </w:pPr>
            <w:r w:rsidRPr="00353C24">
              <w:rPr>
                <w:rFonts w:cs="Calibri"/>
                <w:color w:val="000000"/>
                <w:lang w:eastAsia="en-GB"/>
              </w:rPr>
              <w:t>1</w:t>
            </w:r>
          </w:p>
        </w:tc>
      </w:tr>
      <w:tr w:rsidR="00DA46AF" w:rsidRPr="00353C24" w14:paraId="156AF00C" w14:textId="77777777" w:rsidTr="004270C0">
        <w:trPr>
          <w:trHeight w:val="300"/>
          <w:jc w:val="center"/>
        </w:trPr>
        <w:tc>
          <w:tcPr>
            <w:tcW w:w="2802" w:type="dxa"/>
            <w:vMerge/>
          </w:tcPr>
          <w:p w14:paraId="275F090F" w14:textId="77777777" w:rsidR="00DA46AF" w:rsidRPr="00353C24" w:rsidRDefault="00DA46AF" w:rsidP="00DB104F">
            <w:pPr>
              <w:spacing w:after="0" w:line="240" w:lineRule="auto"/>
              <w:rPr>
                <w:rFonts w:cs="Calibri"/>
                <w:bCs/>
                <w:color w:val="000000"/>
                <w:lang w:eastAsia="en-GB"/>
              </w:rPr>
            </w:pPr>
          </w:p>
        </w:tc>
        <w:tc>
          <w:tcPr>
            <w:tcW w:w="1842" w:type="dxa"/>
            <w:noWrap/>
          </w:tcPr>
          <w:p w14:paraId="03EB4E7B" w14:textId="77777777" w:rsidR="00DA46AF" w:rsidRPr="00353C24" w:rsidRDefault="00DA46AF" w:rsidP="00DB104F">
            <w:pPr>
              <w:spacing w:after="0" w:line="240" w:lineRule="auto"/>
              <w:rPr>
                <w:rFonts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cs="Calibri"/>
                <w:i/>
                <w:iCs/>
                <w:color w:val="000000"/>
                <w:lang w:eastAsia="en-GB"/>
              </w:rPr>
              <w:t>Specificity</w:t>
            </w:r>
          </w:p>
        </w:tc>
        <w:tc>
          <w:tcPr>
            <w:tcW w:w="1137" w:type="dxa"/>
            <w:noWrap/>
          </w:tcPr>
          <w:p w14:paraId="752E89D7" w14:textId="77777777" w:rsidR="00DA46AF" w:rsidRPr="00353C24" w:rsidRDefault="00DA46AF" w:rsidP="00391FB3">
            <w:pPr>
              <w:spacing w:after="0" w:line="240" w:lineRule="auto"/>
              <w:jc w:val="center"/>
              <w:rPr>
                <w:rFonts w:cs="Calibri"/>
                <w:color w:val="000000"/>
                <w:lang w:eastAsia="en-GB"/>
              </w:rPr>
            </w:pPr>
            <w:r w:rsidRPr="00353C24">
              <w:rPr>
                <w:rFonts w:cs="Calibri"/>
                <w:color w:val="000000"/>
                <w:lang w:eastAsia="en-GB"/>
              </w:rPr>
              <w:t>0</w:t>
            </w:r>
          </w:p>
        </w:tc>
      </w:tr>
    </w:tbl>
    <w:p w14:paraId="4287C869" w14:textId="77777777" w:rsidR="00A27BCA" w:rsidRPr="00353C24" w:rsidRDefault="00A27BCA" w:rsidP="00A27BCA">
      <w:pPr>
        <w:pStyle w:val="FootnoteText"/>
        <w:rPr>
          <w:sz w:val="18"/>
        </w:rPr>
      </w:pPr>
      <w:r w:rsidRPr="00353C24">
        <w:rPr>
          <w:sz w:val="22"/>
        </w:rPr>
        <w:tab/>
      </w:r>
      <w:r w:rsidRPr="00353C24">
        <w:rPr>
          <w:sz w:val="22"/>
        </w:rPr>
        <w:tab/>
        <w:t xml:space="preserve">   SOURCE: </w:t>
      </w:r>
      <w:proofErr w:type="spellStart"/>
      <w:r w:rsidRPr="00353C24">
        <w:rPr>
          <w:sz w:val="18"/>
        </w:rPr>
        <w:t>Shillcutt</w:t>
      </w:r>
      <w:proofErr w:type="spellEnd"/>
      <w:r w:rsidRPr="00353C24">
        <w:rPr>
          <w:sz w:val="18"/>
        </w:rPr>
        <w:t>, S. et al. (2008).</w:t>
      </w:r>
    </w:p>
    <w:p w14:paraId="6E204BFE" w14:textId="77777777" w:rsidR="00EF182A" w:rsidRPr="00353C24" w:rsidRDefault="00EF182A" w:rsidP="005617AC">
      <w:pPr>
        <w:jc w:val="both"/>
        <w:rPr>
          <w:sz w:val="24"/>
        </w:rPr>
      </w:pPr>
    </w:p>
    <w:p w14:paraId="68104608" w14:textId="77777777" w:rsidR="003713B0" w:rsidRPr="00353C24" w:rsidRDefault="00FF1878" w:rsidP="005617AC">
      <w:pPr>
        <w:jc w:val="both"/>
        <w:rPr>
          <w:sz w:val="24"/>
        </w:rPr>
      </w:pPr>
      <w:r w:rsidRPr="00353C24">
        <w:rPr>
          <w:sz w:val="24"/>
        </w:rPr>
        <w:t xml:space="preserve">Other parameters are: </w:t>
      </w:r>
    </w:p>
    <w:p w14:paraId="535B9D5C" w14:textId="77777777" w:rsidR="00FF1878" w:rsidRPr="00353C24" w:rsidRDefault="00FF1878" w:rsidP="00FE1BF4">
      <w:pPr>
        <w:numPr>
          <w:ilvl w:val="0"/>
          <w:numId w:val="17"/>
        </w:numPr>
        <w:jc w:val="both"/>
        <w:rPr>
          <w:sz w:val="24"/>
        </w:rPr>
      </w:pPr>
      <w:r w:rsidRPr="00353C24">
        <w:rPr>
          <w:sz w:val="24"/>
        </w:rPr>
        <w:t xml:space="preserve">The probability that a </w:t>
      </w:r>
      <w:r w:rsidRPr="00353C24">
        <w:rPr>
          <w:i/>
          <w:sz w:val="24"/>
        </w:rPr>
        <w:t>non-malarial Febrile</w:t>
      </w:r>
      <w:r w:rsidRPr="00353C24">
        <w:rPr>
          <w:sz w:val="24"/>
        </w:rPr>
        <w:t xml:space="preserve"> case is due to a bacterial infection is 30%;</w:t>
      </w:r>
    </w:p>
    <w:p w14:paraId="7CB0C74E" w14:textId="77777777" w:rsidR="00FF1878" w:rsidRPr="00353C24" w:rsidRDefault="00FF1878" w:rsidP="00FE1BF4">
      <w:pPr>
        <w:numPr>
          <w:ilvl w:val="0"/>
          <w:numId w:val="17"/>
        </w:numPr>
        <w:jc w:val="both"/>
        <w:rPr>
          <w:sz w:val="24"/>
        </w:rPr>
      </w:pPr>
      <w:r w:rsidRPr="00353C24">
        <w:rPr>
          <w:sz w:val="24"/>
        </w:rPr>
        <w:t>The probability that a bacterial infection become severe is</w:t>
      </w:r>
      <w:r w:rsidR="005B10BD" w:rsidRPr="00353C24">
        <w:rPr>
          <w:sz w:val="24"/>
        </w:rPr>
        <w:t>:</w:t>
      </w:r>
      <w:r w:rsidRPr="00353C24">
        <w:rPr>
          <w:sz w:val="24"/>
        </w:rPr>
        <w:t xml:space="preserve"> </w:t>
      </w:r>
    </w:p>
    <w:p w14:paraId="24DB0954" w14:textId="77777777" w:rsidR="00FF1878" w:rsidRPr="00353C24" w:rsidRDefault="005B10BD" w:rsidP="00FE1BF4">
      <w:pPr>
        <w:pStyle w:val="ListParagraph"/>
        <w:numPr>
          <w:ilvl w:val="0"/>
          <w:numId w:val="23"/>
        </w:numPr>
        <w:tabs>
          <w:tab w:val="left" w:pos="709"/>
        </w:tabs>
        <w:jc w:val="both"/>
        <w:rPr>
          <w:i/>
          <w:sz w:val="24"/>
        </w:rPr>
      </w:pPr>
      <w:r w:rsidRPr="00353C24">
        <w:rPr>
          <w:i/>
          <w:sz w:val="24"/>
        </w:rPr>
        <w:t>0.20</w:t>
      </w:r>
      <w:r w:rsidR="00FF1878" w:rsidRPr="00353C24">
        <w:rPr>
          <w:i/>
          <w:sz w:val="24"/>
        </w:rPr>
        <w:t xml:space="preserve"> if diagnosed as non-malarial at the time of </w:t>
      </w:r>
      <w:r w:rsidRPr="00353C24">
        <w:rPr>
          <w:i/>
          <w:sz w:val="24"/>
        </w:rPr>
        <w:t>the test</w:t>
      </w:r>
      <w:r w:rsidR="00FF1878" w:rsidRPr="00353C24">
        <w:rPr>
          <w:i/>
          <w:sz w:val="24"/>
        </w:rPr>
        <w:t xml:space="preserve">; </w:t>
      </w:r>
    </w:p>
    <w:p w14:paraId="02019716" w14:textId="77777777" w:rsidR="00FF1878" w:rsidRPr="00353C24" w:rsidRDefault="005B10BD" w:rsidP="00FE1BF4">
      <w:pPr>
        <w:pStyle w:val="ListParagraph"/>
        <w:numPr>
          <w:ilvl w:val="0"/>
          <w:numId w:val="23"/>
        </w:numPr>
        <w:tabs>
          <w:tab w:val="left" w:pos="709"/>
        </w:tabs>
        <w:jc w:val="both"/>
        <w:rPr>
          <w:i/>
          <w:sz w:val="24"/>
        </w:rPr>
      </w:pPr>
      <w:r w:rsidRPr="00353C24">
        <w:rPr>
          <w:i/>
          <w:sz w:val="24"/>
        </w:rPr>
        <w:t>0.95 if</w:t>
      </w:r>
      <w:r w:rsidR="00FF1878" w:rsidRPr="00353C24">
        <w:rPr>
          <w:i/>
          <w:sz w:val="24"/>
        </w:rPr>
        <w:t xml:space="preserve"> diagnosed after incorrect treatment with ACTs</w:t>
      </w:r>
      <w:r w:rsidRPr="00353C24">
        <w:rPr>
          <w:i/>
          <w:sz w:val="24"/>
        </w:rPr>
        <w:t>.</w:t>
      </w:r>
      <w:r w:rsidR="00FF1878" w:rsidRPr="00353C24">
        <w:rPr>
          <w:i/>
          <w:sz w:val="24"/>
        </w:rPr>
        <w:t xml:space="preserve"> </w:t>
      </w:r>
    </w:p>
    <w:p w14:paraId="120DE9FB" w14:textId="77777777" w:rsidR="003713B0" w:rsidRPr="00353C24" w:rsidRDefault="005B10BD" w:rsidP="00FE1BF4">
      <w:pPr>
        <w:numPr>
          <w:ilvl w:val="0"/>
          <w:numId w:val="17"/>
        </w:numPr>
        <w:jc w:val="both"/>
        <w:rPr>
          <w:sz w:val="24"/>
        </w:rPr>
      </w:pPr>
      <w:r w:rsidRPr="00353C24">
        <w:rPr>
          <w:sz w:val="24"/>
        </w:rPr>
        <w:t>70% of the severe cases of bacterial infections will be treated by inpatient care while 25% of the uncomplicated cases will be treated by outpatient care (the probability of recover and other outcomes are given below);</w:t>
      </w:r>
    </w:p>
    <w:p w14:paraId="3AD60480" w14:textId="77777777" w:rsidR="005B10BD" w:rsidRPr="00353C24" w:rsidRDefault="005B10BD" w:rsidP="004270C0">
      <w:pPr>
        <w:numPr>
          <w:ilvl w:val="0"/>
          <w:numId w:val="17"/>
        </w:numPr>
        <w:jc w:val="both"/>
        <w:rPr>
          <w:sz w:val="24"/>
        </w:rPr>
      </w:pPr>
      <w:r w:rsidRPr="00353C24">
        <w:rPr>
          <w:sz w:val="24"/>
        </w:rPr>
        <w:t xml:space="preserve">The probability that a malaria case become severe is: </w:t>
      </w:r>
    </w:p>
    <w:p w14:paraId="3F776377" w14:textId="77777777" w:rsidR="005B10BD" w:rsidRPr="00353C24" w:rsidRDefault="005B10BD" w:rsidP="004270C0">
      <w:pPr>
        <w:pStyle w:val="ListParagraph"/>
        <w:numPr>
          <w:ilvl w:val="0"/>
          <w:numId w:val="24"/>
        </w:numPr>
        <w:tabs>
          <w:tab w:val="left" w:pos="709"/>
        </w:tabs>
        <w:jc w:val="both"/>
        <w:rPr>
          <w:i/>
          <w:sz w:val="24"/>
        </w:rPr>
      </w:pPr>
      <w:r w:rsidRPr="00353C24">
        <w:rPr>
          <w:i/>
          <w:sz w:val="24"/>
        </w:rPr>
        <w:t>0.0</w:t>
      </w:r>
      <w:r w:rsidR="00DA46AF" w:rsidRPr="00353C24">
        <w:rPr>
          <w:i/>
          <w:sz w:val="24"/>
        </w:rPr>
        <w:t>5</w:t>
      </w:r>
      <w:r w:rsidRPr="00353C24">
        <w:rPr>
          <w:i/>
          <w:sz w:val="24"/>
        </w:rPr>
        <w:t xml:space="preserve"> if </w:t>
      </w:r>
      <w:r w:rsidR="00DA46AF" w:rsidRPr="00353C24">
        <w:rPr>
          <w:i/>
          <w:sz w:val="24"/>
        </w:rPr>
        <w:t xml:space="preserve">corrected </w:t>
      </w:r>
      <w:r w:rsidRPr="00353C24">
        <w:rPr>
          <w:i/>
          <w:sz w:val="24"/>
        </w:rPr>
        <w:t xml:space="preserve">diagnosed  at the time of the test; </w:t>
      </w:r>
    </w:p>
    <w:p w14:paraId="622F9236" w14:textId="77777777" w:rsidR="005B10BD" w:rsidRPr="00353C24" w:rsidRDefault="005B10BD" w:rsidP="004270C0">
      <w:pPr>
        <w:pStyle w:val="ListParagraph"/>
        <w:numPr>
          <w:ilvl w:val="0"/>
          <w:numId w:val="24"/>
        </w:numPr>
        <w:tabs>
          <w:tab w:val="left" w:pos="709"/>
        </w:tabs>
        <w:jc w:val="both"/>
        <w:rPr>
          <w:i/>
          <w:sz w:val="24"/>
        </w:rPr>
      </w:pPr>
      <w:r w:rsidRPr="00353C24">
        <w:rPr>
          <w:i/>
          <w:sz w:val="24"/>
        </w:rPr>
        <w:t>0.</w:t>
      </w:r>
      <w:r w:rsidR="00DA46AF" w:rsidRPr="00353C24">
        <w:rPr>
          <w:i/>
          <w:sz w:val="24"/>
        </w:rPr>
        <w:t>87</w:t>
      </w:r>
      <w:r w:rsidRPr="00353C24">
        <w:rPr>
          <w:i/>
          <w:sz w:val="24"/>
        </w:rPr>
        <w:t xml:space="preserve"> if diagnosed after incorrect treatment with</w:t>
      </w:r>
      <w:r w:rsidR="00DA46AF" w:rsidRPr="00353C24">
        <w:rPr>
          <w:i/>
          <w:sz w:val="24"/>
        </w:rPr>
        <w:t xml:space="preserve"> antibiotics</w:t>
      </w:r>
      <w:r w:rsidRPr="00353C24">
        <w:rPr>
          <w:i/>
          <w:sz w:val="24"/>
        </w:rPr>
        <w:t xml:space="preserve">. </w:t>
      </w:r>
    </w:p>
    <w:p w14:paraId="5609147B" w14:textId="77777777" w:rsidR="004270C0" w:rsidRPr="00353C24" w:rsidRDefault="004270C0" w:rsidP="004270C0">
      <w:pPr>
        <w:pStyle w:val="ListParagraph"/>
        <w:jc w:val="both"/>
        <w:rPr>
          <w:sz w:val="24"/>
        </w:rPr>
      </w:pPr>
    </w:p>
    <w:p w14:paraId="35639DFB" w14:textId="77777777" w:rsidR="00865BA0" w:rsidRPr="00353C24" w:rsidRDefault="00DA46AF" w:rsidP="005617AC">
      <w:pPr>
        <w:pStyle w:val="ListParagraph"/>
        <w:numPr>
          <w:ilvl w:val="0"/>
          <w:numId w:val="25"/>
        </w:numPr>
        <w:jc w:val="both"/>
        <w:rPr>
          <w:sz w:val="24"/>
        </w:rPr>
      </w:pPr>
      <w:r w:rsidRPr="00353C24">
        <w:rPr>
          <w:sz w:val="24"/>
        </w:rPr>
        <w:t>90% of the severe cases of malaria will be treated by inpatient care while 40% of the uncomplicated cases will be treated by outpatient care (the probability of recover and other outcomes are given below);</w:t>
      </w:r>
    </w:p>
    <w:p w14:paraId="49B08438" w14:textId="77777777" w:rsidR="00865BA0" w:rsidRPr="00353C24" w:rsidRDefault="00865BA0">
      <w:pPr>
        <w:spacing w:after="0" w:line="240" w:lineRule="auto"/>
        <w:rPr>
          <w:sz w:val="24"/>
        </w:rPr>
      </w:pPr>
      <w:r w:rsidRPr="00353C24">
        <w:rPr>
          <w:sz w:val="24"/>
        </w:rPr>
        <w:br w:type="page"/>
      </w:r>
    </w:p>
    <w:p w14:paraId="13CD309D" w14:textId="77777777" w:rsidR="00E45D08" w:rsidRPr="00353C24" w:rsidRDefault="00865BA0" w:rsidP="00865BA0">
      <w:pPr>
        <w:spacing w:line="240" w:lineRule="auto"/>
        <w:jc w:val="both"/>
        <w:rPr>
          <w:sz w:val="24"/>
        </w:rPr>
      </w:pPr>
      <w:r w:rsidRPr="00353C24">
        <w:rPr>
          <w:sz w:val="24"/>
        </w:rPr>
        <w:lastRenderedPageBreak/>
        <w:t xml:space="preserve">     </w:t>
      </w:r>
      <w:r w:rsidR="0080764F" w:rsidRPr="00353C24">
        <w:rPr>
          <w:sz w:val="24"/>
        </w:rPr>
        <w:t>Table 2: P</w:t>
      </w:r>
      <w:r w:rsidR="00E45D08" w:rsidRPr="00353C24">
        <w:rPr>
          <w:sz w:val="24"/>
        </w:rPr>
        <w:t xml:space="preserve">robabilities </w:t>
      </w:r>
      <w:r w:rsidR="00EA272F" w:rsidRPr="00353C24">
        <w:rPr>
          <w:sz w:val="24"/>
        </w:rPr>
        <w:t>associated with the different</w:t>
      </w:r>
      <w:r w:rsidR="00E45D08" w:rsidRPr="00353C24">
        <w:rPr>
          <w:sz w:val="24"/>
        </w:rPr>
        <w:t xml:space="preserve"> treatments are: </w:t>
      </w:r>
    </w:p>
    <w:tbl>
      <w:tblPr>
        <w:tblW w:w="8634" w:type="dxa"/>
        <w:jc w:val="center"/>
        <w:tblLook w:val="04A0" w:firstRow="1" w:lastRow="0" w:firstColumn="1" w:lastColumn="0" w:noHBand="0" w:noVBand="1"/>
      </w:tblPr>
      <w:tblGrid>
        <w:gridCol w:w="3247"/>
        <w:gridCol w:w="1217"/>
        <w:gridCol w:w="1588"/>
        <w:gridCol w:w="1263"/>
        <w:gridCol w:w="1471"/>
      </w:tblGrid>
      <w:tr w:rsidR="00A503D8" w:rsidRPr="00353C24" w14:paraId="14398553" w14:textId="77777777" w:rsidTr="00391FB3">
        <w:trPr>
          <w:trHeight w:val="300"/>
          <w:jc w:val="center"/>
        </w:trPr>
        <w:tc>
          <w:tcPr>
            <w:tcW w:w="3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EA976" w14:textId="77777777" w:rsidR="00A503D8" w:rsidRPr="00353C24" w:rsidRDefault="00A503D8" w:rsidP="002A4379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lang w:eastAsia="en-GB"/>
              </w:rPr>
            </w:pPr>
            <w:r w:rsidRPr="00353C24">
              <w:rPr>
                <w:rFonts w:eastAsia="Times New Roman" w:cs="Calibri"/>
                <w:b/>
                <w:bCs/>
                <w:color w:val="000000"/>
                <w:sz w:val="24"/>
                <w:lang w:eastAsia="en-GB"/>
              </w:rPr>
              <w:t>Description</w:t>
            </w:r>
          </w:p>
        </w:tc>
        <w:tc>
          <w:tcPr>
            <w:tcW w:w="26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7F713" w14:textId="77777777" w:rsidR="00A503D8" w:rsidRPr="00353C24" w:rsidRDefault="00A503D8" w:rsidP="00865BA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lang w:eastAsia="en-GB"/>
              </w:rPr>
            </w:pPr>
            <w:r w:rsidRPr="00353C24">
              <w:rPr>
                <w:rFonts w:eastAsia="Times New Roman" w:cs="Calibri"/>
                <w:b/>
                <w:bCs/>
                <w:color w:val="000000"/>
                <w:sz w:val="24"/>
                <w:lang w:eastAsia="en-GB"/>
              </w:rPr>
              <w:t>Treated with ACT</w:t>
            </w:r>
          </w:p>
        </w:tc>
        <w:tc>
          <w:tcPr>
            <w:tcW w:w="27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5A42" w14:textId="77777777" w:rsidR="00A503D8" w:rsidRPr="00353C24" w:rsidRDefault="00A503D8" w:rsidP="00865BA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4"/>
                <w:lang w:eastAsia="en-GB"/>
              </w:rPr>
            </w:pPr>
            <w:r w:rsidRPr="00353C24">
              <w:rPr>
                <w:rFonts w:eastAsia="Times New Roman" w:cs="Calibri"/>
                <w:b/>
                <w:bCs/>
                <w:color w:val="000000"/>
                <w:sz w:val="24"/>
                <w:lang w:eastAsia="en-GB"/>
              </w:rPr>
              <w:t>Treated with Antibiotics</w:t>
            </w:r>
          </w:p>
        </w:tc>
      </w:tr>
      <w:tr w:rsidR="00A503D8" w:rsidRPr="00353C24" w14:paraId="70212FFB" w14:textId="77777777" w:rsidTr="00391FB3">
        <w:trPr>
          <w:trHeight w:val="330"/>
          <w:jc w:val="center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BC717A" w14:textId="77777777" w:rsidR="00A503D8" w:rsidRPr="00353C24" w:rsidRDefault="00A503D8" w:rsidP="00A503D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353C2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Malaria (severe)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5A5B98" w14:textId="77777777" w:rsidR="00A503D8" w:rsidRPr="00353C24" w:rsidRDefault="00A503D8" w:rsidP="00865BA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b/>
                <w:bCs/>
                <w:color w:val="000000"/>
                <w:lang w:eastAsia="en-GB"/>
              </w:rPr>
              <w:t>Probability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789CE0" w14:textId="77777777" w:rsidR="00A503D8" w:rsidRPr="00353C24" w:rsidRDefault="00A503D8" w:rsidP="00865BA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b/>
                <w:bCs/>
                <w:color w:val="000000"/>
                <w:lang w:eastAsia="en-GB"/>
              </w:rPr>
              <w:t>C.I.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27223B" w14:textId="77777777" w:rsidR="00A503D8" w:rsidRPr="00353C24" w:rsidRDefault="00A503D8" w:rsidP="00865BA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b/>
                <w:bCs/>
                <w:color w:val="000000"/>
                <w:lang w:eastAsia="en-GB"/>
              </w:rPr>
              <w:t>Probability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8F7A5" w14:textId="77777777" w:rsidR="00A503D8" w:rsidRPr="00353C24" w:rsidRDefault="00A503D8" w:rsidP="00865BA0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b/>
                <w:bCs/>
                <w:color w:val="000000"/>
                <w:lang w:eastAsia="en-GB"/>
              </w:rPr>
              <w:t>C.I.</w:t>
            </w:r>
          </w:p>
        </w:tc>
      </w:tr>
      <w:tr w:rsidR="00A503D8" w:rsidRPr="00353C24" w14:paraId="61F01882" w14:textId="77777777" w:rsidTr="00391FB3">
        <w:trPr>
          <w:trHeight w:val="315"/>
          <w:jc w:val="center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3AB57C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>Fully recover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511D4E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0.92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DE0936" w14:textId="77777777" w:rsidR="00A503D8" w:rsidRPr="00353C24" w:rsidRDefault="00A503D8" w:rsidP="00A503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 0.89 – 0.95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142839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0.35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7D0C0" w14:textId="77777777" w:rsidR="00A503D8" w:rsidRPr="00353C24" w:rsidRDefault="00A503D8" w:rsidP="00A503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0.30 - 0.40</w:t>
            </w:r>
          </w:p>
        </w:tc>
      </w:tr>
      <w:tr w:rsidR="00A503D8" w:rsidRPr="00353C24" w14:paraId="5B6E2E6B" w14:textId="77777777" w:rsidTr="00391FB3">
        <w:trPr>
          <w:trHeight w:val="315"/>
          <w:jc w:val="center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E92D5C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>Recover with neurological sequels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DFF1B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0.05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0A319" w14:textId="77777777" w:rsidR="00A503D8" w:rsidRPr="00353C24" w:rsidRDefault="00A503D8" w:rsidP="00A503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 0.03 – 0.07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DCC54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0.4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4689E" w14:textId="77777777" w:rsidR="00A503D8" w:rsidRPr="00353C24" w:rsidRDefault="00A503D8" w:rsidP="00A503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0.38 - 0.42</w:t>
            </w:r>
          </w:p>
        </w:tc>
      </w:tr>
      <w:tr w:rsidR="00A503D8" w:rsidRPr="00353C24" w14:paraId="63CC1865" w14:textId="77777777" w:rsidTr="00391FB3">
        <w:trPr>
          <w:trHeight w:val="315"/>
          <w:jc w:val="center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7A17B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>Death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FAAF0C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0.03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1A1E26" w14:textId="77777777" w:rsidR="00A503D8" w:rsidRPr="00353C24" w:rsidRDefault="00A503D8" w:rsidP="00E4683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 0.01– 0.05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0379E3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0.25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7CA62" w14:textId="77777777" w:rsidR="00A503D8" w:rsidRPr="00353C24" w:rsidRDefault="00A503D8" w:rsidP="00A503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0.20 - 0.30</w:t>
            </w:r>
          </w:p>
        </w:tc>
      </w:tr>
      <w:tr w:rsidR="00A503D8" w:rsidRPr="00353C24" w14:paraId="1C5E805C" w14:textId="77777777" w:rsidTr="00391FB3">
        <w:trPr>
          <w:trHeight w:val="330"/>
          <w:jc w:val="center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0D234" w14:textId="77777777" w:rsidR="00A503D8" w:rsidRPr="00353C24" w:rsidRDefault="00A503D8" w:rsidP="00A503D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353C2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Malaria (uncomplicated)</w:t>
            </w:r>
          </w:p>
        </w:tc>
        <w:tc>
          <w:tcPr>
            <w:tcW w:w="538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CE3DE" w14:textId="77777777" w:rsidR="00A503D8" w:rsidRPr="00353C24" w:rsidRDefault="00A503D8" w:rsidP="00A503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</w:tr>
      <w:tr w:rsidR="00A503D8" w:rsidRPr="00353C24" w14:paraId="6D2D3FFD" w14:textId="77777777" w:rsidTr="00391FB3">
        <w:trPr>
          <w:trHeight w:val="315"/>
          <w:jc w:val="center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6F128D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>Fully recover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278FD9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0.97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675F0" w14:textId="77777777" w:rsidR="00A503D8" w:rsidRPr="00353C24" w:rsidRDefault="00A503D8" w:rsidP="00A503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0.95 - 0.99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A746A4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0.4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DBBE0" w14:textId="77777777" w:rsidR="00A503D8" w:rsidRPr="00353C24" w:rsidRDefault="00A503D8" w:rsidP="00A503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0.35 - 0.45</w:t>
            </w:r>
          </w:p>
        </w:tc>
      </w:tr>
      <w:tr w:rsidR="00A503D8" w:rsidRPr="00353C24" w14:paraId="1E0E21D6" w14:textId="77777777" w:rsidTr="00391FB3">
        <w:trPr>
          <w:trHeight w:val="315"/>
          <w:jc w:val="center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CAEEA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>Recover with neurological sequels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CF3754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0.027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8A4FC8" w14:textId="77777777" w:rsidR="00A503D8" w:rsidRPr="00353C24" w:rsidRDefault="00A503D8" w:rsidP="00A503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0.02 - 0.3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38352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0.45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1CE8E" w14:textId="77777777" w:rsidR="00A503D8" w:rsidRPr="00353C24" w:rsidRDefault="00A503D8" w:rsidP="00A503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0.40 - 0.50</w:t>
            </w:r>
          </w:p>
        </w:tc>
      </w:tr>
      <w:tr w:rsidR="00A503D8" w:rsidRPr="00353C24" w14:paraId="4420DC38" w14:textId="77777777" w:rsidTr="00391FB3">
        <w:trPr>
          <w:trHeight w:val="315"/>
          <w:jc w:val="center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34D926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>Death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B4871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0.003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96F563" w14:textId="5B1A9FA3" w:rsidR="00A503D8" w:rsidRPr="00353C24" w:rsidRDefault="00A503D8" w:rsidP="00A503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0.0</w:t>
            </w:r>
            <w:r w:rsidR="00DB104F" w:rsidRPr="00353C24">
              <w:rPr>
                <w:rFonts w:eastAsia="Times New Roman" w:cs="Calibri"/>
                <w:color w:val="000000"/>
                <w:lang w:eastAsia="en-GB"/>
              </w:rPr>
              <w:t>0</w:t>
            </w:r>
            <w:r w:rsidRPr="00353C24">
              <w:rPr>
                <w:rFonts w:eastAsia="Times New Roman" w:cs="Calibri"/>
                <w:color w:val="000000"/>
                <w:lang w:eastAsia="en-GB"/>
              </w:rPr>
              <w:t>1 - 0.0</w:t>
            </w:r>
            <w:r w:rsidR="00DB104F" w:rsidRPr="00353C24">
              <w:rPr>
                <w:rFonts w:eastAsia="Times New Roman" w:cs="Calibri"/>
                <w:color w:val="000000"/>
                <w:lang w:eastAsia="en-GB"/>
              </w:rPr>
              <w:t>0</w:t>
            </w:r>
            <w:r w:rsidRPr="00353C24">
              <w:rPr>
                <w:rFonts w:eastAsia="Times New Roman" w:cs="Calibri"/>
                <w:color w:val="000000"/>
                <w:lang w:eastAsia="en-GB"/>
              </w:rPr>
              <w:t>4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0A4BD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0.15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CD554" w14:textId="77777777" w:rsidR="00A503D8" w:rsidRPr="00353C24" w:rsidRDefault="00A503D8" w:rsidP="00A503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0.10 - 0.20</w:t>
            </w:r>
          </w:p>
        </w:tc>
      </w:tr>
      <w:tr w:rsidR="00A503D8" w:rsidRPr="00353C24" w14:paraId="7E9AD7C6" w14:textId="77777777" w:rsidTr="00391FB3">
        <w:trPr>
          <w:trHeight w:val="330"/>
          <w:jc w:val="center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AD2EFB" w14:textId="77777777" w:rsidR="00A503D8" w:rsidRPr="00353C24" w:rsidRDefault="00A503D8" w:rsidP="00A503D8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353C2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Non-malarial Febrile Illness</w:t>
            </w:r>
          </w:p>
        </w:tc>
        <w:tc>
          <w:tcPr>
            <w:tcW w:w="538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01677" w14:textId="77777777" w:rsidR="00A503D8" w:rsidRPr="00353C24" w:rsidRDefault="00A503D8" w:rsidP="00A503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</w:tr>
      <w:tr w:rsidR="00A503D8" w:rsidRPr="00353C24" w14:paraId="6A728A4A" w14:textId="77777777" w:rsidTr="00391FB3">
        <w:trPr>
          <w:trHeight w:val="315"/>
          <w:jc w:val="center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54D393" w14:textId="77777777" w:rsidR="00A503D8" w:rsidRPr="00353C24" w:rsidRDefault="00A503D8" w:rsidP="00A503D8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Bacterial infection (severe)</w:t>
            </w:r>
          </w:p>
        </w:tc>
        <w:tc>
          <w:tcPr>
            <w:tcW w:w="538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55FA1" w14:textId="77777777" w:rsidR="00A503D8" w:rsidRPr="00353C24" w:rsidRDefault="00A503D8" w:rsidP="00A503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</w:tr>
      <w:tr w:rsidR="00A503D8" w:rsidRPr="00353C24" w14:paraId="507F602B" w14:textId="77777777" w:rsidTr="00391FB3">
        <w:trPr>
          <w:trHeight w:val="315"/>
          <w:jc w:val="center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01AD0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>Fully recover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186EA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0.8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218152" w14:textId="77777777" w:rsidR="00A503D8" w:rsidRPr="00353C24" w:rsidRDefault="00A503D8" w:rsidP="00A503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0.78 - 0.83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6AF71D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0.95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6E295" w14:textId="77777777" w:rsidR="00A503D8" w:rsidRPr="00353C24" w:rsidRDefault="00A503D8" w:rsidP="00A503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0.93 - 0.98</w:t>
            </w:r>
          </w:p>
        </w:tc>
      </w:tr>
      <w:tr w:rsidR="00A503D8" w:rsidRPr="00353C24" w14:paraId="528D872B" w14:textId="77777777" w:rsidTr="00391FB3">
        <w:trPr>
          <w:trHeight w:val="315"/>
          <w:jc w:val="center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993D25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>Recover with neurological sequels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B8105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0.15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2168B8" w14:textId="77777777" w:rsidR="00A503D8" w:rsidRPr="00353C24" w:rsidRDefault="00A503D8" w:rsidP="00A503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0.12 - 0.16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B34C2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0.04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3CF1E" w14:textId="77777777" w:rsidR="00A503D8" w:rsidRPr="00353C24" w:rsidRDefault="00A503D8" w:rsidP="00A503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0.02 - 0.06</w:t>
            </w:r>
          </w:p>
        </w:tc>
      </w:tr>
      <w:tr w:rsidR="00A503D8" w:rsidRPr="00353C24" w14:paraId="1E6E745C" w14:textId="77777777" w:rsidTr="00391FB3">
        <w:trPr>
          <w:trHeight w:val="315"/>
          <w:jc w:val="center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74B39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>Death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5D91F0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0.05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481EC" w14:textId="77777777" w:rsidR="00A503D8" w:rsidRPr="00353C24" w:rsidRDefault="00A503D8" w:rsidP="00A503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0.03 - 0.07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91D7D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0.01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D2DAE" w14:textId="77777777" w:rsidR="00A503D8" w:rsidRPr="00353C24" w:rsidRDefault="00A503D8" w:rsidP="00A503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0.005 - 0.012</w:t>
            </w:r>
          </w:p>
        </w:tc>
      </w:tr>
      <w:tr w:rsidR="00A503D8" w:rsidRPr="00353C24" w14:paraId="5245C90E" w14:textId="77777777" w:rsidTr="00391FB3">
        <w:trPr>
          <w:trHeight w:val="315"/>
          <w:jc w:val="center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72A28D" w14:textId="77777777" w:rsidR="00A503D8" w:rsidRPr="00353C24" w:rsidRDefault="00A503D8" w:rsidP="00A503D8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Bacterial infection (uncomplicated)</w:t>
            </w:r>
          </w:p>
        </w:tc>
        <w:tc>
          <w:tcPr>
            <w:tcW w:w="538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2A661" w14:textId="77777777" w:rsidR="00A503D8" w:rsidRPr="00353C24" w:rsidRDefault="00A503D8" w:rsidP="00A503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</w:tr>
      <w:tr w:rsidR="00A503D8" w:rsidRPr="00353C24" w14:paraId="1DD5C4A1" w14:textId="77777777" w:rsidTr="00391FB3">
        <w:trPr>
          <w:trHeight w:val="315"/>
          <w:jc w:val="center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3EF48D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>Fully recover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8B697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0.98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191E0" w14:textId="77777777" w:rsidR="00A503D8" w:rsidRPr="00353C24" w:rsidRDefault="00A503D8" w:rsidP="00A503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0.95 - 0.99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6221B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0.98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73695" w14:textId="77777777" w:rsidR="00A503D8" w:rsidRPr="00353C24" w:rsidRDefault="00A503D8" w:rsidP="00A503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0.96 - 0.99</w:t>
            </w:r>
          </w:p>
        </w:tc>
      </w:tr>
      <w:tr w:rsidR="00A503D8" w:rsidRPr="00353C24" w14:paraId="4556C433" w14:textId="77777777" w:rsidTr="00391FB3">
        <w:trPr>
          <w:trHeight w:val="315"/>
          <w:jc w:val="center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E50771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>Recover with neurological sequels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B414E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0.015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E54392" w14:textId="77777777" w:rsidR="00A503D8" w:rsidRPr="00353C24" w:rsidRDefault="00A503D8" w:rsidP="00A503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0.012 - 0.018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5E2A02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0.02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E4CD7" w14:textId="77777777" w:rsidR="00A503D8" w:rsidRPr="00353C24" w:rsidRDefault="00A503D8" w:rsidP="00A503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0.01 - 0.03</w:t>
            </w:r>
          </w:p>
        </w:tc>
      </w:tr>
      <w:tr w:rsidR="00A503D8" w:rsidRPr="00353C24" w14:paraId="606B92C0" w14:textId="77777777" w:rsidTr="00391FB3">
        <w:trPr>
          <w:trHeight w:val="315"/>
          <w:jc w:val="center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1A82D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>Death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8DA369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0.005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2BD8C" w14:textId="77777777" w:rsidR="00A503D8" w:rsidRPr="00353C24" w:rsidRDefault="00A503D8" w:rsidP="00A503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0.003 - 0.007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EE8BDC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85541" w14:textId="77777777" w:rsidR="00A503D8" w:rsidRPr="00353C24" w:rsidRDefault="00A503D8" w:rsidP="00A503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N/A</w:t>
            </w:r>
          </w:p>
        </w:tc>
      </w:tr>
      <w:tr w:rsidR="00A503D8" w:rsidRPr="00353C24" w14:paraId="6B9F2D09" w14:textId="77777777" w:rsidTr="00391FB3">
        <w:trPr>
          <w:trHeight w:val="315"/>
          <w:jc w:val="center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E9BE6C" w14:textId="77777777" w:rsidR="00A503D8" w:rsidRPr="00353C24" w:rsidRDefault="00A503D8" w:rsidP="00A503D8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Viral infection</w:t>
            </w:r>
          </w:p>
        </w:tc>
        <w:tc>
          <w:tcPr>
            <w:tcW w:w="5387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AF393" w14:textId="77777777" w:rsidR="00A503D8" w:rsidRPr="00353C24" w:rsidRDefault="00A503D8" w:rsidP="00A503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</w:tr>
      <w:tr w:rsidR="00391FB3" w:rsidRPr="00353C24" w14:paraId="21B80EEE" w14:textId="77777777" w:rsidTr="00391FB3">
        <w:trPr>
          <w:trHeight w:val="315"/>
          <w:jc w:val="center"/>
        </w:trPr>
        <w:tc>
          <w:tcPr>
            <w:tcW w:w="324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8F9BEB" w14:textId="2BA15EB1" w:rsidR="00A503D8" w:rsidRPr="00353C24" w:rsidRDefault="00657B33" w:rsidP="00A503D8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>Fully recover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5D64B5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D4188" w14:textId="77777777" w:rsidR="00A503D8" w:rsidRPr="00353C24" w:rsidRDefault="00A503D8" w:rsidP="00A503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N/A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F7C6B7" w14:textId="77777777" w:rsidR="00A503D8" w:rsidRPr="00353C24" w:rsidRDefault="00A503D8" w:rsidP="00A503D8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F18D3" w14:textId="77777777" w:rsidR="00A503D8" w:rsidRPr="00353C24" w:rsidRDefault="00A503D8" w:rsidP="00A503D8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N/A</w:t>
            </w:r>
          </w:p>
        </w:tc>
      </w:tr>
    </w:tbl>
    <w:p w14:paraId="2D217463" w14:textId="77777777" w:rsidR="007278B2" w:rsidRPr="00353C24" w:rsidRDefault="00322FEE" w:rsidP="00025C8F">
      <w:pPr>
        <w:jc w:val="both"/>
        <w:rPr>
          <w:sz w:val="20"/>
        </w:rPr>
      </w:pPr>
      <w:r w:rsidRPr="00353C24">
        <w:rPr>
          <w:sz w:val="20"/>
        </w:rPr>
        <w:t xml:space="preserve"> </w:t>
      </w:r>
      <w:r w:rsidR="00A27BCA" w:rsidRPr="00353C24">
        <w:rPr>
          <w:sz w:val="20"/>
        </w:rPr>
        <w:t xml:space="preserve"> SOURCE: hypothetical parameters.</w:t>
      </w:r>
    </w:p>
    <w:p w14:paraId="777ACF15" w14:textId="77777777" w:rsidR="00F20A80" w:rsidRPr="00353C24" w:rsidRDefault="00F20A80" w:rsidP="00025C8F">
      <w:pPr>
        <w:jc w:val="both"/>
        <w:rPr>
          <w:b/>
          <w:sz w:val="24"/>
        </w:rPr>
      </w:pPr>
    </w:p>
    <w:p w14:paraId="3D673FA8" w14:textId="77777777" w:rsidR="00DE1E1D" w:rsidRPr="00353C24" w:rsidRDefault="00DE1E1D" w:rsidP="00025C8F">
      <w:pPr>
        <w:jc w:val="both"/>
        <w:rPr>
          <w:b/>
          <w:sz w:val="24"/>
        </w:rPr>
      </w:pPr>
      <w:r w:rsidRPr="00353C24">
        <w:rPr>
          <w:b/>
          <w:sz w:val="24"/>
        </w:rPr>
        <w:t>OUTCOMES/CONSEQUENCES:</w:t>
      </w:r>
    </w:p>
    <w:p w14:paraId="3D01E094" w14:textId="6FB80E10" w:rsidR="005617AC" w:rsidRPr="00353C24" w:rsidRDefault="005617AC" w:rsidP="00453A81">
      <w:pPr>
        <w:spacing w:line="360" w:lineRule="auto"/>
        <w:jc w:val="both"/>
        <w:rPr>
          <w:sz w:val="24"/>
        </w:rPr>
      </w:pPr>
      <w:r w:rsidRPr="00353C24">
        <w:rPr>
          <w:sz w:val="24"/>
        </w:rPr>
        <w:t xml:space="preserve">The health outcomes are measured in terms of disability-adjusted life years (DALYs) </w:t>
      </w:r>
      <w:r w:rsidR="0032417D" w:rsidRPr="00353C24">
        <w:rPr>
          <w:sz w:val="24"/>
        </w:rPr>
        <w:t>averted and life years saved (LY)</w:t>
      </w:r>
      <w:r w:rsidR="00EF182A" w:rsidRPr="00353C24">
        <w:rPr>
          <w:sz w:val="24"/>
        </w:rPr>
        <w:t>, both given in present values (i.e., a discount rate has been applied for the effects occurring in the future)</w:t>
      </w:r>
      <w:r w:rsidRPr="00353C24">
        <w:rPr>
          <w:sz w:val="24"/>
        </w:rPr>
        <w:t xml:space="preserve">. The table </w:t>
      </w:r>
      <w:r w:rsidR="007278B2" w:rsidRPr="00353C24">
        <w:rPr>
          <w:sz w:val="24"/>
        </w:rPr>
        <w:t xml:space="preserve">3 </w:t>
      </w:r>
      <w:r w:rsidRPr="00353C24">
        <w:rPr>
          <w:sz w:val="24"/>
        </w:rPr>
        <w:t>below present</w:t>
      </w:r>
      <w:r w:rsidR="007278B2" w:rsidRPr="00353C24">
        <w:rPr>
          <w:sz w:val="24"/>
        </w:rPr>
        <w:t>s</w:t>
      </w:r>
      <w:r w:rsidRPr="00353C24">
        <w:rPr>
          <w:sz w:val="24"/>
        </w:rPr>
        <w:t xml:space="preserve"> the DALY’s averted </w:t>
      </w:r>
      <w:r w:rsidR="0032417D" w:rsidRPr="00353C24">
        <w:rPr>
          <w:sz w:val="24"/>
        </w:rPr>
        <w:t xml:space="preserve">and life years saved </w:t>
      </w:r>
      <w:r w:rsidRPr="00353C24">
        <w:rPr>
          <w:sz w:val="24"/>
        </w:rPr>
        <w:t>for each treatment strategy</w:t>
      </w:r>
      <w:r w:rsidR="007278B2" w:rsidRPr="00353C24">
        <w:rPr>
          <w:sz w:val="24"/>
        </w:rPr>
        <w:t>, these numbers are hypothetical</w:t>
      </w:r>
      <w:r w:rsidR="003C5EBE">
        <w:rPr>
          <w:sz w:val="24"/>
        </w:rPr>
        <w:t>.</w:t>
      </w:r>
    </w:p>
    <w:p w14:paraId="0C1171B9" w14:textId="77777777" w:rsidR="00391FB3" w:rsidRPr="00353C24" w:rsidRDefault="00391FB3" w:rsidP="00025C8F">
      <w:pPr>
        <w:jc w:val="both"/>
        <w:rPr>
          <w:sz w:val="24"/>
        </w:rPr>
      </w:pPr>
    </w:p>
    <w:p w14:paraId="14448586" w14:textId="0BE38D6D" w:rsidR="00391FB3" w:rsidRDefault="00391FB3" w:rsidP="00025C8F">
      <w:pPr>
        <w:jc w:val="both"/>
        <w:rPr>
          <w:sz w:val="24"/>
        </w:rPr>
      </w:pPr>
    </w:p>
    <w:p w14:paraId="33B535C9" w14:textId="03006B03" w:rsidR="00F82649" w:rsidRDefault="00F82649" w:rsidP="00025C8F">
      <w:pPr>
        <w:jc w:val="both"/>
        <w:rPr>
          <w:sz w:val="24"/>
        </w:rPr>
      </w:pPr>
    </w:p>
    <w:p w14:paraId="4215F47B" w14:textId="77777777" w:rsidR="003C5EBE" w:rsidRPr="00353C24" w:rsidRDefault="003C5EBE" w:rsidP="00025C8F">
      <w:pPr>
        <w:jc w:val="both"/>
        <w:rPr>
          <w:sz w:val="24"/>
        </w:rPr>
      </w:pPr>
    </w:p>
    <w:p w14:paraId="23C32BD1" w14:textId="77777777" w:rsidR="00C04C8B" w:rsidRPr="00353C24" w:rsidRDefault="00C04C8B" w:rsidP="00025C8F">
      <w:pPr>
        <w:jc w:val="both"/>
        <w:rPr>
          <w:sz w:val="24"/>
        </w:rPr>
      </w:pPr>
    </w:p>
    <w:p w14:paraId="1174A501" w14:textId="77777777" w:rsidR="0032417D" w:rsidRPr="00353C24" w:rsidRDefault="007278B2" w:rsidP="007278B2">
      <w:pPr>
        <w:spacing w:line="240" w:lineRule="auto"/>
        <w:jc w:val="both"/>
        <w:rPr>
          <w:sz w:val="24"/>
        </w:rPr>
      </w:pPr>
      <w:r w:rsidRPr="00353C24">
        <w:rPr>
          <w:sz w:val="24"/>
        </w:rPr>
        <w:lastRenderedPageBreak/>
        <w:t xml:space="preserve">                      </w:t>
      </w:r>
      <w:r w:rsidR="0080764F" w:rsidRPr="00353C24">
        <w:rPr>
          <w:sz w:val="24"/>
        </w:rPr>
        <w:t>Table 3: Health outcomes (in DALY’s)</w:t>
      </w:r>
    </w:p>
    <w:tbl>
      <w:tblPr>
        <w:tblW w:w="6581" w:type="dxa"/>
        <w:jc w:val="center"/>
        <w:tblLook w:val="04A0" w:firstRow="1" w:lastRow="0" w:firstColumn="1" w:lastColumn="0" w:noHBand="0" w:noVBand="1"/>
      </w:tblPr>
      <w:tblGrid>
        <w:gridCol w:w="4171"/>
        <w:gridCol w:w="1276"/>
        <w:gridCol w:w="1134"/>
      </w:tblGrid>
      <w:tr w:rsidR="0032417D" w:rsidRPr="00353C24" w14:paraId="6C1AB2BD" w14:textId="77777777" w:rsidTr="0032417D">
        <w:trPr>
          <w:trHeight w:val="375"/>
          <w:jc w:val="center"/>
        </w:trPr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AD40E" w14:textId="77777777" w:rsidR="0032417D" w:rsidRPr="00353C24" w:rsidRDefault="0032417D" w:rsidP="0032417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353C24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  <w:t>Description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5FBDF" w14:textId="59EBA9B6" w:rsidR="0032417D" w:rsidRPr="00353C24" w:rsidRDefault="0032417D" w:rsidP="0032417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353C24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  <w:t>DALYS</w:t>
            </w:r>
            <w:r w:rsidR="001D5C71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  <w:t xml:space="preserve"> averted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6B3C" w14:textId="77777777" w:rsidR="0032417D" w:rsidRPr="00353C24" w:rsidRDefault="0032417D" w:rsidP="0032417D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353C24"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  <w:t>LY</w:t>
            </w:r>
          </w:p>
        </w:tc>
      </w:tr>
      <w:tr w:rsidR="0032417D" w:rsidRPr="00353C24" w14:paraId="13601385" w14:textId="77777777" w:rsidTr="0032417D">
        <w:trPr>
          <w:trHeight w:val="315"/>
          <w:jc w:val="center"/>
        </w:trPr>
        <w:tc>
          <w:tcPr>
            <w:tcW w:w="4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7E39C" w14:textId="77777777" w:rsidR="0032417D" w:rsidRPr="00353C24" w:rsidRDefault="0032417D" w:rsidP="0032417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353C2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Malaria (severe)</w:t>
            </w: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3C7B0" w14:textId="77777777" w:rsidR="0032417D" w:rsidRPr="00353C24" w:rsidRDefault="0032417D" w:rsidP="0032417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099FB" w14:textId="77777777" w:rsidR="0032417D" w:rsidRPr="00353C24" w:rsidRDefault="0032417D" w:rsidP="0032417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</w:p>
        </w:tc>
      </w:tr>
      <w:tr w:rsidR="0032417D" w:rsidRPr="00353C24" w14:paraId="4128AA7F" w14:textId="77777777" w:rsidTr="0032417D">
        <w:trPr>
          <w:trHeight w:val="300"/>
          <w:jc w:val="center"/>
        </w:trPr>
        <w:tc>
          <w:tcPr>
            <w:tcW w:w="4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986EB" w14:textId="77777777" w:rsidR="0032417D" w:rsidRPr="00353C24" w:rsidRDefault="0032417D" w:rsidP="0032417D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>Fully recover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9C8A7" w14:textId="77777777" w:rsidR="0032417D" w:rsidRPr="00353C24" w:rsidRDefault="0032417D" w:rsidP="003241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37BFF" w14:textId="77777777" w:rsidR="0032417D" w:rsidRPr="00353C24" w:rsidRDefault="0032417D" w:rsidP="00DE15C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45</w:t>
            </w:r>
          </w:p>
        </w:tc>
      </w:tr>
      <w:tr w:rsidR="0032417D" w:rsidRPr="00353C24" w14:paraId="13F727FC" w14:textId="77777777" w:rsidTr="0032417D">
        <w:trPr>
          <w:trHeight w:val="300"/>
          <w:jc w:val="center"/>
        </w:trPr>
        <w:tc>
          <w:tcPr>
            <w:tcW w:w="4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1A134" w14:textId="77777777" w:rsidR="0032417D" w:rsidRPr="00353C24" w:rsidRDefault="0032417D" w:rsidP="0032417D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>Recover with neurological sequels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22447" w14:textId="77777777" w:rsidR="0032417D" w:rsidRPr="00353C24" w:rsidRDefault="0032417D" w:rsidP="003241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69035" w14:textId="77777777" w:rsidR="0032417D" w:rsidRPr="00353C24" w:rsidRDefault="0032417D" w:rsidP="00DE15C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35</w:t>
            </w:r>
          </w:p>
        </w:tc>
      </w:tr>
      <w:tr w:rsidR="0032417D" w:rsidRPr="00353C24" w14:paraId="7C08C8C1" w14:textId="77777777" w:rsidTr="0032417D">
        <w:trPr>
          <w:trHeight w:val="300"/>
          <w:jc w:val="center"/>
        </w:trPr>
        <w:tc>
          <w:tcPr>
            <w:tcW w:w="4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5A326" w14:textId="77777777" w:rsidR="0032417D" w:rsidRPr="00353C24" w:rsidRDefault="0032417D" w:rsidP="0032417D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>Death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0AFEA" w14:textId="77777777" w:rsidR="0032417D" w:rsidRPr="00353C24" w:rsidRDefault="0032417D" w:rsidP="003241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65F1" w14:textId="77777777" w:rsidR="0032417D" w:rsidRPr="00353C24" w:rsidRDefault="0032417D" w:rsidP="00DE15C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</w:t>
            </w:r>
          </w:p>
        </w:tc>
      </w:tr>
      <w:tr w:rsidR="00795838" w:rsidRPr="00353C24" w14:paraId="1EA70DB6" w14:textId="77777777" w:rsidTr="0032417D">
        <w:trPr>
          <w:trHeight w:val="300"/>
          <w:jc w:val="center"/>
        </w:trPr>
        <w:tc>
          <w:tcPr>
            <w:tcW w:w="4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A9E34" w14:textId="77777777" w:rsidR="00795838" w:rsidRPr="00353C24" w:rsidRDefault="00795838" w:rsidP="0032417D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>No care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64281A" w14:textId="77777777" w:rsidR="00795838" w:rsidRPr="00353C24" w:rsidRDefault="00795838" w:rsidP="003241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346FB" w14:textId="77777777" w:rsidR="00795838" w:rsidRPr="00353C24" w:rsidRDefault="00795838" w:rsidP="00DE15C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</w:t>
            </w:r>
          </w:p>
        </w:tc>
      </w:tr>
      <w:tr w:rsidR="0032417D" w:rsidRPr="00353C24" w14:paraId="02CE26F6" w14:textId="77777777" w:rsidTr="0032417D">
        <w:trPr>
          <w:trHeight w:val="315"/>
          <w:jc w:val="center"/>
        </w:trPr>
        <w:tc>
          <w:tcPr>
            <w:tcW w:w="6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9C5C2C8" w14:textId="77777777" w:rsidR="0032417D" w:rsidRPr="00353C24" w:rsidRDefault="0032417D" w:rsidP="0032417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353C2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Malaria (uncomplicated)</w:t>
            </w:r>
          </w:p>
        </w:tc>
      </w:tr>
      <w:tr w:rsidR="0032417D" w:rsidRPr="00353C24" w14:paraId="2D94D7D0" w14:textId="77777777" w:rsidTr="0032417D">
        <w:trPr>
          <w:trHeight w:val="300"/>
          <w:jc w:val="center"/>
        </w:trPr>
        <w:tc>
          <w:tcPr>
            <w:tcW w:w="4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9569A" w14:textId="77777777" w:rsidR="0032417D" w:rsidRPr="00353C24" w:rsidRDefault="0032417D" w:rsidP="0032417D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>Fully recover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C245F" w14:textId="77777777" w:rsidR="0032417D" w:rsidRPr="00353C24" w:rsidRDefault="0032417D" w:rsidP="003241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C1380" w14:textId="77777777" w:rsidR="0032417D" w:rsidRPr="00353C24" w:rsidRDefault="0032417D" w:rsidP="00DE15C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30</w:t>
            </w:r>
          </w:p>
        </w:tc>
      </w:tr>
      <w:tr w:rsidR="0032417D" w:rsidRPr="00353C24" w14:paraId="604F8BDC" w14:textId="77777777" w:rsidTr="0032417D">
        <w:trPr>
          <w:trHeight w:val="300"/>
          <w:jc w:val="center"/>
        </w:trPr>
        <w:tc>
          <w:tcPr>
            <w:tcW w:w="4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2816E3" w14:textId="77777777" w:rsidR="0032417D" w:rsidRPr="00353C24" w:rsidRDefault="0032417D" w:rsidP="0032417D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>Recover with neurological sequels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2D184" w14:textId="77777777" w:rsidR="0032417D" w:rsidRPr="00353C24" w:rsidRDefault="0032417D" w:rsidP="003241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C80A1" w14:textId="77777777" w:rsidR="0032417D" w:rsidRPr="00353C24" w:rsidRDefault="0032417D" w:rsidP="00DE15C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22</w:t>
            </w:r>
          </w:p>
        </w:tc>
      </w:tr>
      <w:tr w:rsidR="0032417D" w:rsidRPr="00353C24" w14:paraId="1EF3D5A0" w14:textId="77777777" w:rsidTr="0032417D">
        <w:trPr>
          <w:trHeight w:val="300"/>
          <w:jc w:val="center"/>
        </w:trPr>
        <w:tc>
          <w:tcPr>
            <w:tcW w:w="4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55BEC" w14:textId="77777777" w:rsidR="0032417D" w:rsidRPr="00353C24" w:rsidRDefault="0032417D" w:rsidP="0032417D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>Death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4673E" w14:textId="77777777" w:rsidR="0032417D" w:rsidRPr="00353C24" w:rsidRDefault="0032417D" w:rsidP="003241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8EB1" w14:textId="77777777" w:rsidR="0032417D" w:rsidRPr="00353C24" w:rsidRDefault="0032417D" w:rsidP="00DE15C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</w:t>
            </w:r>
          </w:p>
        </w:tc>
      </w:tr>
      <w:tr w:rsidR="00795838" w:rsidRPr="00353C24" w14:paraId="075B9FF3" w14:textId="77777777" w:rsidTr="0032417D">
        <w:trPr>
          <w:trHeight w:val="300"/>
          <w:jc w:val="center"/>
        </w:trPr>
        <w:tc>
          <w:tcPr>
            <w:tcW w:w="4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70CE2" w14:textId="77777777" w:rsidR="00795838" w:rsidRPr="00353C24" w:rsidRDefault="00795838" w:rsidP="0032417D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>No care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DE98" w14:textId="77777777" w:rsidR="00795838" w:rsidRPr="00353C24" w:rsidRDefault="00795838" w:rsidP="003241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89324F" w14:textId="77777777" w:rsidR="00795838" w:rsidRPr="00353C24" w:rsidRDefault="00795838" w:rsidP="00DE15C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35</w:t>
            </w:r>
          </w:p>
        </w:tc>
      </w:tr>
      <w:tr w:rsidR="0032417D" w:rsidRPr="00353C24" w14:paraId="51299A3A" w14:textId="77777777" w:rsidTr="0032417D">
        <w:trPr>
          <w:trHeight w:val="315"/>
          <w:jc w:val="center"/>
        </w:trPr>
        <w:tc>
          <w:tcPr>
            <w:tcW w:w="6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13D6F0" w14:textId="77777777" w:rsidR="0032417D" w:rsidRPr="00353C24" w:rsidRDefault="0032417D" w:rsidP="0032417D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353C2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Non-malarial Febrile Illness</w:t>
            </w:r>
          </w:p>
        </w:tc>
      </w:tr>
      <w:tr w:rsidR="0032417D" w:rsidRPr="00353C24" w14:paraId="7D674AF5" w14:textId="77777777" w:rsidTr="0032417D">
        <w:trPr>
          <w:trHeight w:val="300"/>
          <w:jc w:val="center"/>
        </w:trPr>
        <w:tc>
          <w:tcPr>
            <w:tcW w:w="6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0E8DEB" w14:textId="77777777" w:rsidR="0032417D" w:rsidRPr="00353C24" w:rsidRDefault="0032417D" w:rsidP="0032417D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Bacterial infection (severe)</w:t>
            </w:r>
          </w:p>
        </w:tc>
      </w:tr>
      <w:tr w:rsidR="0032417D" w:rsidRPr="00353C24" w14:paraId="448EE858" w14:textId="77777777" w:rsidTr="0032417D">
        <w:trPr>
          <w:trHeight w:val="300"/>
          <w:jc w:val="center"/>
        </w:trPr>
        <w:tc>
          <w:tcPr>
            <w:tcW w:w="4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89FE" w14:textId="77777777" w:rsidR="0032417D" w:rsidRPr="00353C24" w:rsidRDefault="0032417D" w:rsidP="0032417D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>Fully recover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1D22E" w14:textId="77777777" w:rsidR="0032417D" w:rsidRPr="00353C24" w:rsidRDefault="0032417D" w:rsidP="003241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900C2" w14:textId="77777777" w:rsidR="0032417D" w:rsidRPr="00353C24" w:rsidRDefault="0032417D" w:rsidP="00DE15C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20</w:t>
            </w:r>
          </w:p>
        </w:tc>
      </w:tr>
      <w:tr w:rsidR="0032417D" w:rsidRPr="00353C24" w14:paraId="056B3D46" w14:textId="77777777" w:rsidTr="0032417D">
        <w:trPr>
          <w:trHeight w:val="300"/>
          <w:jc w:val="center"/>
        </w:trPr>
        <w:tc>
          <w:tcPr>
            <w:tcW w:w="4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7457F4" w14:textId="77777777" w:rsidR="0032417D" w:rsidRPr="00353C24" w:rsidRDefault="0032417D" w:rsidP="0032417D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>Recover with neurological sequels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F944" w14:textId="77777777" w:rsidR="0032417D" w:rsidRPr="00353C24" w:rsidRDefault="0032417D" w:rsidP="003241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D8670" w14:textId="77777777" w:rsidR="0032417D" w:rsidRPr="00353C24" w:rsidRDefault="0032417D" w:rsidP="00DE15C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12</w:t>
            </w:r>
          </w:p>
        </w:tc>
      </w:tr>
      <w:tr w:rsidR="0032417D" w:rsidRPr="00353C24" w14:paraId="0F3F2816" w14:textId="77777777" w:rsidTr="0032417D">
        <w:trPr>
          <w:trHeight w:val="300"/>
          <w:jc w:val="center"/>
        </w:trPr>
        <w:tc>
          <w:tcPr>
            <w:tcW w:w="4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A5DF3" w14:textId="77777777" w:rsidR="0032417D" w:rsidRPr="00353C24" w:rsidRDefault="0032417D" w:rsidP="0032417D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>Death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323F8" w14:textId="77777777" w:rsidR="0032417D" w:rsidRPr="00353C24" w:rsidRDefault="0032417D" w:rsidP="003241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7C221" w14:textId="77777777" w:rsidR="0032417D" w:rsidRPr="00353C24" w:rsidRDefault="0032417D" w:rsidP="00DE15C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</w:t>
            </w:r>
          </w:p>
        </w:tc>
      </w:tr>
      <w:tr w:rsidR="00795838" w:rsidRPr="00353C24" w14:paraId="45269F49" w14:textId="77777777" w:rsidTr="0032417D">
        <w:trPr>
          <w:trHeight w:val="300"/>
          <w:jc w:val="center"/>
        </w:trPr>
        <w:tc>
          <w:tcPr>
            <w:tcW w:w="4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F17B09" w14:textId="77777777" w:rsidR="00795838" w:rsidRPr="00353C24" w:rsidRDefault="00795838" w:rsidP="0032417D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 xml:space="preserve">No care 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9ADBC" w14:textId="77777777" w:rsidR="00795838" w:rsidRPr="00353C24" w:rsidRDefault="00795838" w:rsidP="003241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5AD83D" w14:textId="77777777" w:rsidR="00795838" w:rsidRPr="00353C24" w:rsidRDefault="00795838" w:rsidP="00DE15C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</w:t>
            </w:r>
          </w:p>
        </w:tc>
      </w:tr>
      <w:tr w:rsidR="0032417D" w:rsidRPr="00353C24" w14:paraId="1902912A" w14:textId="77777777" w:rsidTr="0032417D">
        <w:trPr>
          <w:trHeight w:val="300"/>
          <w:jc w:val="center"/>
        </w:trPr>
        <w:tc>
          <w:tcPr>
            <w:tcW w:w="4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9888F" w14:textId="77777777" w:rsidR="0032417D" w:rsidRPr="00353C24" w:rsidRDefault="0032417D" w:rsidP="0032417D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Bacterial infection (uncomplicated)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8DC5E" w14:textId="77777777" w:rsidR="0032417D" w:rsidRPr="00353C24" w:rsidRDefault="0032417D" w:rsidP="003241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AFD41" w14:textId="77777777" w:rsidR="0032417D" w:rsidRPr="00353C24" w:rsidRDefault="0032417D" w:rsidP="0032417D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 </w:t>
            </w:r>
          </w:p>
        </w:tc>
      </w:tr>
      <w:tr w:rsidR="0032417D" w:rsidRPr="00353C24" w14:paraId="0242152C" w14:textId="77777777" w:rsidTr="0032417D">
        <w:trPr>
          <w:trHeight w:val="300"/>
          <w:jc w:val="center"/>
        </w:trPr>
        <w:tc>
          <w:tcPr>
            <w:tcW w:w="4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7B720" w14:textId="77777777" w:rsidR="0032417D" w:rsidRPr="00353C24" w:rsidRDefault="0032417D" w:rsidP="0032417D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>Fully recover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9094F" w14:textId="77777777" w:rsidR="0032417D" w:rsidRPr="00353C24" w:rsidRDefault="0032417D" w:rsidP="003241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70EDD" w14:textId="77777777" w:rsidR="0032417D" w:rsidRPr="00353C24" w:rsidRDefault="0032417D" w:rsidP="00DE15C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15</w:t>
            </w:r>
          </w:p>
        </w:tc>
      </w:tr>
      <w:tr w:rsidR="0032417D" w:rsidRPr="00353C24" w14:paraId="527243CE" w14:textId="77777777" w:rsidTr="0032417D">
        <w:trPr>
          <w:trHeight w:val="300"/>
          <w:jc w:val="center"/>
        </w:trPr>
        <w:tc>
          <w:tcPr>
            <w:tcW w:w="4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2E724" w14:textId="77777777" w:rsidR="0032417D" w:rsidRPr="00353C24" w:rsidRDefault="0032417D" w:rsidP="0032417D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>Recover with neurological sequels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A25BA" w14:textId="77777777" w:rsidR="0032417D" w:rsidRPr="00353C24" w:rsidRDefault="0032417D" w:rsidP="003241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60C49" w14:textId="77777777" w:rsidR="0032417D" w:rsidRPr="00353C24" w:rsidRDefault="0032417D" w:rsidP="00DE15C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9</w:t>
            </w:r>
          </w:p>
        </w:tc>
      </w:tr>
      <w:tr w:rsidR="0032417D" w:rsidRPr="00353C24" w14:paraId="235F43D3" w14:textId="77777777" w:rsidTr="0032417D">
        <w:trPr>
          <w:trHeight w:val="300"/>
          <w:jc w:val="center"/>
        </w:trPr>
        <w:tc>
          <w:tcPr>
            <w:tcW w:w="4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01646" w14:textId="77777777" w:rsidR="0032417D" w:rsidRPr="00353C24" w:rsidRDefault="0032417D" w:rsidP="0032417D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>Death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32624" w14:textId="77777777" w:rsidR="0032417D" w:rsidRPr="00353C24" w:rsidRDefault="0032417D" w:rsidP="003241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FB16" w14:textId="77777777" w:rsidR="0032417D" w:rsidRPr="00353C24" w:rsidRDefault="0032417D" w:rsidP="00DE15C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</w:t>
            </w:r>
          </w:p>
        </w:tc>
      </w:tr>
      <w:tr w:rsidR="00795838" w:rsidRPr="00353C24" w14:paraId="78CB4AD4" w14:textId="77777777" w:rsidTr="0032417D">
        <w:trPr>
          <w:trHeight w:val="300"/>
          <w:jc w:val="center"/>
        </w:trPr>
        <w:tc>
          <w:tcPr>
            <w:tcW w:w="4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9BE69" w14:textId="77777777" w:rsidR="00795838" w:rsidRPr="00353C24" w:rsidRDefault="00795838" w:rsidP="0032417D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>No  care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CA83EF" w14:textId="77777777" w:rsidR="00795838" w:rsidRPr="00353C24" w:rsidRDefault="00795838" w:rsidP="003241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42DBB" w14:textId="77777777" w:rsidR="00795838" w:rsidRPr="00353C24" w:rsidRDefault="00795838" w:rsidP="00DE15C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4</w:t>
            </w:r>
          </w:p>
        </w:tc>
      </w:tr>
      <w:tr w:rsidR="0032417D" w:rsidRPr="00353C24" w14:paraId="4051FE0F" w14:textId="77777777" w:rsidTr="0032417D">
        <w:trPr>
          <w:trHeight w:val="300"/>
          <w:jc w:val="center"/>
        </w:trPr>
        <w:tc>
          <w:tcPr>
            <w:tcW w:w="65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029670" w14:textId="77777777" w:rsidR="0032417D" w:rsidRPr="00353C24" w:rsidRDefault="0032417D" w:rsidP="0032417D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Viral infection</w:t>
            </w:r>
          </w:p>
        </w:tc>
      </w:tr>
      <w:tr w:rsidR="0032417D" w:rsidRPr="00353C24" w14:paraId="41D4302D" w14:textId="77777777" w:rsidTr="00981475">
        <w:trPr>
          <w:trHeight w:val="300"/>
          <w:jc w:val="center"/>
        </w:trPr>
        <w:tc>
          <w:tcPr>
            <w:tcW w:w="41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8C6835" w14:textId="77777777" w:rsidR="0032417D" w:rsidRPr="00353C24" w:rsidRDefault="0032417D" w:rsidP="0032417D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>All cases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67C2A" w14:textId="77777777" w:rsidR="0032417D" w:rsidRPr="00353C24" w:rsidRDefault="0032417D" w:rsidP="003241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638F6" w14:textId="77777777" w:rsidR="0032417D" w:rsidRPr="00353C24" w:rsidRDefault="0032417D" w:rsidP="00DE15C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10</w:t>
            </w:r>
          </w:p>
        </w:tc>
      </w:tr>
      <w:tr w:rsidR="00981475" w:rsidRPr="00353C24" w14:paraId="1171869B" w14:textId="77777777" w:rsidTr="00981475">
        <w:trPr>
          <w:trHeight w:val="300"/>
          <w:jc w:val="center"/>
        </w:trPr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8FD1A" w14:textId="329E8D7C" w:rsidR="00981475" w:rsidRPr="00353C24" w:rsidRDefault="00981475" w:rsidP="00981475">
            <w:pPr>
              <w:spacing w:after="0" w:line="240" w:lineRule="auto"/>
              <w:jc w:val="both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Malaria (treated with ACT)</w:t>
            </w:r>
            <w:r w:rsidR="00B423D5" w:rsidRPr="00353C2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- treatment effective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227E3F" w14:textId="77777777" w:rsidR="00981475" w:rsidRPr="00353C24" w:rsidRDefault="005C10AD" w:rsidP="003241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33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5232BE" w14:textId="77777777" w:rsidR="00981475" w:rsidRPr="00353C24" w:rsidRDefault="00981475" w:rsidP="00DE15C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50</w:t>
            </w:r>
          </w:p>
        </w:tc>
      </w:tr>
      <w:tr w:rsidR="00981475" w:rsidRPr="00353C24" w14:paraId="10B65DE9" w14:textId="77777777" w:rsidTr="00981475">
        <w:trPr>
          <w:trHeight w:val="300"/>
          <w:jc w:val="center"/>
        </w:trPr>
        <w:tc>
          <w:tcPr>
            <w:tcW w:w="4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5AB25" w14:textId="6ACAC26C" w:rsidR="00981475" w:rsidRPr="00353C24" w:rsidRDefault="00981475" w:rsidP="00981475">
            <w:pPr>
              <w:spacing w:after="0" w:line="240" w:lineRule="auto"/>
              <w:jc w:val="both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Non-malarial Febrile Illness (treated with antibiotics)</w:t>
            </w:r>
            <w:r w:rsidR="00211277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>-</w:t>
            </w:r>
            <w:r w:rsidR="00211277" w:rsidRPr="00353C24"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n-GB"/>
              </w:rPr>
              <w:t xml:space="preserve"> treatment effective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3852E" w14:textId="77777777" w:rsidR="00981475" w:rsidRPr="00353C24" w:rsidRDefault="00DE15C6" w:rsidP="0032417D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21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90E47" w14:textId="77777777" w:rsidR="00DE15C6" w:rsidRPr="00353C24" w:rsidRDefault="00DE15C6" w:rsidP="00DE15C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</w:p>
          <w:p w14:paraId="27058818" w14:textId="77777777" w:rsidR="00DE15C6" w:rsidRPr="00353C24" w:rsidRDefault="00DE15C6" w:rsidP="00DE15C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25</w:t>
            </w:r>
          </w:p>
          <w:p w14:paraId="1A42D371" w14:textId="77777777" w:rsidR="00DE15C6" w:rsidRPr="00353C24" w:rsidRDefault="00DE15C6" w:rsidP="00DE15C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</w:tbl>
    <w:p w14:paraId="3F3D6E8A" w14:textId="77777777" w:rsidR="00A27BCA" w:rsidRPr="00353C24" w:rsidRDefault="0080764F" w:rsidP="0032417D">
      <w:pPr>
        <w:spacing w:line="240" w:lineRule="auto"/>
        <w:jc w:val="both"/>
        <w:rPr>
          <w:sz w:val="20"/>
        </w:rPr>
      </w:pPr>
      <w:r w:rsidRPr="00353C24">
        <w:rPr>
          <w:sz w:val="24"/>
        </w:rPr>
        <w:t xml:space="preserve"> </w:t>
      </w:r>
      <w:r w:rsidR="0032417D" w:rsidRPr="00353C24">
        <w:rPr>
          <w:sz w:val="24"/>
        </w:rPr>
        <w:t xml:space="preserve">           </w:t>
      </w:r>
      <w:r w:rsidR="00A27BCA" w:rsidRPr="00353C24">
        <w:rPr>
          <w:sz w:val="20"/>
        </w:rPr>
        <w:t xml:space="preserve">           SOURCE: hypothetical parameters.</w:t>
      </w:r>
    </w:p>
    <w:p w14:paraId="32C67522" w14:textId="3F7E5D48" w:rsidR="00A27BCA" w:rsidRPr="00353C24" w:rsidRDefault="00A27BCA" w:rsidP="00025C8F">
      <w:pPr>
        <w:jc w:val="both"/>
        <w:rPr>
          <w:b/>
          <w:sz w:val="24"/>
        </w:rPr>
      </w:pPr>
    </w:p>
    <w:p w14:paraId="02885A65" w14:textId="77777777" w:rsidR="00DE1E1D" w:rsidRPr="00353C24" w:rsidRDefault="00DE1E1D" w:rsidP="00025C8F">
      <w:pPr>
        <w:jc w:val="both"/>
        <w:rPr>
          <w:b/>
          <w:sz w:val="24"/>
        </w:rPr>
      </w:pPr>
      <w:r w:rsidRPr="00353C24">
        <w:rPr>
          <w:b/>
          <w:sz w:val="24"/>
        </w:rPr>
        <w:t>COSTS:</w:t>
      </w:r>
    </w:p>
    <w:p w14:paraId="44007B48" w14:textId="5356B6D5" w:rsidR="00A27BCA" w:rsidRPr="00353C24" w:rsidRDefault="00DE1E1D" w:rsidP="00FE6301">
      <w:pPr>
        <w:spacing w:line="360" w:lineRule="auto"/>
        <w:jc w:val="both"/>
        <w:rPr>
          <w:sz w:val="24"/>
        </w:rPr>
      </w:pPr>
      <w:r w:rsidRPr="00613F12">
        <w:rPr>
          <w:sz w:val="24"/>
        </w:rPr>
        <w:t xml:space="preserve">The cost </w:t>
      </w:r>
      <w:proofErr w:type="gramStart"/>
      <w:r w:rsidRPr="00613F12">
        <w:rPr>
          <w:sz w:val="24"/>
        </w:rPr>
        <w:t>are</w:t>
      </w:r>
      <w:proofErr w:type="gramEnd"/>
      <w:r w:rsidRPr="00613F12">
        <w:rPr>
          <w:sz w:val="24"/>
        </w:rPr>
        <w:t xml:space="preserve"> calculated GBP (</w:t>
      </w:r>
      <w:r w:rsidR="00E46839" w:rsidRPr="00613F12">
        <w:rPr>
          <w:sz w:val="24"/>
        </w:rPr>
        <w:t>201</w:t>
      </w:r>
      <w:r w:rsidR="00E27E3E" w:rsidRPr="00613F12">
        <w:rPr>
          <w:sz w:val="24"/>
        </w:rPr>
        <w:t>8</w:t>
      </w:r>
      <w:r w:rsidR="00E46839" w:rsidRPr="00613F12">
        <w:rPr>
          <w:sz w:val="24"/>
        </w:rPr>
        <w:t xml:space="preserve"> </w:t>
      </w:r>
      <w:r w:rsidRPr="00613F12">
        <w:rPr>
          <w:sz w:val="24"/>
        </w:rPr>
        <w:t xml:space="preserve">prices) </w:t>
      </w:r>
      <w:r w:rsidR="00A27BCA" w:rsidRPr="00613F12">
        <w:rPr>
          <w:sz w:val="24"/>
        </w:rPr>
        <w:t xml:space="preserve">and it includes the perspective of </w:t>
      </w:r>
      <w:r w:rsidRPr="00613F12">
        <w:rPr>
          <w:sz w:val="24"/>
        </w:rPr>
        <w:t>providers and patients. RDT diagnosis includes the unit cost of the test, each kit is assumed to cost £</w:t>
      </w:r>
      <w:r w:rsidR="002C6E66" w:rsidRPr="00613F12">
        <w:rPr>
          <w:sz w:val="24"/>
        </w:rPr>
        <w:t>3</w:t>
      </w:r>
      <w:r w:rsidRPr="00613F12">
        <w:rPr>
          <w:sz w:val="24"/>
        </w:rPr>
        <w:t>.</w:t>
      </w:r>
      <w:r w:rsidR="002C6E66" w:rsidRPr="00613F12">
        <w:rPr>
          <w:sz w:val="24"/>
        </w:rPr>
        <w:t>50</w:t>
      </w:r>
      <w:r w:rsidRPr="00613F12">
        <w:rPr>
          <w:sz w:val="24"/>
        </w:rPr>
        <w:t xml:space="preserve">; diagnosis according to presumptive treatment is assumed to cost nothing. </w:t>
      </w:r>
      <w:r w:rsidR="005617AC" w:rsidRPr="00613F12">
        <w:rPr>
          <w:sz w:val="24"/>
        </w:rPr>
        <w:t xml:space="preserve">The cost of ACT is </w:t>
      </w:r>
      <w:r w:rsidR="0080764F" w:rsidRPr="00613F12">
        <w:rPr>
          <w:sz w:val="24"/>
        </w:rPr>
        <w:t>£</w:t>
      </w:r>
      <w:r w:rsidR="00A27BCA" w:rsidRPr="00613F12">
        <w:rPr>
          <w:sz w:val="24"/>
        </w:rPr>
        <w:t>2</w:t>
      </w:r>
      <w:r w:rsidR="00FC182B" w:rsidRPr="00613F12">
        <w:rPr>
          <w:sz w:val="24"/>
        </w:rPr>
        <w:t>.</w:t>
      </w:r>
      <w:r w:rsidR="00A27BCA" w:rsidRPr="00613F12">
        <w:rPr>
          <w:sz w:val="24"/>
        </w:rPr>
        <w:t>4</w:t>
      </w:r>
      <w:r w:rsidR="0080764F" w:rsidRPr="00613F12">
        <w:rPr>
          <w:sz w:val="24"/>
        </w:rPr>
        <w:t>0 (C.I. £1 - £</w:t>
      </w:r>
      <w:r w:rsidR="00A27BCA" w:rsidRPr="00613F12">
        <w:rPr>
          <w:sz w:val="24"/>
        </w:rPr>
        <w:t>3</w:t>
      </w:r>
      <w:r w:rsidR="00FC182B" w:rsidRPr="00613F12">
        <w:rPr>
          <w:sz w:val="24"/>
        </w:rPr>
        <w:t>.</w:t>
      </w:r>
      <w:r w:rsidR="00A27BCA" w:rsidRPr="00613F12">
        <w:rPr>
          <w:sz w:val="24"/>
        </w:rPr>
        <w:t>00</w:t>
      </w:r>
      <w:r w:rsidR="0080764F" w:rsidRPr="00613F12">
        <w:rPr>
          <w:sz w:val="24"/>
        </w:rPr>
        <w:t>) per adult and the cost of antibiotics is £0.</w:t>
      </w:r>
      <w:r w:rsidR="00972F55" w:rsidRPr="00613F12">
        <w:rPr>
          <w:sz w:val="24"/>
        </w:rPr>
        <w:t>90</w:t>
      </w:r>
      <w:r w:rsidR="0080764F" w:rsidRPr="00613F12">
        <w:rPr>
          <w:sz w:val="24"/>
        </w:rPr>
        <w:t xml:space="preserve"> (C.I. £0.</w:t>
      </w:r>
      <w:r w:rsidR="00972F55" w:rsidRPr="00613F12">
        <w:rPr>
          <w:sz w:val="24"/>
        </w:rPr>
        <w:t>72</w:t>
      </w:r>
      <w:r w:rsidR="0080764F" w:rsidRPr="00613F12">
        <w:rPr>
          <w:sz w:val="24"/>
        </w:rPr>
        <w:t xml:space="preserve"> - £</w:t>
      </w:r>
      <w:r w:rsidR="00972F55" w:rsidRPr="00613F12">
        <w:rPr>
          <w:sz w:val="24"/>
        </w:rPr>
        <w:t>1</w:t>
      </w:r>
      <w:r w:rsidR="0080764F" w:rsidRPr="00613F12">
        <w:rPr>
          <w:sz w:val="24"/>
        </w:rPr>
        <w:t>.</w:t>
      </w:r>
      <w:r w:rsidR="00972F55" w:rsidRPr="00613F12">
        <w:rPr>
          <w:sz w:val="24"/>
        </w:rPr>
        <w:t>20</w:t>
      </w:r>
      <w:r w:rsidR="0080764F" w:rsidRPr="00613F12">
        <w:rPr>
          <w:sz w:val="24"/>
        </w:rPr>
        <w:t xml:space="preserve">). </w:t>
      </w:r>
      <w:r w:rsidR="00A27BCA" w:rsidRPr="00613F12">
        <w:rPr>
          <w:sz w:val="24"/>
        </w:rPr>
        <w:t xml:space="preserve">The </w:t>
      </w:r>
      <w:r w:rsidR="00A27BCA" w:rsidRPr="00613F12">
        <w:rPr>
          <w:sz w:val="24"/>
        </w:rPr>
        <w:lastRenderedPageBreak/>
        <w:t>average length of stay as an inpatient is 4.5 for</w:t>
      </w:r>
      <w:r w:rsidR="00A27BCA" w:rsidRPr="00353C24">
        <w:rPr>
          <w:sz w:val="24"/>
        </w:rPr>
        <w:t xml:space="preserve"> a case of severe malaria and fully recovered and 6 for those recovered with sequels. </w:t>
      </w:r>
      <w:r w:rsidR="00FE6301" w:rsidRPr="00353C24">
        <w:rPr>
          <w:sz w:val="24"/>
        </w:rPr>
        <w:t xml:space="preserve">For severe case of bacterial infection the average length of stay is 4.5 and 3 respectively. For all illnesses the </w:t>
      </w:r>
      <w:r w:rsidR="00A27BCA" w:rsidRPr="00353C24">
        <w:rPr>
          <w:sz w:val="24"/>
        </w:rPr>
        <w:t xml:space="preserve">Average length of stay </w:t>
      </w:r>
      <w:r w:rsidR="00A6407B" w:rsidRPr="00353C24">
        <w:rPr>
          <w:sz w:val="24"/>
        </w:rPr>
        <w:t>for</w:t>
      </w:r>
      <w:r w:rsidR="00A27BCA" w:rsidRPr="00353C24">
        <w:rPr>
          <w:sz w:val="24"/>
        </w:rPr>
        <w:t xml:space="preserve"> inpatient</w:t>
      </w:r>
      <w:r w:rsidR="00A6407B" w:rsidRPr="00353C24">
        <w:rPr>
          <w:sz w:val="24"/>
        </w:rPr>
        <w:t>s</w:t>
      </w:r>
      <w:r w:rsidR="00A27BCA" w:rsidRPr="00353C24">
        <w:rPr>
          <w:sz w:val="24"/>
        </w:rPr>
        <w:t xml:space="preserve"> </w:t>
      </w:r>
      <w:r w:rsidR="00A6407B" w:rsidRPr="00353C24">
        <w:rPr>
          <w:sz w:val="24"/>
        </w:rPr>
        <w:t>who</w:t>
      </w:r>
      <w:r w:rsidR="00A27BCA" w:rsidRPr="00353C24">
        <w:rPr>
          <w:sz w:val="24"/>
        </w:rPr>
        <w:t xml:space="preserve"> died</w:t>
      </w:r>
      <w:r w:rsidR="00FE6301" w:rsidRPr="00353C24">
        <w:rPr>
          <w:sz w:val="24"/>
        </w:rPr>
        <w:t xml:space="preserve"> is 2. The number of outpatients visits for malaria is 3 for all malaria outcomes and 2 for bacterial infection (e.g., someone fully recovered, recovered with sequels or those who died from malaria will visit the outpatient services 3 times during the treatment). </w:t>
      </w:r>
    </w:p>
    <w:p w14:paraId="6186418A" w14:textId="0A3F60FD" w:rsidR="0080764F" w:rsidRPr="00353C24" w:rsidRDefault="00A27BCA" w:rsidP="00A27BCA">
      <w:pPr>
        <w:spacing w:line="240" w:lineRule="auto"/>
        <w:ind w:left="720"/>
        <w:jc w:val="both"/>
        <w:rPr>
          <w:sz w:val="24"/>
        </w:rPr>
      </w:pPr>
      <w:r w:rsidRPr="00353C24">
        <w:rPr>
          <w:sz w:val="24"/>
        </w:rPr>
        <w:t xml:space="preserve">        </w:t>
      </w:r>
      <w:r w:rsidR="0080764F" w:rsidRPr="00353C24">
        <w:rPr>
          <w:sz w:val="24"/>
        </w:rPr>
        <w:t xml:space="preserve">Table 4: direct costs of treatment </w:t>
      </w:r>
      <w:r w:rsidR="00A6407B" w:rsidRPr="00353C24">
        <w:rPr>
          <w:sz w:val="24"/>
        </w:rPr>
        <w:t>(</w:t>
      </w:r>
      <w:r w:rsidR="00E27E3E">
        <w:rPr>
          <w:sz w:val="24"/>
        </w:rPr>
        <w:t xml:space="preserve">2018 </w:t>
      </w:r>
      <w:proofErr w:type="gramStart"/>
      <w:r w:rsidR="00A6407B" w:rsidRPr="00353C24">
        <w:rPr>
          <w:sz w:val="24"/>
        </w:rPr>
        <w:t>£)</w:t>
      </w:r>
      <w:r w:rsidR="00E27E3E">
        <w:rPr>
          <w:sz w:val="24"/>
        </w:rPr>
        <w:t>*</w:t>
      </w:r>
      <w:proofErr w:type="gramEnd"/>
    </w:p>
    <w:tbl>
      <w:tblPr>
        <w:tblW w:w="66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8"/>
        <w:gridCol w:w="1701"/>
        <w:gridCol w:w="1800"/>
      </w:tblGrid>
      <w:tr w:rsidR="002E09AF" w:rsidRPr="00353C24" w14:paraId="7DE5B306" w14:textId="77777777" w:rsidTr="00A27BCA">
        <w:trPr>
          <w:trHeight w:val="300"/>
          <w:jc w:val="center"/>
        </w:trPr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768D2771" w14:textId="77777777" w:rsidR="002E09AF" w:rsidRPr="00353C24" w:rsidRDefault="002E09AF" w:rsidP="00A27B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b/>
                <w:bCs/>
                <w:color w:val="000000"/>
                <w:lang w:eastAsia="en-GB"/>
              </w:rPr>
              <w:t>Description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02F11DD" w14:textId="77777777" w:rsidR="002E09AF" w:rsidRPr="00353C24" w:rsidRDefault="002E09AF" w:rsidP="00A27B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b/>
                <w:bCs/>
                <w:color w:val="000000"/>
                <w:lang w:eastAsia="en-GB"/>
              </w:rPr>
              <w:t>Providers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8CD0FD8" w14:textId="77777777" w:rsidR="002E09AF" w:rsidRPr="00353C24" w:rsidRDefault="002E09AF" w:rsidP="00A27BCA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b/>
                <w:bCs/>
                <w:color w:val="000000"/>
                <w:lang w:eastAsia="en-GB"/>
              </w:rPr>
              <w:t>Patients</w:t>
            </w:r>
          </w:p>
        </w:tc>
      </w:tr>
      <w:tr w:rsidR="002E09AF" w:rsidRPr="00353C24" w14:paraId="6321E409" w14:textId="77777777" w:rsidTr="00A27BCA">
        <w:trPr>
          <w:trHeight w:val="300"/>
          <w:jc w:val="center"/>
        </w:trPr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7011DA0C" w14:textId="77777777" w:rsidR="002E09AF" w:rsidRPr="00353C24" w:rsidRDefault="002E09AF" w:rsidP="002E09AF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Inpatient (cost per day)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7E6FBB6" w14:textId="77777777" w:rsidR="002E09AF" w:rsidRPr="00353C24" w:rsidRDefault="002E09AF" w:rsidP="002E09AF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735370F9" w14:textId="77777777" w:rsidR="002E09AF" w:rsidRPr="00353C24" w:rsidRDefault="002E09AF" w:rsidP="002E09AF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2E09AF" w:rsidRPr="00353C24" w14:paraId="1E45C8EB" w14:textId="77777777" w:rsidTr="00A27BCA">
        <w:trPr>
          <w:trHeight w:val="300"/>
          <w:jc w:val="center"/>
        </w:trPr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2636168C" w14:textId="77777777" w:rsidR="002E09AF" w:rsidRPr="00353C24" w:rsidRDefault="002E09AF" w:rsidP="002E09AF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 xml:space="preserve">Malaria 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40BB435" w14:textId="3F6BA505" w:rsidR="002E09AF" w:rsidRPr="00353C24" w:rsidRDefault="001F7F93" w:rsidP="002E09A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>
              <w:rPr>
                <w:rFonts w:eastAsia="Times New Roman" w:cs="Calibri"/>
                <w:color w:val="000000"/>
                <w:lang w:eastAsia="en-GB"/>
              </w:rPr>
              <w:t>19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00D0356" w14:textId="7E7F6825" w:rsidR="002E09AF" w:rsidRPr="00353C24" w:rsidRDefault="002E09AF" w:rsidP="002E09A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3</w:t>
            </w:r>
            <w:r w:rsidR="00A6407B" w:rsidRPr="00353C24">
              <w:rPr>
                <w:rFonts w:eastAsia="Times New Roman" w:cs="Calibri"/>
                <w:color w:val="000000"/>
                <w:lang w:eastAsia="en-GB"/>
              </w:rPr>
              <w:t>.</w:t>
            </w:r>
            <w:r w:rsidRPr="00353C24">
              <w:rPr>
                <w:rFonts w:eastAsia="Times New Roman" w:cs="Calibri"/>
                <w:color w:val="000000"/>
                <w:lang w:eastAsia="en-GB"/>
              </w:rPr>
              <w:t>84</w:t>
            </w:r>
          </w:p>
        </w:tc>
      </w:tr>
      <w:tr w:rsidR="002E09AF" w:rsidRPr="00353C24" w14:paraId="192D8CDD" w14:textId="77777777" w:rsidTr="00A27BCA">
        <w:trPr>
          <w:trHeight w:val="300"/>
          <w:jc w:val="center"/>
        </w:trPr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7639AE91" w14:textId="77777777" w:rsidR="002E09AF" w:rsidRPr="00353C24" w:rsidRDefault="002E09AF" w:rsidP="002E09AF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>Bacterial Infection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1DEAF0A8" w14:textId="78CB560A" w:rsidR="002E09AF" w:rsidRPr="00353C24" w:rsidRDefault="002E09AF" w:rsidP="002E09A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7</w:t>
            </w:r>
            <w:r w:rsidR="00A6407B" w:rsidRPr="00353C24">
              <w:rPr>
                <w:rFonts w:eastAsia="Times New Roman" w:cs="Calibri"/>
                <w:color w:val="000000"/>
                <w:lang w:eastAsia="en-GB"/>
              </w:rPr>
              <w:t>.</w:t>
            </w:r>
            <w:r w:rsidRPr="00353C24">
              <w:rPr>
                <w:rFonts w:eastAsia="Times New Roman" w:cs="Calibri"/>
                <w:color w:val="000000"/>
                <w:lang w:eastAsia="en-GB"/>
              </w:rPr>
              <w:t>0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91F19CC" w14:textId="2BB0AE8D" w:rsidR="002E09AF" w:rsidRPr="00353C24" w:rsidRDefault="002E09AF" w:rsidP="002E09A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2</w:t>
            </w:r>
            <w:r w:rsidR="00A6407B" w:rsidRPr="00353C24">
              <w:rPr>
                <w:rFonts w:eastAsia="Times New Roman" w:cs="Calibri"/>
                <w:color w:val="000000"/>
                <w:lang w:eastAsia="en-GB"/>
              </w:rPr>
              <w:t>.</w:t>
            </w:r>
            <w:r w:rsidRPr="00353C24">
              <w:rPr>
                <w:rFonts w:eastAsia="Times New Roman" w:cs="Calibri"/>
                <w:color w:val="000000"/>
                <w:lang w:eastAsia="en-GB"/>
              </w:rPr>
              <w:t>40</w:t>
            </w:r>
          </w:p>
        </w:tc>
      </w:tr>
      <w:tr w:rsidR="002E09AF" w:rsidRPr="00353C24" w14:paraId="7B221DC0" w14:textId="77777777" w:rsidTr="00A27BCA">
        <w:trPr>
          <w:trHeight w:val="300"/>
          <w:jc w:val="center"/>
        </w:trPr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0381C764" w14:textId="77777777" w:rsidR="002E09AF" w:rsidRPr="00353C24" w:rsidRDefault="002E09AF" w:rsidP="002E09AF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Outpatient (cost per visit)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4CAF749" w14:textId="77777777" w:rsidR="002E09AF" w:rsidRPr="00353C24" w:rsidRDefault="002E09AF" w:rsidP="002E09AF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97D6897" w14:textId="77777777" w:rsidR="002E09AF" w:rsidRPr="00353C24" w:rsidRDefault="002E09AF" w:rsidP="002E09AF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2E09AF" w:rsidRPr="00353C24" w14:paraId="79EA08FE" w14:textId="77777777" w:rsidTr="00A27BCA">
        <w:trPr>
          <w:trHeight w:val="300"/>
          <w:jc w:val="center"/>
        </w:trPr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66DC5817" w14:textId="77777777" w:rsidR="002E09AF" w:rsidRPr="00353C24" w:rsidRDefault="002E09AF" w:rsidP="002E09AF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 xml:space="preserve">Malaria 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E2C689C" w14:textId="342526DF" w:rsidR="002E09AF" w:rsidRPr="00353C24" w:rsidRDefault="002E09AF" w:rsidP="002E09A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4</w:t>
            </w:r>
            <w:r w:rsidR="00A6407B" w:rsidRPr="00353C24">
              <w:rPr>
                <w:rFonts w:eastAsia="Times New Roman" w:cs="Calibri"/>
                <w:color w:val="000000"/>
                <w:lang w:eastAsia="en-GB"/>
              </w:rPr>
              <w:t>.</w:t>
            </w:r>
            <w:r w:rsidRPr="00353C24">
              <w:rPr>
                <w:rFonts w:eastAsia="Times New Roman" w:cs="Calibri"/>
                <w:color w:val="000000"/>
                <w:lang w:eastAsia="en-GB"/>
              </w:rPr>
              <w:t>62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78B604FB" w14:textId="10511613" w:rsidR="002E09AF" w:rsidRPr="00353C24" w:rsidRDefault="002E09AF" w:rsidP="002E09A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</w:t>
            </w:r>
            <w:r w:rsidR="00A6407B" w:rsidRPr="00353C24">
              <w:rPr>
                <w:rFonts w:eastAsia="Times New Roman" w:cs="Calibri"/>
                <w:color w:val="000000"/>
                <w:lang w:eastAsia="en-GB"/>
              </w:rPr>
              <w:t>.</w:t>
            </w:r>
            <w:r w:rsidRPr="00353C24">
              <w:rPr>
                <w:rFonts w:eastAsia="Times New Roman" w:cs="Calibri"/>
                <w:color w:val="000000"/>
                <w:lang w:eastAsia="en-GB"/>
              </w:rPr>
              <w:t>74</w:t>
            </w:r>
          </w:p>
        </w:tc>
      </w:tr>
      <w:tr w:rsidR="002E09AF" w:rsidRPr="00353C24" w14:paraId="067FD64B" w14:textId="77777777" w:rsidTr="00A27BCA">
        <w:trPr>
          <w:trHeight w:val="300"/>
          <w:jc w:val="center"/>
        </w:trPr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2267E333" w14:textId="77777777" w:rsidR="002E09AF" w:rsidRPr="00353C24" w:rsidRDefault="002E09AF" w:rsidP="002E09AF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>Bacterial Infection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683D6CD" w14:textId="11C8A14F" w:rsidR="002E09AF" w:rsidRPr="00353C24" w:rsidRDefault="002E09AF" w:rsidP="002E09A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1</w:t>
            </w:r>
            <w:r w:rsidR="00A6407B" w:rsidRPr="00353C24">
              <w:rPr>
                <w:rFonts w:eastAsia="Times New Roman" w:cs="Calibri"/>
                <w:color w:val="000000"/>
                <w:lang w:eastAsia="en-GB"/>
              </w:rPr>
              <w:t>.</w:t>
            </w:r>
            <w:r w:rsidRPr="00353C24">
              <w:rPr>
                <w:rFonts w:eastAsia="Times New Roman" w:cs="Calibri"/>
                <w:color w:val="000000"/>
                <w:lang w:eastAsia="en-GB"/>
              </w:rPr>
              <w:t>2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AD41D97" w14:textId="58E11556" w:rsidR="002E09AF" w:rsidRPr="00353C24" w:rsidRDefault="002E09AF" w:rsidP="002E09A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0</w:t>
            </w:r>
            <w:r w:rsidR="00A6407B" w:rsidRPr="00353C24">
              <w:rPr>
                <w:rFonts w:eastAsia="Times New Roman" w:cs="Calibri"/>
                <w:color w:val="000000"/>
                <w:lang w:eastAsia="en-GB"/>
              </w:rPr>
              <w:t>.</w:t>
            </w:r>
            <w:r w:rsidRPr="00353C24">
              <w:rPr>
                <w:rFonts w:eastAsia="Times New Roman" w:cs="Calibri"/>
                <w:color w:val="000000"/>
                <w:lang w:eastAsia="en-GB"/>
              </w:rPr>
              <w:t>80</w:t>
            </w:r>
          </w:p>
        </w:tc>
      </w:tr>
      <w:tr w:rsidR="002E09AF" w:rsidRPr="00353C24" w14:paraId="3ED8FF47" w14:textId="77777777" w:rsidTr="00A27BCA">
        <w:trPr>
          <w:trHeight w:val="300"/>
          <w:jc w:val="center"/>
        </w:trPr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714CA3B4" w14:textId="77777777" w:rsidR="002E09AF" w:rsidRPr="00353C24" w:rsidRDefault="002E09AF" w:rsidP="002E09AF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>Drug costs (Adult Doses)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243133E4" w14:textId="77777777" w:rsidR="002E09AF" w:rsidRPr="00353C24" w:rsidRDefault="002E09AF" w:rsidP="002E09AF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EA08347" w14:textId="77777777" w:rsidR="002E09AF" w:rsidRPr="00353C24" w:rsidRDefault="002E09AF" w:rsidP="002E09AF">
            <w:pPr>
              <w:spacing w:after="0" w:line="240" w:lineRule="auto"/>
              <w:rPr>
                <w:rFonts w:eastAsia="Times New Roman" w:cs="Calibri"/>
                <w:color w:val="000000"/>
                <w:lang w:eastAsia="en-GB"/>
              </w:rPr>
            </w:pPr>
          </w:p>
        </w:tc>
      </w:tr>
      <w:tr w:rsidR="002E09AF" w:rsidRPr="00353C24" w14:paraId="7B0B90CA" w14:textId="77777777" w:rsidTr="00A27BCA">
        <w:trPr>
          <w:trHeight w:val="300"/>
          <w:jc w:val="center"/>
        </w:trPr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25C62162" w14:textId="77777777" w:rsidR="002E09AF" w:rsidRPr="00353C24" w:rsidRDefault="002E09AF" w:rsidP="002E09AF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>ACT's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CFB773B" w14:textId="4DFC6294" w:rsidR="002E09AF" w:rsidRPr="00081058" w:rsidRDefault="002E09AF" w:rsidP="002E09A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081058">
              <w:rPr>
                <w:rFonts w:eastAsia="Times New Roman" w:cs="Calibri"/>
                <w:color w:val="000000"/>
                <w:lang w:eastAsia="en-GB"/>
              </w:rPr>
              <w:t>2</w:t>
            </w:r>
            <w:r w:rsidR="00A6407B" w:rsidRPr="00081058">
              <w:rPr>
                <w:rFonts w:eastAsia="Times New Roman" w:cs="Calibri"/>
                <w:color w:val="000000"/>
                <w:lang w:eastAsia="en-GB"/>
              </w:rPr>
              <w:t>.</w:t>
            </w:r>
            <w:r w:rsidRPr="00081058">
              <w:rPr>
                <w:rFonts w:eastAsia="Times New Roman" w:cs="Calibri"/>
                <w:color w:val="000000"/>
                <w:lang w:eastAsia="en-GB"/>
              </w:rPr>
              <w:t>4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619E8FB" w14:textId="77777777" w:rsidR="002E09AF" w:rsidRPr="00353C24" w:rsidRDefault="002E09AF" w:rsidP="002E09A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 xml:space="preserve">             -   </w:t>
            </w:r>
          </w:p>
        </w:tc>
      </w:tr>
      <w:tr w:rsidR="002E09AF" w:rsidRPr="00353C24" w14:paraId="372603D1" w14:textId="77777777" w:rsidTr="00A27BCA">
        <w:trPr>
          <w:trHeight w:val="300"/>
          <w:jc w:val="center"/>
        </w:trPr>
        <w:tc>
          <w:tcPr>
            <w:tcW w:w="3118" w:type="dxa"/>
            <w:shd w:val="clear" w:color="auto" w:fill="auto"/>
            <w:noWrap/>
            <w:vAlign w:val="bottom"/>
            <w:hideMark/>
          </w:tcPr>
          <w:p w14:paraId="05BE8AA6" w14:textId="77777777" w:rsidR="002E09AF" w:rsidRPr="00353C24" w:rsidRDefault="002E09AF" w:rsidP="002E09AF">
            <w:pPr>
              <w:spacing w:after="0" w:line="240" w:lineRule="auto"/>
              <w:jc w:val="right"/>
              <w:rPr>
                <w:rFonts w:eastAsia="Times New Roman" w:cs="Calibri"/>
                <w:i/>
                <w:iCs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i/>
                <w:iCs/>
                <w:color w:val="000000"/>
                <w:lang w:eastAsia="en-GB"/>
              </w:rPr>
              <w:t xml:space="preserve">Antibiotics 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9D9C01E" w14:textId="18529BD4" w:rsidR="002E09AF" w:rsidRPr="00081058" w:rsidRDefault="002E09AF" w:rsidP="002E09A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081058">
              <w:rPr>
                <w:rFonts w:eastAsia="Times New Roman" w:cs="Calibri"/>
                <w:color w:val="000000"/>
                <w:lang w:eastAsia="en-GB"/>
              </w:rPr>
              <w:t>0.</w:t>
            </w:r>
            <w:r w:rsidR="00081058" w:rsidRPr="00081058">
              <w:rPr>
                <w:rFonts w:eastAsia="Times New Roman" w:cs="Calibri"/>
                <w:color w:val="000000"/>
                <w:lang w:eastAsia="en-GB"/>
              </w:rPr>
              <w:t>90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1AC397B" w14:textId="77777777" w:rsidR="002E09AF" w:rsidRPr="00353C24" w:rsidRDefault="002E09AF" w:rsidP="002E09AF">
            <w:pPr>
              <w:spacing w:after="0" w:line="240" w:lineRule="auto"/>
              <w:jc w:val="right"/>
              <w:rPr>
                <w:rFonts w:eastAsia="Times New Roman" w:cs="Calibri"/>
                <w:color w:val="000000"/>
                <w:lang w:eastAsia="en-GB"/>
              </w:rPr>
            </w:pPr>
            <w:r w:rsidRPr="00353C24">
              <w:rPr>
                <w:rFonts w:eastAsia="Times New Roman" w:cs="Calibri"/>
                <w:color w:val="000000"/>
                <w:lang w:eastAsia="en-GB"/>
              </w:rPr>
              <w:t xml:space="preserve">             -   </w:t>
            </w:r>
          </w:p>
        </w:tc>
      </w:tr>
    </w:tbl>
    <w:p w14:paraId="486D447D" w14:textId="3D6B91A3" w:rsidR="00A27BCA" w:rsidRPr="00353C24" w:rsidRDefault="00A27BCA" w:rsidP="00A27BCA">
      <w:pPr>
        <w:jc w:val="both"/>
        <w:rPr>
          <w:sz w:val="20"/>
        </w:rPr>
      </w:pPr>
      <w:r w:rsidRPr="00353C24">
        <w:rPr>
          <w:sz w:val="20"/>
        </w:rPr>
        <w:t xml:space="preserve">                         SOURCE: </w:t>
      </w:r>
      <w:proofErr w:type="spellStart"/>
      <w:r w:rsidRPr="00353C24">
        <w:rPr>
          <w:sz w:val="20"/>
        </w:rPr>
        <w:t>Shullcutt</w:t>
      </w:r>
      <w:proofErr w:type="spellEnd"/>
      <w:r w:rsidRPr="00353C24">
        <w:rPr>
          <w:sz w:val="20"/>
        </w:rPr>
        <w:t xml:space="preserve"> et al., 2007; the numbers for BI are hypothetical. </w:t>
      </w:r>
    </w:p>
    <w:p w14:paraId="22E947E7" w14:textId="77777777" w:rsidR="002E09AF" w:rsidRPr="00353C24" w:rsidRDefault="002E09AF" w:rsidP="009967DA">
      <w:pPr>
        <w:jc w:val="both"/>
        <w:rPr>
          <w:sz w:val="24"/>
        </w:rPr>
      </w:pPr>
    </w:p>
    <w:p w14:paraId="1DCED2C7" w14:textId="4D1FE238" w:rsidR="001D5C71" w:rsidRPr="00353C24" w:rsidRDefault="001D5C71" w:rsidP="001D5C71">
      <w:pPr>
        <w:jc w:val="both"/>
        <w:rPr>
          <w:b/>
          <w:sz w:val="24"/>
        </w:rPr>
      </w:pPr>
      <w:r>
        <w:rPr>
          <w:b/>
          <w:sz w:val="24"/>
        </w:rPr>
        <w:t>METHODS</w:t>
      </w:r>
      <w:r w:rsidRPr="00353C24">
        <w:rPr>
          <w:b/>
          <w:sz w:val="24"/>
        </w:rPr>
        <w:t>:</w:t>
      </w:r>
    </w:p>
    <w:p w14:paraId="52230C9E" w14:textId="547AB43F" w:rsidR="001D5C71" w:rsidRPr="001D5C71" w:rsidRDefault="001D5C71" w:rsidP="003C5EBE">
      <w:pPr>
        <w:spacing w:line="360" w:lineRule="auto"/>
        <w:jc w:val="both"/>
        <w:rPr>
          <w:sz w:val="24"/>
        </w:rPr>
      </w:pPr>
      <w:r>
        <w:rPr>
          <w:sz w:val="24"/>
        </w:rPr>
        <w:t>I have developed a d</w:t>
      </w:r>
      <w:r w:rsidRPr="001D5C71">
        <w:rPr>
          <w:sz w:val="24"/>
        </w:rPr>
        <w:t xml:space="preserve">ecision tree </w:t>
      </w:r>
      <w:r w:rsidRPr="001D5C71">
        <w:rPr>
          <w:sz w:val="24"/>
        </w:rPr>
        <w:t>model to estimate the relative cost-effectiveness of RDTs versus presumptive treatment (PT)</w:t>
      </w:r>
      <w:r>
        <w:rPr>
          <w:sz w:val="24"/>
        </w:rPr>
        <w:t xml:space="preserve">. I have estimated the costs from health providers perspective and expressed benefits as </w:t>
      </w:r>
      <w:r w:rsidRPr="00353C24">
        <w:rPr>
          <w:sz w:val="24"/>
        </w:rPr>
        <w:t>disability-adjusted life years (DALYs) averted</w:t>
      </w:r>
      <w:r>
        <w:rPr>
          <w:sz w:val="24"/>
        </w:rPr>
        <w:t xml:space="preserve">. </w:t>
      </w:r>
      <w:r>
        <w:rPr>
          <w:bCs/>
          <w:sz w:val="24"/>
        </w:rPr>
        <w:t xml:space="preserve">Some of the parameters were obtained from </w:t>
      </w:r>
      <w:proofErr w:type="spellStart"/>
      <w:r w:rsidRPr="001D5C71">
        <w:rPr>
          <w:bCs/>
          <w:sz w:val="24"/>
        </w:rPr>
        <w:t>Shillcutt</w:t>
      </w:r>
      <w:proofErr w:type="spellEnd"/>
      <w:r w:rsidRPr="001D5C71">
        <w:rPr>
          <w:bCs/>
          <w:sz w:val="24"/>
        </w:rPr>
        <w:t>, S. et al. (2008</w:t>
      </w:r>
      <w:r>
        <w:rPr>
          <w:bCs/>
          <w:sz w:val="24"/>
        </w:rPr>
        <w:t xml:space="preserve">) study and some of them were hypothetical. I performed </w:t>
      </w:r>
      <w:r w:rsidRPr="001D5C71">
        <w:rPr>
          <w:sz w:val="24"/>
        </w:rPr>
        <w:t>deterministic and probabilistic sensitivity analyses to assess the impact of uncertainty in the model’s parameter values on the cost-effectiveness results.</w:t>
      </w:r>
      <w:r>
        <w:rPr>
          <w:sz w:val="24"/>
        </w:rPr>
        <w:t xml:space="preserve"> I</w:t>
      </w:r>
      <w:r w:rsidRPr="001D5C71">
        <w:rPr>
          <w:sz w:val="24"/>
        </w:rPr>
        <w:t xml:space="preserve"> used Monte Carlo simulations to estimate uncertainty and presented this using cost-effectiveness acceptability curve (CEAC). </w:t>
      </w:r>
    </w:p>
    <w:p w14:paraId="40D1B24F" w14:textId="2BBB3508" w:rsidR="001D5C71" w:rsidRPr="00353C24" w:rsidRDefault="001D5C71" w:rsidP="001D5C71">
      <w:pPr>
        <w:jc w:val="both"/>
        <w:rPr>
          <w:b/>
          <w:sz w:val="24"/>
        </w:rPr>
      </w:pPr>
      <w:r>
        <w:rPr>
          <w:b/>
          <w:sz w:val="24"/>
        </w:rPr>
        <w:t>RESULTS</w:t>
      </w:r>
      <w:r w:rsidRPr="00353C24">
        <w:rPr>
          <w:b/>
          <w:sz w:val="24"/>
        </w:rPr>
        <w:t>:</w:t>
      </w:r>
    </w:p>
    <w:p w14:paraId="352FC80C" w14:textId="269DBCED" w:rsidR="001D5C71" w:rsidRPr="001D5C71" w:rsidRDefault="001D5C71" w:rsidP="003C5EBE">
      <w:pPr>
        <w:spacing w:line="360" w:lineRule="auto"/>
        <w:jc w:val="both"/>
        <w:rPr>
          <w:sz w:val="24"/>
        </w:rPr>
      </w:pPr>
      <w:r w:rsidRPr="001D5C71">
        <w:rPr>
          <w:sz w:val="24"/>
        </w:rPr>
        <w:t xml:space="preserve">Average costs per person receiving </w:t>
      </w:r>
      <w:r w:rsidR="008B3F5B">
        <w:rPr>
          <w:sz w:val="24"/>
        </w:rPr>
        <w:t xml:space="preserve">RDT </w:t>
      </w:r>
      <w:r w:rsidRPr="001D5C71">
        <w:rPr>
          <w:sz w:val="24"/>
        </w:rPr>
        <w:t xml:space="preserve">were </w:t>
      </w:r>
      <w:r w:rsidR="008B3F5B">
        <w:rPr>
          <w:sz w:val="24"/>
        </w:rPr>
        <w:t>£6.74</w:t>
      </w:r>
      <w:r w:rsidRPr="001D5C71">
        <w:rPr>
          <w:sz w:val="24"/>
        </w:rPr>
        <w:t xml:space="preserve"> and receiving </w:t>
      </w:r>
      <w:r w:rsidR="003F74C4">
        <w:rPr>
          <w:sz w:val="24"/>
        </w:rPr>
        <w:t>PT</w:t>
      </w:r>
      <w:r w:rsidRPr="001D5C71">
        <w:rPr>
          <w:sz w:val="24"/>
        </w:rPr>
        <w:t xml:space="preserve"> </w:t>
      </w:r>
      <w:r w:rsidR="003F74C4">
        <w:rPr>
          <w:sz w:val="24"/>
        </w:rPr>
        <w:t xml:space="preserve">were </w:t>
      </w:r>
      <w:r w:rsidR="008B3F5B">
        <w:rPr>
          <w:sz w:val="24"/>
        </w:rPr>
        <w:t>£4.86</w:t>
      </w:r>
      <w:r w:rsidRPr="001D5C71">
        <w:rPr>
          <w:sz w:val="24"/>
        </w:rPr>
        <w:t xml:space="preserve">. Mean </w:t>
      </w:r>
      <w:r w:rsidR="008B3F5B">
        <w:rPr>
          <w:sz w:val="24"/>
        </w:rPr>
        <w:t>DALYs averted</w:t>
      </w:r>
      <w:r w:rsidRPr="001D5C71">
        <w:rPr>
          <w:sz w:val="24"/>
        </w:rPr>
        <w:t xml:space="preserve"> were </w:t>
      </w:r>
      <w:r w:rsidR="008B3F5B">
        <w:rPr>
          <w:sz w:val="24"/>
        </w:rPr>
        <w:t xml:space="preserve">19.77 </w:t>
      </w:r>
      <w:r w:rsidRPr="001D5C71">
        <w:rPr>
          <w:sz w:val="24"/>
        </w:rPr>
        <w:t xml:space="preserve">per person for </w:t>
      </w:r>
      <w:r w:rsidR="008B3F5B">
        <w:rPr>
          <w:sz w:val="24"/>
        </w:rPr>
        <w:t xml:space="preserve">RDT </w:t>
      </w:r>
      <w:r w:rsidRPr="001D5C71">
        <w:rPr>
          <w:sz w:val="24"/>
        </w:rPr>
        <w:t xml:space="preserve">and </w:t>
      </w:r>
      <w:r w:rsidR="008B3F5B">
        <w:rPr>
          <w:sz w:val="24"/>
        </w:rPr>
        <w:t>18.96</w:t>
      </w:r>
      <w:r w:rsidRPr="001D5C71">
        <w:rPr>
          <w:sz w:val="24"/>
        </w:rPr>
        <w:t xml:space="preserve"> for </w:t>
      </w:r>
      <w:r w:rsidR="003F74C4">
        <w:rPr>
          <w:sz w:val="24"/>
        </w:rPr>
        <w:t>PT</w:t>
      </w:r>
      <w:r w:rsidRPr="001D5C71">
        <w:rPr>
          <w:sz w:val="24"/>
        </w:rPr>
        <w:t xml:space="preserve">. Thus, the average incremental cost </w:t>
      </w:r>
      <w:r w:rsidRPr="001D5C71">
        <w:rPr>
          <w:sz w:val="24"/>
        </w:rPr>
        <w:lastRenderedPageBreak/>
        <w:t xml:space="preserve">per person receiving </w:t>
      </w:r>
      <w:r w:rsidR="008B3F5B">
        <w:rPr>
          <w:sz w:val="24"/>
        </w:rPr>
        <w:t>RDT</w:t>
      </w:r>
      <w:r w:rsidRPr="001D5C71">
        <w:rPr>
          <w:sz w:val="24"/>
        </w:rPr>
        <w:t xml:space="preserve"> was </w:t>
      </w:r>
      <w:r w:rsidR="008B3F5B">
        <w:rPr>
          <w:sz w:val="24"/>
        </w:rPr>
        <w:t>£1.88</w:t>
      </w:r>
      <w:r w:rsidRPr="001D5C71">
        <w:rPr>
          <w:sz w:val="24"/>
        </w:rPr>
        <w:t xml:space="preserve"> compared to </w:t>
      </w:r>
      <w:r w:rsidR="003F74C4">
        <w:rPr>
          <w:sz w:val="24"/>
        </w:rPr>
        <w:t>PT</w:t>
      </w:r>
      <w:r w:rsidRPr="001D5C71">
        <w:rPr>
          <w:sz w:val="24"/>
        </w:rPr>
        <w:t xml:space="preserve">, while the average </w:t>
      </w:r>
      <w:r w:rsidR="008B3F5B">
        <w:rPr>
          <w:sz w:val="24"/>
        </w:rPr>
        <w:t>DALY averted</w:t>
      </w:r>
      <w:r w:rsidRPr="001D5C71">
        <w:rPr>
          <w:sz w:val="24"/>
        </w:rPr>
        <w:t xml:space="preserve"> gain was 0.</w:t>
      </w:r>
      <w:r w:rsidR="008B3F5B">
        <w:rPr>
          <w:sz w:val="24"/>
        </w:rPr>
        <w:t>8</w:t>
      </w:r>
      <w:r w:rsidRPr="001D5C71">
        <w:rPr>
          <w:sz w:val="24"/>
        </w:rPr>
        <w:t xml:space="preserve">. This resulted in an ICER of </w:t>
      </w:r>
      <w:r w:rsidR="008B3F5B">
        <w:rPr>
          <w:sz w:val="24"/>
        </w:rPr>
        <w:t>£2.34</w:t>
      </w:r>
      <w:r w:rsidRPr="001D5C71">
        <w:rPr>
          <w:sz w:val="24"/>
        </w:rPr>
        <w:t xml:space="preserve"> per </w:t>
      </w:r>
      <w:r w:rsidR="008B3F5B">
        <w:rPr>
          <w:sz w:val="24"/>
        </w:rPr>
        <w:t>DALY averted</w:t>
      </w:r>
      <w:r w:rsidRPr="001D5C71">
        <w:rPr>
          <w:sz w:val="24"/>
        </w:rPr>
        <w:t xml:space="preserve">. CEAC show that the probability of </w:t>
      </w:r>
      <w:r w:rsidR="008B3F5B">
        <w:rPr>
          <w:sz w:val="24"/>
        </w:rPr>
        <w:t>R</w:t>
      </w:r>
      <w:r w:rsidR="002226C3">
        <w:rPr>
          <w:sz w:val="24"/>
        </w:rPr>
        <w:t>D</w:t>
      </w:r>
      <w:r w:rsidR="008B3F5B">
        <w:rPr>
          <w:sz w:val="24"/>
        </w:rPr>
        <w:t>T</w:t>
      </w:r>
      <w:r w:rsidRPr="001D5C71">
        <w:rPr>
          <w:sz w:val="24"/>
        </w:rPr>
        <w:t xml:space="preserve"> being cost-effective compared to </w:t>
      </w:r>
      <w:r w:rsidR="003F74C4">
        <w:rPr>
          <w:sz w:val="24"/>
        </w:rPr>
        <w:t>PT</w:t>
      </w:r>
      <w:r w:rsidRPr="001D5C71">
        <w:rPr>
          <w:sz w:val="24"/>
        </w:rPr>
        <w:t xml:space="preserve"> is 0.5</w:t>
      </w:r>
      <w:r w:rsidR="002226C3">
        <w:rPr>
          <w:sz w:val="24"/>
        </w:rPr>
        <w:t>6</w:t>
      </w:r>
      <w:r w:rsidR="00E15C98">
        <w:rPr>
          <w:sz w:val="24"/>
        </w:rPr>
        <w:t xml:space="preserve"> and </w:t>
      </w:r>
      <w:r w:rsidRPr="001D5C71">
        <w:rPr>
          <w:sz w:val="24"/>
        </w:rPr>
        <w:t>0.</w:t>
      </w:r>
      <w:r w:rsidR="002226C3">
        <w:rPr>
          <w:sz w:val="24"/>
        </w:rPr>
        <w:t>60</w:t>
      </w:r>
      <w:r w:rsidRPr="001D5C71">
        <w:rPr>
          <w:sz w:val="24"/>
        </w:rPr>
        <w:t xml:space="preserve"> </w:t>
      </w:r>
      <w:r w:rsidR="00E15C98">
        <w:rPr>
          <w:sz w:val="24"/>
        </w:rPr>
        <w:t xml:space="preserve">at the thresholds of </w:t>
      </w:r>
      <w:r w:rsidR="00E15C98">
        <w:rPr>
          <w:sz w:val="24"/>
        </w:rPr>
        <w:t>£3</w:t>
      </w:r>
      <w:r w:rsidR="00E15C98">
        <w:rPr>
          <w:sz w:val="24"/>
        </w:rPr>
        <w:t xml:space="preserve"> and </w:t>
      </w:r>
      <w:r w:rsidR="00E15C98">
        <w:rPr>
          <w:sz w:val="24"/>
        </w:rPr>
        <w:t>£5</w:t>
      </w:r>
      <w:r w:rsidR="00E15C98" w:rsidRPr="001D5C71">
        <w:rPr>
          <w:sz w:val="24"/>
        </w:rPr>
        <w:t xml:space="preserve"> </w:t>
      </w:r>
      <w:r w:rsidR="00E15C98">
        <w:rPr>
          <w:sz w:val="24"/>
        </w:rPr>
        <w:t xml:space="preserve">respectively per DALY averted. This probability increases to </w:t>
      </w:r>
      <w:r w:rsidRPr="001D5C71">
        <w:rPr>
          <w:sz w:val="24"/>
        </w:rPr>
        <w:t>0.</w:t>
      </w:r>
      <w:r w:rsidR="002226C3">
        <w:rPr>
          <w:sz w:val="24"/>
        </w:rPr>
        <w:t>65</w:t>
      </w:r>
      <w:r w:rsidRPr="001D5C71">
        <w:rPr>
          <w:sz w:val="24"/>
        </w:rPr>
        <w:t xml:space="preserve"> at </w:t>
      </w:r>
      <w:r w:rsidR="00CD08EC">
        <w:rPr>
          <w:sz w:val="24"/>
        </w:rPr>
        <w:t xml:space="preserve">the </w:t>
      </w:r>
      <w:r w:rsidRPr="001D5C71">
        <w:rPr>
          <w:sz w:val="24"/>
        </w:rPr>
        <w:t xml:space="preserve">threshold of </w:t>
      </w:r>
      <w:r w:rsidR="002226C3">
        <w:rPr>
          <w:sz w:val="24"/>
        </w:rPr>
        <w:t>£10</w:t>
      </w:r>
      <w:r w:rsidRPr="001D5C71">
        <w:rPr>
          <w:sz w:val="24"/>
        </w:rPr>
        <w:t xml:space="preserve"> per </w:t>
      </w:r>
      <w:r w:rsidR="002226C3">
        <w:rPr>
          <w:sz w:val="24"/>
        </w:rPr>
        <w:t>DALY averted</w:t>
      </w:r>
      <w:r w:rsidR="00E15C98">
        <w:rPr>
          <w:sz w:val="24"/>
        </w:rPr>
        <w:t>.</w:t>
      </w:r>
    </w:p>
    <w:p w14:paraId="419B7DBD" w14:textId="26712762" w:rsidR="00CD08EC" w:rsidRDefault="002226C3" w:rsidP="00CD08EC">
      <w:pPr>
        <w:spacing w:line="360" w:lineRule="auto"/>
        <w:jc w:val="both"/>
        <w:rPr>
          <w:sz w:val="24"/>
        </w:rPr>
      </w:pPr>
      <w:r>
        <w:rPr>
          <w:sz w:val="24"/>
        </w:rPr>
        <w:t>I conclude that RDT is more expensive but have higher benefits than PT</w:t>
      </w:r>
      <w:r w:rsidR="0086533F">
        <w:rPr>
          <w:sz w:val="24"/>
        </w:rPr>
        <w:t>. Considering GDP-based thresholds, RDT is highly cost-effective. If price of RDT decrease by £2 RDT even become cost saving.</w:t>
      </w:r>
    </w:p>
    <w:p w14:paraId="5E00939F" w14:textId="77777777" w:rsidR="00CD08EC" w:rsidRDefault="00CD08EC" w:rsidP="00CD08EC">
      <w:pPr>
        <w:spacing w:line="360" w:lineRule="auto"/>
        <w:jc w:val="both"/>
        <w:rPr>
          <w:sz w:val="24"/>
        </w:rPr>
      </w:pPr>
      <w:bookmarkStart w:id="0" w:name="_GoBack"/>
      <w:bookmarkEnd w:id="0"/>
    </w:p>
    <w:p w14:paraId="3127CCEF" w14:textId="053391E8" w:rsidR="00D31683" w:rsidRPr="00CD08EC" w:rsidRDefault="00DE1E1D" w:rsidP="00CD08EC">
      <w:pPr>
        <w:spacing w:line="360" w:lineRule="auto"/>
        <w:jc w:val="both"/>
        <w:rPr>
          <w:sz w:val="24"/>
        </w:rPr>
      </w:pPr>
      <w:r w:rsidRPr="00353C24">
        <w:rPr>
          <w:b/>
        </w:rPr>
        <w:t>R</w:t>
      </w:r>
      <w:r w:rsidR="001D5C71">
        <w:rPr>
          <w:b/>
        </w:rPr>
        <w:t>EFERENCE</w:t>
      </w:r>
    </w:p>
    <w:p w14:paraId="5EEDAC23" w14:textId="77777777" w:rsidR="00D31683" w:rsidRPr="00353C24" w:rsidRDefault="00D31683" w:rsidP="00D31683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Theme="minorHAnsi" w:eastAsiaTheme="minorEastAsia" w:hAnsiTheme="minorHAnsi" w:cs="Arial"/>
          <w:noProof/>
          <w:lang w:val="en-US" w:eastAsia="en-GB"/>
        </w:rPr>
      </w:pPr>
      <w:r w:rsidRPr="00353C24">
        <w:rPr>
          <w:rFonts w:asciiTheme="minorHAnsi" w:eastAsiaTheme="minorEastAsia" w:hAnsiTheme="minorHAnsi" w:cs="Arial"/>
          <w:noProof/>
          <w:lang w:val="en-US" w:eastAsia="en-GB"/>
        </w:rPr>
        <w:t>Shillcutt S. et al. (2008).</w:t>
      </w:r>
      <w:r w:rsidRPr="00353C24">
        <w:rPr>
          <w:rFonts w:asciiTheme="minorHAnsi" w:eastAsiaTheme="minorEastAsia" w:hAnsiTheme="minorHAnsi" w:cs="Arial"/>
          <w:i/>
          <w:noProof/>
          <w:lang w:val="en-US" w:eastAsia="en-GB"/>
        </w:rPr>
        <w:t>Cost-effectiveness of malaria diagnostic methods in sub-Saharan Africa in an era of combination therapy</w:t>
      </w:r>
      <w:r w:rsidRPr="00353C24">
        <w:rPr>
          <w:rFonts w:asciiTheme="minorHAnsi" w:eastAsiaTheme="minorEastAsia" w:hAnsiTheme="minorHAnsi" w:cs="Arial"/>
          <w:noProof/>
          <w:lang w:val="en-US" w:eastAsia="en-GB"/>
        </w:rPr>
        <w:t xml:space="preserve">. </w:t>
      </w:r>
      <w:r w:rsidRPr="00353C24">
        <w:rPr>
          <w:rFonts w:asciiTheme="minorHAnsi" w:eastAsiaTheme="minorEastAsia" w:hAnsiTheme="minorHAnsi" w:cs="Arial"/>
          <w:noProof/>
          <w:u w:val="single"/>
          <w:lang w:val="en-US" w:eastAsia="en-GB"/>
        </w:rPr>
        <w:t>Bulletin of the World Health Organization</w:t>
      </w:r>
      <w:r w:rsidRPr="00353C24">
        <w:rPr>
          <w:rFonts w:asciiTheme="minorHAnsi" w:eastAsiaTheme="minorEastAsia" w:hAnsiTheme="minorHAnsi" w:cs="Arial"/>
          <w:noProof/>
          <w:lang w:val="en-US" w:eastAsia="en-GB"/>
        </w:rPr>
        <w:t>, Vol. 86(2): 101-10.</w:t>
      </w:r>
    </w:p>
    <w:p w14:paraId="5EF1A736" w14:textId="77777777" w:rsidR="00B863D2" w:rsidRPr="00353C24" w:rsidRDefault="00B863D2" w:rsidP="00464466">
      <w:pPr>
        <w:jc w:val="both"/>
      </w:pPr>
    </w:p>
    <w:p w14:paraId="5B570D85" w14:textId="35AE9BC2" w:rsidR="001D5C71" w:rsidRDefault="001D5C71" w:rsidP="00AA7E01">
      <w:pPr>
        <w:spacing w:after="120" w:line="240" w:lineRule="auto"/>
        <w:jc w:val="both"/>
      </w:pPr>
    </w:p>
    <w:p w14:paraId="069A1F4C" w14:textId="61AF5477" w:rsidR="001D5C71" w:rsidRDefault="001D5C71" w:rsidP="00AA7E01">
      <w:pPr>
        <w:spacing w:after="120" w:line="240" w:lineRule="auto"/>
        <w:jc w:val="both"/>
      </w:pPr>
    </w:p>
    <w:p w14:paraId="1E48395E" w14:textId="53CD8059" w:rsidR="001D5C71" w:rsidRDefault="001D5C71" w:rsidP="00AA7E01">
      <w:pPr>
        <w:spacing w:after="120" w:line="240" w:lineRule="auto"/>
        <w:jc w:val="both"/>
      </w:pPr>
    </w:p>
    <w:p w14:paraId="0DC1AED3" w14:textId="5A5C9BFC" w:rsidR="001D5C71" w:rsidRDefault="001D5C71" w:rsidP="00AA7E01">
      <w:pPr>
        <w:spacing w:after="120" w:line="240" w:lineRule="auto"/>
        <w:jc w:val="both"/>
      </w:pPr>
    </w:p>
    <w:p w14:paraId="2D684ACB" w14:textId="77777777" w:rsidR="00DE1E1D" w:rsidRPr="00025C8F" w:rsidRDefault="00DE1E1D" w:rsidP="001D5C71">
      <w:pPr>
        <w:jc w:val="both"/>
      </w:pPr>
    </w:p>
    <w:sectPr w:rsidR="00DE1E1D" w:rsidRPr="00025C8F" w:rsidSect="00353C24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6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D99B8" w14:textId="77777777" w:rsidR="005C21B4" w:rsidRDefault="005C21B4">
      <w:r>
        <w:separator/>
      </w:r>
    </w:p>
  </w:endnote>
  <w:endnote w:type="continuationSeparator" w:id="0">
    <w:p w14:paraId="67416100" w14:textId="77777777" w:rsidR="005C21B4" w:rsidRDefault="005C2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56E66" w14:textId="77777777" w:rsidR="00FC182B" w:rsidRDefault="00FC182B" w:rsidP="0044590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65186">
      <w:rPr>
        <w:rStyle w:val="PageNumber"/>
        <w:noProof/>
      </w:rPr>
      <w:t>2</w:t>
    </w:r>
    <w:r>
      <w:rPr>
        <w:rStyle w:val="PageNumber"/>
      </w:rPr>
      <w:fldChar w:fldCharType="end"/>
    </w:r>
  </w:p>
  <w:p w14:paraId="00D91D52" w14:textId="77777777" w:rsidR="00FC182B" w:rsidRDefault="00FC182B" w:rsidP="00E070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F913A" w14:textId="77777777" w:rsidR="00FC182B" w:rsidRDefault="00FC182B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F65186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 w:rsidR="00F65186">
      <w:rPr>
        <w:b/>
        <w:bCs/>
        <w:noProof/>
      </w:rPr>
      <w:t>9</w:t>
    </w:r>
    <w:r>
      <w:rPr>
        <w:b/>
        <w:bCs/>
      </w:rPr>
      <w:fldChar w:fldCharType="end"/>
    </w:r>
  </w:p>
  <w:p w14:paraId="79332789" w14:textId="77777777" w:rsidR="00FC182B" w:rsidRDefault="00FC182B" w:rsidP="00E070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BFD5C" w14:textId="77777777" w:rsidR="005C21B4" w:rsidRDefault="005C21B4">
      <w:r>
        <w:separator/>
      </w:r>
    </w:p>
  </w:footnote>
  <w:footnote w:type="continuationSeparator" w:id="0">
    <w:p w14:paraId="6424AF9F" w14:textId="77777777" w:rsidR="005C21B4" w:rsidRDefault="005C21B4">
      <w:r>
        <w:continuationSeparator/>
      </w:r>
    </w:p>
  </w:footnote>
  <w:footnote w:id="1">
    <w:p w14:paraId="5F6CDB88" w14:textId="77777777" w:rsidR="00FC182B" w:rsidRDefault="00FC18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F41AD">
        <w:t xml:space="preserve">See: </w:t>
      </w:r>
      <w:hyperlink r:id="rId1" w:history="1">
        <w:r w:rsidRPr="00BC7C1F">
          <w:rPr>
            <w:rStyle w:val="Hyperlink"/>
          </w:rPr>
          <w:t>http://www.wpro.who.int/sites/rdt</w:t>
        </w:r>
      </w:hyperlink>
    </w:p>
  </w:footnote>
  <w:footnote w:id="2">
    <w:p w14:paraId="6E2EDCD3" w14:textId="77777777" w:rsidR="00FC182B" w:rsidRDefault="00FC182B">
      <w:pPr>
        <w:pStyle w:val="FootnoteText"/>
      </w:pPr>
      <w:r>
        <w:rPr>
          <w:rStyle w:val="FootnoteReference"/>
        </w:rPr>
        <w:footnoteRef/>
      </w:r>
      <w:r>
        <w:t xml:space="preserve"> Adapted from </w:t>
      </w:r>
      <w:proofErr w:type="spellStart"/>
      <w:r w:rsidRPr="00EE73F2">
        <w:t>Shillcutt</w:t>
      </w:r>
      <w:proofErr w:type="spellEnd"/>
      <w:r w:rsidRPr="00EE73F2">
        <w:t>,</w:t>
      </w:r>
      <w:r>
        <w:t xml:space="preserve"> </w:t>
      </w:r>
      <w:r w:rsidRPr="00EE73F2">
        <w:t>S. et al. (2008).</w:t>
      </w:r>
    </w:p>
  </w:footnote>
  <w:footnote w:id="3">
    <w:p w14:paraId="16DA847D" w14:textId="77777777" w:rsidR="00FC182B" w:rsidRDefault="00FC18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4D31A8">
        <w:t xml:space="preserve">For the purposes of this exercise we are ignoring potential differences in </w:t>
      </w:r>
      <w:proofErr w:type="spellStart"/>
      <w:r w:rsidRPr="004D31A8">
        <w:t>endemcity</w:t>
      </w:r>
      <w:proofErr w:type="spellEnd"/>
      <w:r w:rsidRPr="004D31A8">
        <w:t xml:space="preserve"> in </w:t>
      </w:r>
      <w:r w:rsidRPr="005238E9">
        <w:t xml:space="preserve">the epidemiological settings of sub-Saharan Africa where </w:t>
      </w:r>
      <w:r w:rsidRPr="005238E9">
        <w:rPr>
          <w:i/>
        </w:rPr>
        <w:t>Plasmodium falciparum</w:t>
      </w:r>
      <w:r w:rsidRPr="005238E9">
        <w:t xml:space="preserve"> predominates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623" w:type="pct"/>
      <w:tblInd w:w="-1152" w:type="dxa"/>
      <w:tblBorders>
        <w:insideV w:val="single" w:sz="4" w:space="0" w:color="auto"/>
      </w:tblBorders>
      <w:tblLook w:val="04A0" w:firstRow="1" w:lastRow="0" w:firstColumn="1" w:lastColumn="0" w:noHBand="0" w:noVBand="1"/>
    </w:tblPr>
    <w:tblGrid>
      <w:gridCol w:w="1125"/>
    </w:tblGrid>
    <w:tr w:rsidR="00393AA6" w:rsidRPr="0088634D" w14:paraId="5697D88D" w14:textId="77777777" w:rsidTr="00393AA6">
      <w:tc>
        <w:tcPr>
          <w:tcW w:w="1152" w:type="dxa"/>
        </w:tcPr>
        <w:p w14:paraId="7A966968" w14:textId="34345CC4" w:rsidR="00393AA6" w:rsidRPr="0088634D" w:rsidRDefault="00393AA6" w:rsidP="00393AA6">
          <w:pPr>
            <w:pStyle w:val="Header"/>
            <w:rPr>
              <w:rFonts w:ascii="Cambria" w:hAnsi="Cambria"/>
              <w:b/>
            </w:rPr>
          </w:pPr>
        </w:p>
      </w:tc>
    </w:tr>
  </w:tbl>
  <w:p w14:paraId="5AC1314C" w14:textId="77777777" w:rsidR="00353C24" w:rsidRDefault="00353C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9026"/>
    </w:tblGrid>
    <w:tr w:rsidR="001D5C71" w14:paraId="4A0297CD" w14:textId="77777777" w:rsidTr="001D5C71">
      <w:trPr>
        <w:trHeight w:val="283"/>
      </w:trPr>
      <w:tc>
        <w:tcPr>
          <w:tcW w:w="9219" w:type="dxa"/>
          <w:tcBorders>
            <w:bottom w:val="single" w:sz="18" w:space="0" w:color="808080"/>
          </w:tcBorders>
        </w:tcPr>
        <w:p w14:paraId="082EC7CA" w14:textId="77777777" w:rsidR="001D5C71" w:rsidRPr="00CE2E77" w:rsidRDefault="001D5C71" w:rsidP="00CE2E77">
          <w:pPr>
            <w:pStyle w:val="Header"/>
            <w:jc w:val="right"/>
            <w:rPr>
              <w:rFonts w:ascii="Cambria" w:hAnsi="Cambria"/>
              <w:i/>
              <w:sz w:val="36"/>
              <w:szCs w:val="36"/>
            </w:rPr>
          </w:pPr>
          <w:r w:rsidRPr="00CE2E77">
            <w:rPr>
              <w:rFonts w:ascii="Cambria" w:hAnsi="Cambria"/>
              <w:i/>
              <w:sz w:val="36"/>
              <w:szCs w:val="36"/>
            </w:rPr>
            <w:t>Economic Evaluation in Health Care</w:t>
          </w:r>
        </w:p>
      </w:tc>
    </w:tr>
  </w:tbl>
  <w:p w14:paraId="6086612C" w14:textId="77777777" w:rsidR="00FC182B" w:rsidRDefault="00FC182B" w:rsidP="00CE2E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6261A"/>
    <w:multiLevelType w:val="hybridMultilevel"/>
    <w:tmpl w:val="BFEE7E6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2518E"/>
    <w:multiLevelType w:val="multilevel"/>
    <w:tmpl w:val="B1AE030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cs="Times New Roman" w:hint="default"/>
      </w:rPr>
    </w:lvl>
  </w:abstractNum>
  <w:abstractNum w:abstractNumId="2" w15:restartNumberingAfterBreak="0">
    <w:nsid w:val="078B0C42"/>
    <w:multiLevelType w:val="hybridMultilevel"/>
    <w:tmpl w:val="F6DE4F5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91E06BE"/>
    <w:multiLevelType w:val="hybridMultilevel"/>
    <w:tmpl w:val="5B5653BC"/>
    <w:lvl w:ilvl="0" w:tplc="F01293B0">
      <w:numFmt w:val="bullet"/>
      <w:lvlText w:val="-"/>
      <w:lvlJc w:val="left"/>
      <w:pPr>
        <w:ind w:left="360" w:hanging="360"/>
      </w:pPr>
      <w:rPr>
        <w:rFonts w:ascii="Calibri" w:eastAsia="Times New Roman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C44C6E"/>
    <w:multiLevelType w:val="hybridMultilevel"/>
    <w:tmpl w:val="D84452B2"/>
    <w:lvl w:ilvl="0" w:tplc="8908619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B415B3C"/>
    <w:multiLevelType w:val="hybridMultilevel"/>
    <w:tmpl w:val="19647910"/>
    <w:lvl w:ilvl="0" w:tplc="7594102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02219"/>
    <w:multiLevelType w:val="hybridMultilevel"/>
    <w:tmpl w:val="A6F0B76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97C3D"/>
    <w:multiLevelType w:val="hybridMultilevel"/>
    <w:tmpl w:val="FEFA55CC"/>
    <w:lvl w:ilvl="0" w:tplc="890861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37E27"/>
    <w:multiLevelType w:val="hybridMultilevel"/>
    <w:tmpl w:val="BE0AFBD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2F074AD6"/>
    <w:multiLevelType w:val="hybridMultilevel"/>
    <w:tmpl w:val="5FA82E1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95514"/>
    <w:multiLevelType w:val="hybridMultilevel"/>
    <w:tmpl w:val="4C024B3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B8F1232"/>
    <w:multiLevelType w:val="hybridMultilevel"/>
    <w:tmpl w:val="7B1429B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E441E9"/>
    <w:multiLevelType w:val="hybridMultilevel"/>
    <w:tmpl w:val="B39E34B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E0684"/>
    <w:multiLevelType w:val="hybridMultilevel"/>
    <w:tmpl w:val="4B6016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55A82"/>
    <w:multiLevelType w:val="hybridMultilevel"/>
    <w:tmpl w:val="D94E3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F36B98"/>
    <w:multiLevelType w:val="hybridMultilevel"/>
    <w:tmpl w:val="BD9CB85C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D920365"/>
    <w:multiLevelType w:val="hybridMultilevel"/>
    <w:tmpl w:val="1BE0B5E8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DB244D8"/>
    <w:multiLevelType w:val="hybridMultilevel"/>
    <w:tmpl w:val="92925750"/>
    <w:lvl w:ilvl="0" w:tplc="8908619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5E6545"/>
    <w:multiLevelType w:val="hybridMultilevel"/>
    <w:tmpl w:val="4912928E"/>
    <w:lvl w:ilvl="0" w:tplc="74A0B098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882656"/>
    <w:multiLevelType w:val="hybridMultilevel"/>
    <w:tmpl w:val="DE58553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A02089"/>
    <w:multiLevelType w:val="multilevel"/>
    <w:tmpl w:val="AE161022"/>
    <w:lvl w:ilvl="0">
      <w:start w:val="1"/>
      <w:numFmt w:val="decimal"/>
      <w:lvlText w:val="%1.0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cs="Times New Roman" w:hint="default"/>
      </w:rPr>
    </w:lvl>
  </w:abstractNum>
  <w:abstractNum w:abstractNumId="21" w15:restartNumberingAfterBreak="0">
    <w:nsid w:val="6BB371CC"/>
    <w:multiLevelType w:val="hybridMultilevel"/>
    <w:tmpl w:val="B78C0968"/>
    <w:lvl w:ilvl="0" w:tplc="8DB6FA1C">
      <w:start w:val="1"/>
      <w:numFmt w:val="lowerLetter"/>
      <w:lvlText w:val="%1)"/>
      <w:lvlJc w:val="left"/>
      <w:pPr>
        <w:ind w:left="108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 w15:restartNumberingAfterBreak="0">
    <w:nsid w:val="6C816251"/>
    <w:multiLevelType w:val="hybridMultilevel"/>
    <w:tmpl w:val="7DD859A4"/>
    <w:lvl w:ilvl="0" w:tplc="E652542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3002EA"/>
    <w:multiLevelType w:val="hybridMultilevel"/>
    <w:tmpl w:val="2508025E"/>
    <w:lvl w:ilvl="0" w:tplc="DC16CFB6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C00886"/>
    <w:multiLevelType w:val="hybridMultilevel"/>
    <w:tmpl w:val="E2A0C56A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A11F6E"/>
    <w:multiLevelType w:val="multilevel"/>
    <w:tmpl w:val="0CB02122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26" w15:restartNumberingAfterBreak="0">
    <w:nsid w:val="7BF233A3"/>
    <w:multiLevelType w:val="hybridMultilevel"/>
    <w:tmpl w:val="236EABF2"/>
    <w:lvl w:ilvl="0" w:tplc="8908619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"/>
  </w:num>
  <w:num w:numId="4">
    <w:abstractNumId w:val="10"/>
  </w:num>
  <w:num w:numId="5">
    <w:abstractNumId w:val="8"/>
  </w:num>
  <w:num w:numId="6">
    <w:abstractNumId w:val="25"/>
  </w:num>
  <w:num w:numId="7">
    <w:abstractNumId w:val="20"/>
  </w:num>
  <w:num w:numId="8">
    <w:abstractNumId w:val="23"/>
  </w:num>
  <w:num w:numId="9">
    <w:abstractNumId w:val="16"/>
  </w:num>
  <w:num w:numId="10">
    <w:abstractNumId w:val="15"/>
  </w:num>
  <w:num w:numId="11">
    <w:abstractNumId w:val="21"/>
  </w:num>
  <w:num w:numId="12">
    <w:abstractNumId w:val="3"/>
  </w:num>
  <w:num w:numId="13">
    <w:abstractNumId w:val="5"/>
  </w:num>
  <w:num w:numId="14">
    <w:abstractNumId w:val="18"/>
  </w:num>
  <w:num w:numId="15">
    <w:abstractNumId w:val="12"/>
  </w:num>
  <w:num w:numId="16">
    <w:abstractNumId w:val="6"/>
  </w:num>
  <w:num w:numId="17">
    <w:abstractNumId w:val="11"/>
  </w:num>
  <w:num w:numId="18">
    <w:abstractNumId w:val="9"/>
  </w:num>
  <w:num w:numId="19">
    <w:abstractNumId w:val="24"/>
  </w:num>
  <w:num w:numId="20">
    <w:abstractNumId w:val="13"/>
  </w:num>
  <w:num w:numId="21">
    <w:abstractNumId w:val="26"/>
  </w:num>
  <w:num w:numId="22">
    <w:abstractNumId w:val="19"/>
  </w:num>
  <w:num w:numId="23">
    <w:abstractNumId w:val="4"/>
  </w:num>
  <w:num w:numId="24">
    <w:abstractNumId w:val="17"/>
  </w:num>
  <w:num w:numId="25">
    <w:abstractNumId w:val="14"/>
  </w:num>
  <w:num w:numId="26">
    <w:abstractNumId w:val="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BB"/>
    <w:rsid w:val="00013556"/>
    <w:rsid w:val="00017ECF"/>
    <w:rsid w:val="00025C8F"/>
    <w:rsid w:val="00026F44"/>
    <w:rsid w:val="00041FA6"/>
    <w:rsid w:val="00044BF4"/>
    <w:rsid w:val="000451A2"/>
    <w:rsid w:val="00047650"/>
    <w:rsid w:val="00070813"/>
    <w:rsid w:val="00081058"/>
    <w:rsid w:val="00085F11"/>
    <w:rsid w:val="000A1F33"/>
    <w:rsid w:val="000D55ED"/>
    <w:rsid w:val="0013241D"/>
    <w:rsid w:val="00156FBB"/>
    <w:rsid w:val="00161E09"/>
    <w:rsid w:val="00176429"/>
    <w:rsid w:val="001876A3"/>
    <w:rsid w:val="00187AF2"/>
    <w:rsid w:val="001A3588"/>
    <w:rsid w:val="001D5C71"/>
    <w:rsid w:val="001F7F93"/>
    <w:rsid w:val="00205F3A"/>
    <w:rsid w:val="00211277"/>
    <w:rsid w:val="00213FFE"/>
    <w:rsid w:val="00221588"/>
    <w:rsid w:val="002226C3"/>
    <w:rsid w:val="00237B97"/>
    <w:rsid w:val="00247EA6"/>
    <w:rsid w:val="002777D0"/>
    <w:rsid w:val="002803B9"/>
    <w:rsid w:val="00281182"/>
    <w:rsid w:val="002A4379"/>
    <w:rsid w:val="002C6E66"/>
    <w:rsid w:val="002E09AF"/>
    <w:rsid w:val="002F0756"/>
    <w:rsid w:val="00322FEE"/>
    <w:rsid w:val="0032417D"/>
    <w:rsid w:val="00327759"/>
    <w:rsid w:val="00335A58"/>
    <w:rsid w:val="0034379D"/>
    <w:rsid w:val="00353C24"/>
    <w:rsid w:val="00360EBB"/>
    <w:rsid w:val="003713B0"/>
    <w:rsid w:val="003743BD"/>
    <w:rsid w:val="00384BC9"/>
    <w:rsid w:val="00391FB3"/>
    <w:rsid w:val="00393AA6"/>
    <w:rsid w:val="003B690D"/>
    <w:rsid w:val="003C2FB2"/>
    <w:rsid w:val="003C3E3B"/>
    <w:rsid w:val="003C5EBE"/>
    <w:rsid w:val="003E043E"/>
    <w:rsid w:val="003F30FF"/>
    <w:rsid w:val="003F74C4"/>
    <w:rsid w:val="004203BF"/>
    <w:rsid w:val="004270C0"/>
    <w:rsid w:val="00431326"/>
    <w:rsid w:val="00433804"/>
    <w:rsid w:val="00442642"/>
    <w:rsid w:val="0044590C"/>
    <w:rsid w:val="00453A81"/>
    <w:rsid w:val="00464466"/>
    <w:rsid w:val="0046649F"/>
    <w:rsid w:val="004A4787"/>
    <w:rsid w:val="004C32F2"/>
    <w:rsid w:val="004D31A8"/>
    <w:rsid w:val="004F1A23"/>
    <w:rsid w:val="004F351F"/>
    <w:rsid w:val="00503AE9"/>
    <w:rsid w:val="00540A14"/>
    <w:rsid w:val="005541EF"/>
    <w:rsid w:val="005617AC"/>
    <w:rsid w:val="0056650B"/>
    <w:rsid w:val="00573919"/>
    <w:rsid w:val="005B10BD"/>
    <w:rsid w:val="005C10AD"/>
    <w:rsid w:val="005C21B4"/>
    <w:rsid w:val="00610E63"/>
    <w:rsid w:val="00613335"/>
    <w:rsid w:val="00613F12"/>
    <w:rsid w:val="00622FB8"/>
    <w:rsid w:val="00654DB1"/>
    <w:rsid w:val="00657B33"/>
    <w:rsid w:val="0067253E"/>
    <w:rsid w:val="00682FD3"/>
    <w:rsid w:val="006950DC"/>
    <w:rsid w:val="006A542F"/>
    <w:rsid w:val="006A6072"/>
    <w:rsid w:val="006A6542"/>
    <w:rsid w:val="006B3520"/>
    <w:rsid w:val="006C010C"/>
    <w:rsid w:val="006D074C"/>
    <w:rsid w:val="006D3830"/>
    <w:rsid w:val="006F0192"/>
    <w:rsid w:val="006F3798"/>
    <w:rsid w:val="006F3EC7"/>
    <w:rsid w:val="006F5171"/>
    <w:rsid w:val="007278B2"/>
    <w:rsid w:val="00757E1B"/>
    <w:rsid w:val="007776E5"/>
    <w:rsid w:val="00785637"/>
    <w:rsid w:val="00795838"/>
    <w:rsid w:val="007A185E"/>
    <w:rsid w:val="007A7E41"/>
    <w:rsid w:val="007B2399"/>
    <w:rsid w:val="007C2B43"/>
    <w:rsid w:val="007D6AEC"/>
    <w:rsid w:val="00804BE5"/>
    <w:rsid w:val="00805527"/>
    <w:rsid w:val="0080764F"/>
    <w:rsid w:val="00816DB0"/>
    <w:rsid w:val="008605F4"/>
    <w:rsid w:val="0086533F"/>
    <w:rsid w:val="00865BA0"/>
    <w:rsid w:val="00883C0B"/>
    <w:rsid w:val="00896E75"/>
    <w:rsid w:val="008A0C99"/>
    <w:rsid w:val="008A41D6"/>
    <w:rsid w:val="008B0DC0"/>
    <w:rsid w:val="008B2EDE"/>
    <w:rsid w:val="008B3F5B"/>
    <w:rsid w:val="008C1866"/>
    <w:rsid w:val="009110A4"/>
    <w:rsid w:val="00957C6B"/>
    <w:rsid w:val="00972F55"/>
    <w:rsid w:val="00981475"/>
    <w:rsid w:val="00985F13"/>
    <w:rsid w:val="00990D8C"/>
    <w:rsid w:val="00992474"/>
    <w:rsid w:val="009967DA"/>
    <w:rsid w:val="009A471F"/>
    <w:rsid w:val="009C093F"/>
    <w:rsid w:val="00A213C8"/>
    <w:rsid w:val="00A27BCA"/>
    <w:rsid w:val="00A503D8"/>
    <w:rsid w:val="00A6407B"/>
    <w:rsid w:val="00A85927"/>
    <w:rsid w:val="00A923C3"/>
    <w:rsid w:val="00AA6FF7"/>
    <w:rsid w:val="00AA7E01"/>
    <w:rsid w:val="00B35F0F"/>
    <w:rsid w:val="00B423D5"/>
    <w:rsid w:val="00B440A5"/>
    <w:rsid w:val="00B57E17"/>
    <w:rsid w:val="00B64D8D"/>
    <w:rsid w:val="00B73008"/>
    <w:rsid w:val="00B863C5"/>
    <w:rsid w:val="00B863D2"/>
    <w:rsid w:val="00B92103"/>
    <w:rsid w:val="00BB63AC"/>
    <w:rsid w:val="00BC6D45"/>
    <w:rsid w:val="00BC7C1F"/>
    <w:rsid w:val="00BE5587"/>
    <w:rsid w:val="00C04C8B"/>
    <w:rsid w:val="00C50867"/>
    <w:rsid w:val="00C509CD"/>
    <w:rsid w:val="00C62EB9"/>
    <w:rsid w:val="00C87287"/>
    <w:rsid w:val="00C935E5"/>
    <w:rsid w:val="00CA6AEA"/>
    <w:rsid w:val="00CD08EC"/>
    <w:rsid w:val="00CE2918"/>
    <w:rsid w:val="00CE2E77"/>
    <w:rsid w:val="00CF5746"/>
    <w:rsid w:val="00D31683"/>
    <w:rsid w:val="00D317F7"/>
    <w:rsid w:val="00D40099"/>
    <w:rsid w:val="00D64401"/>
    <w:rsid w:val="00D8783E"/>
    <w:rsid w:val="00DA1C21"/>
    <w:rsid w:val="00DA29BE"/>
    <w:rsid w:val="00DA46AF"/>
    <w:rsid w:val="00DB104F"/>
    <w:rsid w:val="00DB2405"/>
    <w:rsid w:val="00DE15C6"/>
    <w:rsid w:val="00DE1E1D"/>
    <w:rsid w:val="00DF3F65"/>
    <w:rsid w:val="00DF41AD"/>
    <w:rsid w:val="00E0703F"/>
    <w:rsid w:val="00E15C98"/>
    <w:rsid w:val="00E2461E"/>
    <w:rsid w:val="00E27E3E"/>
    <w:rsid w:val="00E45D08"/>
    <w:rsid w:val="00E46839"/>
    <w:rsid w:val="00E543BB"/>
    <w:rsid w:val="00E54714"/>
    <w:rsid w:val="00E731D7"/>
    <w:rsid w:val="00E9504C"/>
    <w:rsid w:val="00EA272F"/>
    <w:rsid w:val="00EE73F2"/>
    <w:rsid w:val="00EF182A"/>
    <w:rsid w:val="00F20A80"/>
    <w:rsid w:val="00F22A8E"/>
    <w:rsid w:val="00F2465C"/>
    <w:rsid w:val="00F41177"/>
    <w:rsid w:val="00F44724"/>
    <w:rsid w:val="00F468C6"/>
    <w:rsid w:val="00F63FAE"/>
    <w:rsid w:val="00F65186"/>
    <w:rsid w:val="00F75D4C"/>
    <w:rsid w:val="00F82649"/>
    <w:rsid w:val="00F84110"/>
    <w:rsid w:val="00FA733E"/>
    <w:rsid w:val="00FB04E3"/>
    <w:rsid w:val="00FC182B"/>
    <w:rsid w:val="00FD1D61"/>
    <w:rsid w:val="00FD45BB"/>
    <w:rsid w:val="00FD49A1"/>
    <w:rsid w:val="00FE1BF4"/>
    <w:rsid w:val="00FE6301"/>
    <w:rsid w:val="00FE7DF3"/>
    <w:rsid w:val="00FF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A43C6C"/>
  <w15:docId w15:val="{C79EDAB1-D534-6049-87D3-7281A0CD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C0B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17EC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rsid w:val="00E0703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lang w:val="en-GB"/>
    </w:rPr>
  </w:style>
  <w:style w:type="character" w:styleId="PageNumber">
    <w:name w:val="page number"/>
    <w:basedOn w:val="DefaultParagraphFont"/>
    <w:uiPriority w:val="99"/>
    <w:rsid w:val="00E0703F"/>
    <w:rPr>
      <w:rFonts w:cs="Times New Roman"/>
    </w:rPr>
  </w:style>
  <w:style w:type="paragraph" w:styleId="Header">
    <w:name w:val="header"/>
    <w:basedOn w:val="Normal"/>
    <w:link w:val="HeaderChar"/>
    <w:uiPriority w:val="99"/>
    <w:rsid w:val="00CE2E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E2E77"/>
    <w:rPr>
      <w:rFonts w:cs="Times New Roman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CE2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2E77"/>
    <w:rPr>
      <w:rFonts w:ascii="Tahoma" w:hAnsi="Tahoma" w:cs="Tahoma"/>
      <w:sz w:val="16"/>
      <w:szCs w:val="16"/>
      <w:lang w:val="en-GB"/>
    </w:rPr>
  </w:style>
  <w:style w:type="table" w:styleId="TableGrid">
    <w:name w:val="Table Grid"/>
    <w:basedOn w:val="TableNormal"/>
    <w:uiPriority w:val="99"/>
    <w:locked/>
    <w:rsid w:val="005541E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99"/>
    <w:rsid w:val="005541EF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99"/>
    <w:rsid w:val="005541EF"/>
    <w:rPr>
      <w:color w:val="365F91"/>
      <w:sz w:val="20"/>
      <w:szCs w:val="2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FootnoteText">
    <w:name w:val="footnote text"/>
    <w:basedOn w:val="Normal"/>
    <w:link w:val="FootnoteTextChar"/>
    <w:uiPriority w:val="99"/>
    <w:semiHidden/>
    <w:rsid w:val="00DF41A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DF41AD"/>
    <w:rPr>
      <w:rFonts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rsid w:val="00DF41AD"/>
    <w:rPr>
      <w:rFonts w:cs="Times New Roman"/>
      <w:vertAlign w:val="superscript"/>
    </w:rPr>
  </w:style>
  <w:style w:type="character" w:styleId="Hyperlink">
    <w:name w:val="Hyperlink"/>
    <w:basedOn w:val="DefaultParagraphFont"/>
    <w:uiPriority w:val="99"/>
    <w:rsid w:val="00DF41AD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rsid w:val="00CA6AE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CA6AEA"/>
    <w:rPr>
      <w:rFonts w:cs="Times New Roman"/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rsid w:val="00CA6AEA"/>
    <w:rPr>
      <w:rFonts w:cs="Times New Roman"/>
      <w:vertAlign w:val="superscript"/>
    </w:rPr>
  </w:style>
  <w:style w:type="character" w:styleId="CommentReference">
    <w:name w:val="annotation reference"/>
    <w:basedOn w:val="DefaultParagraphFont"/>
    <w:uiPriority w:val="99"/>
    <w:semiHidden/>
    <w:rsid w:val="007B2399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7B23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55FE"/>
    <w:rPr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B23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55FE"/>
    <w:rPr>
      <w:b/>
      <w:bCs/>
      <w:sz w:val="20"/>
      <w:szCs w:val="20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6407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4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4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4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2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pro.who.int/sites/rd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CDACC-0C8C-4D40-BE6E-D8C73FF35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1560</Words>
  <Characters>8898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Economic Evaluation in Health Care</vt:lpstr>
    </vt:vector>
  </TitlesOfParts>
  <Company>TOSHIBA</Company>
  <LinksUpToDate>false</LinksUpToDate>
  <CharactersWithSpaces>10438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Evaluation in Health Care</dc:title>
  <dc:subject/>
  <dc:creator>Edson</dc:creator>
  <cp:keywords/>
  <dc:description/>
  <cp:lastModifiedBy>Migle Apanaviciute</cp:lastModifiedBy>
  <cp:revision>3</cp:revision>
  <cp:lastPrinted>2013-05-08T15:46:00Z</cp:lastPrinted>
  <dcterms:created xsi:type="dcterms:W3CDTF">2021-06-30T15:15:00Z</dcterms:created>
  <dcterms:modified xsi:type="dcterms:W3CDTF">2021-06-30T15:20:00Z</dcterms:modified>
</cp:coreProperties>
</file>