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center"/>
        <w:spacing w:after="160"/>
      </w:pPr>
      <w:r>
        <w:rPr>
          <w:b/>
          <w:sz w:val="40"/>
          <w:color w:val="0B2545"/>
        </w:rPr>
        <w:t>HƯỚNG DẪN SỬ DỤNG</w:t>
      </w:r>
    </w:p>
    <w:p>
      <w:pPr>
        <w:jc w:val="center"/>
        <w:spacing w:after="360"/>
      </w:pPr>
      <w:r>
        <w:rPr>
          <w:sz w:val="24"/>
          <w:color w:val="555555"/>
          <w:i/>
        </w:rPr>
        <w:t>Đối chiếu dữ liệu giữa CRBT16M và CRBT21M</w:t>
      </w:r>
    </w:p>
    <w:tbl>
      <w:tblPr>
        <w:tblW w:w="9360" w:type="dxa"/>
        <w:tblBorders>
          <w:top w:val="single" w:sz="4" w:color="B4C7E7"/>
          <w:left w:val="single" w:sz="4" w:color="B4C7E7"/>
          <w:bottom w:val="single" w:sz="4" w:color="B4C7E7"/>
          <w:right w:val="single" w:sz="4" w:color="B4C7E7"/>
        </w:tblBorders>
        <w:shd w:fill="E8EEF5"/>
      </w:tblPr>
      <w:tr>
        <w:tc>
          <w:tcPr>
            <w:tcW w:w="9360" w:type="dxa"/>
            <w:tcMar>
              <w:top w:w="100" w:type="dxa"/>
              <w:start w:w="140" w:type="dxa"/>
              <w:bottom w:w="100" w:type="dxa"/>
              <w:end w:w="140" w:type="dxa"/>
            </w:tcMar>
          </w:tcPr>
          <w:p>
            <w:r>
              <w:rPr>
                <w:b/>
                <w:color w:val="0B2545"/>
              </w:rPr>
              <w:t>Mục đích: </w:t>
            </w:r>
            <w:r>
              <w:t>Hướng dẫn người vận hành chuẩn bị cấu hình, chọn cách đối chiếu và đọc kết quả kiểm tra dữ liệu.</w:t>
            </w:r>
          </w:p>
        </w:tc>
      </w:tr>
    </w:tbl>
    <w:p/>
    <w:p>
      <w:pPr>
        <w:pStyle w:val="Heading1"/>
      </w:pPr>
      <w:r>
        <w:t xml:space="preserve">1. Tổng quan</w:t>
      </w:r>
    </w:p>
    <w:p>
      <w:pPr>
        <w:pStyle w:val="Normal"/>
      </w:pPr>
      <w:r>
        <w:t xml:space="preserve">Công cụ hỗ trợ kiểm tra dữ liệu giữa hai môi trường. Người sử dụng có thể kiểm tra chi tiết từng bản ghi hoặc kiểm tra nhanh tổng số bản ghi của từng bảng.</w:t>
      </w:r>
    </w:p>
    <w:p>
      <w:pPr>
        <w:pStyle w:val="Heading1"/>
      </w:pPr>
      <w:r>
        <w:t xml:space="preserve">2. Mô tả cấu hình</w:t>
      </w:r>
    </w:p>
    <w:p>
      <w:pPr>
        <w:pStyle w:val="Normal"/>
      </w:pPr>
      <w:r>
        <w:t xml:space="preserve">Các thiết lập vận hành nằm trong tệp config.properties. Tệp này quyết định cách kiểm tra, nơi lưu kết quả và số lượng dữ liệu được xử lý trong mỗi lượt.</w:t>
      </w:r>
    </w:p>
    <w:tbl>
      <w:tblPr>
        <w:tblW w:w="9360" w:type="dxa"/>
        <w:tblBorders>
          <w:top w:val="single" w:sz="4" w:color="B4C7E7"/>
          <w:left w:val="single" w:sz="4" w:color="B4C7E7"/>
          <w:bottom w:val="single" w:sz="4" w:color="B4C7E7"/>
          <w:right w:val="single" w:sz="4" w:color="B4C7E7"/>
          <w:insideH w:val="single" w:sz="4" w:color="D9E2F3"/>
          <w:insideV w:val="single" w:sz="4" w:color="D9E2F3"/>
        </w:tblBorders>
        <w:tblGrid>
          <w:gridCol w:w="2850"/>
          <w:gridCol w:w="6510"/>
        </w:tblGrid>
      </w:tblPr>
      <w:tr>
        <w:tc>
          <w:tcPr>
            <w:tcW w:w="2850" w:type="dxa"/>
            <w:shd w:fill="2E74B5"/>
            <w:tcMar>
              <w:top w:w="80" w:type="dxa"/>
              <w:start w:w="120" w:type="dxa"/>
              <w:bottom w:w="80" w:type="dxa"/>
              <w:end w:w="120" w:type="dxa"/>
            </w:tcMar>
          </w:tcPr>
          <w:p>
            <w:r>
              <w:rPr>
                <w:b/>
                <w:color w:val="FFFFFF"/>
              </w:rPr>
              <w:t>Tên thiết lập</w:t>
            </w:r>
          </w:p>
        </w:tc>
        <w:tc>
          <w:tcPr>
            <w:tcW w:w="6510" w:type="dxa"/>
            <w:shd w:fill="2E74B5"/>
            <w:tcMar>
              <w:top w:w="80" w:type="dxa"/>
              <w:start w:w="120" w:type="dxa"/>
              <w:bottom w:w="80" w:type="dxa"/>
              <w:end w:w="120" w:type="dxa"/>
            </w:tcMar>
          </w:tcPr>
          <w:p>
            <w:r>
              <w:rPr>
                <w:b/>
                <w:color w:val="FFFFFF"/>
              </w:rPr>
              <w:t>Mô tả và cách dùng</w:t>
            </w:r>
          </w:p>
        </w:tc>
      </w:tr>
      <w:tr>
        <w:tc>
          <w:tcPr>
            <w:tcW w:w="2850" w:type="dxa"/>
            <w:tcMar>
              <w:top w:w="80" w:type="dxa"/>
              <w:start w:w="120" w:type="dxa"/>
              <w:bottom w:w="80" w:type="dxa"/>
              <w:end w:w="120" w:type="dxa"/>
            </w:tcMar>
          </w:tcPr>
          <w:p>
            <w:r>
              <w:rPr>
                <w:color w:val="000000"/>
              </w:rPr>
              <w:t>MODE</w:t>
            </w:r>
          </w:p>
        </w:tc>
        <w:tc>
          <w:tcPr>
            <w:tcW w:w="6510" w:type="dxa"/>
            <w:tcMar>
              <w:top w:w="80" w:type="dxa"/>
              <w:start w:w="120" w:type="dxa"/>
              <w:bottom w:w="80" w:type="dxa"/>
              <w:end w:w="120" w:type="dxa"/>
            </w:tcMar>
          </w:tcPr>
          <w:p>
            <w:r>
              <w:rPr>
                <w:color w:val="000000"/>
              </w:rPr>
              <w:t>Chọn cách kiểm tra. MODE=1: kiểm tra chi tiết từng bản ghi và từng thông tin. MODE=2: chỉ đếm số bản ghi của mỗi bảng.</w:t>
            </w:r>
          </w:p>
        </w:tc>
      </w:tr>
      <w:tr>
        <w:tc>
          <w:tcPr>
            <w:tcW w:w="2850" w:type="dxa"/>
            <w:tcMar>
              <w:top w:w="80" w:type="dxa"/>
              <w:start w:w="120" w:type="dxa"/>
              <w:bottom w:w="80" w:type="dxa"/>
              <w:end w:w="120" w:type="dxa"/>
            </w:tcMar>
          </w:tcPr>
          <w:p>
            <w:r>
              <w:rPr>
                <w:color w:val="000000"/>
              </w:rPr>
              <w:t>PATH_STATISTICS_FILE</w:t>
            </w:r>
          </w:p>
        </w:tc>
        <w:tc>
          <w:tcPr>
            <w:tcW w:w="6510" w:type="dxa"/>
            <w:tcMar>
              <w:top w:w="80" w:type="dxa"/>
              <w:start w:w="120" w:type="dxa"/>
              <w:bottom w:w="80" w:type="dxa"/>
              <w:end w:w="120" w:type="dxa"/>
            </w:tcMar>
          </w:tcPr>
          <w:p>
            <w:r>
              <w:rPr>
                <w:color w:val="000000"/>
              </w:rPr>
              <w:t>Thư mục lưu báo cáo kết quả. Giá trị . nghĩa là lưu báo cáo ngay tại thư mục đang chạy công cụ. Có thể thay bằng đường dẫn thư mục được phép ghi.</w:t>
            </w:r>
          </w:p>
        </w:tc>
      </w:tr>
      <w:tr>
        <w:tc>
          <w:tcPr>
            <w:tcW w:w="2850" w:type="dxa"/>
            <w:tcMar>
              <w:top w:w="80" w:type="dxa"/>
              <w:start w:w="120" w:type="dxa"/>
              <w:bottom w:w="80" w:type="dxa"/>
              <w:end w:w="120" w:type="dxa"/>
            </w:tcMar>
          </w:tcPr>
          <w:p>
            <w:r>
              <w:rPr>
                <w:color w:val="000000"/>
              </w:rPr>
              <w:t>BATCH_SIZE</w:t>
            </w:r>
          </w:p>
        </w:tc>
        <w:tc>
          <w:tcPr>
            <w:tcW w:w="6510" w:type="dxa"/>
            <w:tcMar>
              <w:top w:w="80" w:type="dxa"/>
              <w:start w:w="120" w:type="dxa"/>
              <w:bottom w:w="80" w:type="dxa"/>
              <w:end w:w="120" w:type="dxa"/>
            </w:tcMar>
          </w:tcPr>
          <w:p>
            <w:r>
              <w:rPr>
                <w:color w:val="000000"/>
              </w:rPr>
              <w:t>Số bản ghi được đọc trong một lượt khi kiểm tra chi tiết. Giá trị thông thường là 1000. Có thể giảm khi máy hoặc đường truyền chậm; tăng khi dữ liệu lớn và môi trường ổn định.</w:t>
            </w:r>
          </w:p>
        </w:tc>
      </w:tr>
    </w:tbl>
    <w:p/>
    <w:p>
      <w:pPr>
        <w:pStyle w:val="Heading2"/>
      </w:pPr>
      <w:r>
        <w:t xml:space="preserve">2.1. Danh sách bảng cần kiểm tra</w:t>
      </w:r>
    </w:p>
    <w:p>
      <w:pPr>
        <w:pStyle w:val="Normal"/>
      </w:pPr>
      <w:r>
        <w:t xml:space="preserve">Danh sách nằm trong tệp tableList.txt. Mỗi dòng có dạng: TÊN_BẢNG|CỘT_NHẬN_DIỆN|CỘT_BỎ_QUA. Ví dụ: SUBS_INFO|MSISDN|ignoreColumn1,ignoreColumn2.</w:t>
      </w:r>
    </w:p>
    <w:p>
      <w:pPr>
        <w:spacing w:after="80"/>
        <w:ind w:left="420" w:hanging="220"/>
      </w:pPr>
      <w:r>
        <w:rPr>
          <w:b/>
          <w:color w:val="2E74B5"/>
        </w:rPr>
        <w:t>• </w:t>
      </w:r>
      <w:r>
        <w:t>Cột nhận diện là thông tin dùng để tìm đúng một bản ghi tương ứng ở hai môi trường.</w:t>
      </w:r>
    </w:p>
    <w:p>
      <w:pPr>
        <w:spacing w:after="80"/>
        <w:ind w:left="420" w:hanging="220"/>
      </w:pPr>
      <w:r>
        <w:rPr>
          <w:b/>
          <w:color w:val="2E74B5"/>
        </w:rPr>
        <w:t>• </w:t>
      </w:r>
      <w:r>
        <w:t>Cột bỏ qua là thông tin được phép khác nhau và sẽ không được xét trong kết quả chi tiết.</w:t>
      </w:r>
    </w:p>
    <w:p>
      <w:pPr>
        <w:spacing w:after="80"/>
        <w:ind w:left="420" w:hanging="220"/>
      </w:pPr>
      <w:r>
        <w:rPr>
          <w:b/>
          <w:color w:val="2E74B5"/>
        </w:rPr>
        <w:t>• </w:t>
      </w:r>
      <w:r>
        <w:t>Dòng trống và dòng bắt đầu bằng dấu # không được đưa vào kiểm tra.</w:t>
      </w:r>
    </w:p>
    <w:p>
      <w:pPr>
        <w:pStyle w:val="Heading2"/>
      </w:pPr>
      <w:r>
        <w:t xml:space="preserve">2.2. Thông tin truy cập hai môi trường</w:t>
      </w:r>
    </w:p>
    <w:p>
      <w:pPr>
        <w:pStyle w:val="Normal"/>
      </w:pPr>
      <w:r>
        <w:t xml:space="preserve">Hai tệp trong thư mục crbt16m và crbt21m lưu địa chỉ kết nối, tên môi trường, tài khoản và mật khẩu. Trước khi chạy, cần bảo đảm tài khoản có quyền xem dữ liệu của các bảng đã khai báo.</w:t>
      </w:r>
    </w:p>
    <w:tbl>
      <w:tblPr>
        <w:tblW w:w="9360" w:type="dxa"/>
        <w:tblBorders>
          <w:top w:val="single" w:sz="4" w:color="B4C7E7"/>
          <w:left w:val="single" w:sz="4" w:color="B4C7E7"/>
          <w:bottom w:val="single" w:sz="4" w:color="B4C7E7"/>
          <w:right w:val="single" w:sz="4" w:color="B4C7E7"/>
        </w:tblBorders>
        <w:shd w:fill="E8EEF5"/>
      </w:tblPr>
      <w:tr>
        <w:tc>
          <w:tcPr>
            <w:tcW w:w="9360" w:type="dxa"/>
            <w:tcMar>
              <w:top w:w="100" w:type="dxa"/>
              <w:start w:w="140" w:type="dxa"/>
              <w:bottom w:w="100" w:type="dxa"/>
              <w:end w:w="140" w:type="dxa"/>
            </w:tcMar>
          </w:tcPr>
          <w:p>
            <w:r>
              <w:rPr>
                <w:b/>
                <w:color w:val="0B2545"/>
              </w:rPr>
              <w:t>Lưu ý bảo mật: </w:t>
            </w:r>
            <w:r>
              <w:t>Không gửi các tệp có tài khoản và mật khẩu cho người không được phân quyền. Khi mật khẩu thay đổi, cần cập nhật thông tin truy cập trước khi chạy.</w:t>
            </w:r>
          </w:p>
        </w:tc>
      </w:tr>
    </w:tbl>
    <w:p/>
    <w:p>
      <w:pPr>
        <w:pStyle w:val="Heading1"/>
      </w:pPr>
      <w:r>
        <w:t xml:space="preserve">3. Luồng so sánh chi tiết từng bản ghi/cột</w:t>
      </w:r>
    </w:p>
    <w:p>
      <w:pPr>
        <w:pStyle w:val="Normal"/>
      </w:pPr>
      <w:r>
        <w:t xml:space="preserve">Chế độ này áp dụng khi MODE=1. Mục tiêu là xác định rõ bản ghi nào thiếu, bản ghi nào có thông tin khác nhau và khác ở thông tin nào.</w:t>
      </w:r>
    </w:p>
    <w:p>
      <w:pPr>
        <w:spacing w:after="100"/>
        <w:ind w:left="440" w:hanging="300"/>
      </w:pPr>
      <w:r>
        <w:rPr>
          <w:b/>
          <w:color w:val="1F4D78"/>
        </w:rPr>
        <w:t>1. Khởi động kiểm tra: </w:t>
      </w:r>
      <w:r>
        <w:t>Công cụ đọc các thiết lập trong config.properties.</w:t>
      </w:r>
    </w:p>
    <w:p>
      <w:pPr>
        <w:spacing w:after="100"/>
        <w:ind w:left="440" w:hanging="300"/>
      </w:pPr>
      <w:r>
        <w:rPr>
          <w:b/>
          <w:color w:val="1F4D78"/>
        </w:rPr>
        <w:t>2. Xác định chế độ: </w:t>
      </w:r>
      <w:r>
        <w:t>Xác nhận đang chọn MODE=1 để kiểm tra chi tiết.</w:t>
      </w:r>
    </w:p>
    <w:p>
      <w:pPr>
        <w:spacing w:after="100"/>
        <w:ind w:left="440" w:hanging="300"/>
      </w:pPr>
      <w:r>
        <w:rPr>
          <w:b/>
          <w:color w:val="1F4D78"/>
        </w:rPr>
        <w:t>3. Chuẩn bị nơi lưu báo cáo: </w:t>
      </w:r>
      <w:r>
        <w:t>Kiểm tra thư mục đã chọn tại PATH_STATISTICS_FILE; nếu chưa có thì tạo thư mục.</w:t>
      </w:r>
    </w:p>
    <w:p>
      <w:pPr>
        <w:spacing w:after="100"/>
        <w:ind w:left="440" w:hanging="300"/>
      </w:pPr>
      <w:r>
        <w:rPr>
          <w:b/>
          <w:color w:val="1F4D78"/>
        </w:rPr>
        <w:t>4. Đọc danh sách bảng: </w:t>
      </w:r>
      <w:r>
        <w:t>Lấy từng dòng hợp lệ trong tableList.txt.</w:t>
      </w:r>
    </w:p>
    <w:p>
      <w:pPr>
        <w:spacing w:after="100"/>
        <w:ind w:left="440" w:hanging="300"/>
      </w:pPr>
      <w:r>
        <w:rPr>
          <w:b/>
          <w:color w:val="1F4D78"/>
        </w:rPr>
        <w:t>5. Đọc thông tin từng bảng: </w:t>
      </w:r>
      <w:r>
        <w:t>Xác định tên bảng, cột nhận diện và các cột bỏ qua.</w:t>
      </w:r>
    </w:p>
    <w:p>
      <w:pPr>
        <w:spacing w:after="100"/>
        <w:ind w:left="440" w:hanging="300"/>
      </w:pPr>
      <w:r>
        <w:rPr>
          <w:b/>
          <w:color w:val="1F4D78"/>
        </w:rPr>
        <w:t>6. Kết nối môi trường thứ nhất: </w:t>
      </w:r>
      <w:r>
        <w:t>Mở quyền truy cập dữ liệu tại CRBT16M.</w:t>
      </w:r>
    </w:p>
    <w:p>
      <w:pPr>
        <w:spacing w:after="100"/>
        <w:ind w:left="440" w:hanging="300"/>
      </w:pPr>
      <w:r>
        <w:rPr>
          <w:b/>
          <w:color w:val="1F4D78"/>
        </w:rPr>
        <w:t>7. Kết nối môi trường thứ hai: </w:t>
      </w:r>
      <w:r>
        <w:t>Mở quyền truy cập dữ liệu tại CRBT21M.</w:t>
      </w:r>
    </w:p>
    <w:p>
      <w:pPr>
        <w:spacing w:after="100"/>
        <w:ind w:left="440" w:hanging="300"/>
      </w:pPr>
      <w:r>
        <w:rPr>
          <w:b/>
          <w:color w:val="1F4D78"/>
        </w:rPr>
        <w:t>8. Kiểm tra sự tồn tại của bảng: </w:t>
      </w:r>
      <w:r>
        <w:t>Xác nhận bảng có ở cả hai môi trường.</w:t>
      </w:r>
    </w:p>
    <w:p>
      <w:pPr>
        <w:spacing w:after="100"/>
        <w:ind w:left="440" w:hanging="300"/>
      </w:pPr>
      <w:r>
        <w:rPr>
          <w:b/>
          <w:color w:val="1F4D78"/>
        </w:rPr>
        <w:t>9. Kiểm tra cột nhận diện: </w:t>
      </w:r>
      <w:r>
        <w:t>Xác nhận cột nhận diện có trong bảng ở cả hai môi trường.</w:t>
      </w:r>
    </w:p>
    <w:p>
      <w:pPr>
        <w:spacing w:after="100"/>
        <w:ind w:left="440" w:hanging="300"/>
      </w:pPr>
      <w:r>
        <w:rPr>
          <w:b/>
          <w:color w:val="1F4D78"/>
        </w:rPr>
        <w:t>10. Kiểm tra tính duy nhất: </w:t>
      </w:r>
      <w:r>
        <w:t>Xác nhận cột nhận diện không làm trùng bản ghi khi đối chiếu.</w:t>
      </w:r>
    </w:p>
    <w:p>
      <w:pPr>
        <w:spacing w:after="100"/>
        <w:ind w:left="440" w:hanging="300"/>
      </w:pPr>
      <w:r>
        <w:rPr>
          <w:b/>
          <w:color w:val="1F4D78"/>
        </w:rPr>
        <w:t>11. Kiểm tra cột bỏ qua: </w:t>
      </w:r>
      <w:r>
        <w:t>Xác nhận các cột được bỏ qua có tồn tại và không trùng với cột nhận diện.</w:t>
      </w:r>
    </w:p>
    <w:p>
      <w:pPr>
        <w:spacing w:after="100"/>
        <w:ind w:left="440" w:hanging="300"/>
      </w:pPr>
      <w:r>
        <w:rPr>
          <w:b/>
          <w:color w:val="1F4D78"/>
        </w:rPr>
        <w:t>12. Chọn thông tin cần kiểm tra: </w:t>
      </w:r>
      <w:r>
        <w:t>Loại cột nhận diện, các cột bỏ qua và chỉ giữ những thông tin có ở cả hai môi trường.</w:t>
      </w:r>
    </w:p>
    <w:p>
      <w:pPr>
        <w:spacing w:after="100"/>
        <w:ind w:left="440" w:hanging="300"/>
      </w:pPr>
      <w:r>
        <w:rPr>
          <w:b/>
          <w:color w:val="1F4D78"/>
        </w:rPr>
        <w:t>13. Đọc dữ liệu theo từng lượt: </w:t>
      </w:r>
      <w:r>
        <w:t>Lấy dữ liệu theo số lượng BATCH_SIZE, sắp theo cột nhận diện.</w:t>
      </w:r>
    </w:p>
    <w:p>
      <w:pPr>
        <w:spacing w:after="100"/>
        <w:ind w:left="440" w:hanging="300"/>
      </w:pPr>
      <w:r>
        <w:rPr>
          <w:b/>
          <w:color w:val="1F4D78"/>
        </w:rPr>
        <w:t>14. Đặt bản ghi tương ứng cạnh nhau: </w:t>
      </w:r>
      <w:r>
        <w:t>Dùng cột nhận diện để ghép bản ghi giữa CRBT16M và CRBT21M.</w:t>
      </w:r>
    </w:p>
    <w:p>
      <w:pPr>
        <w:spacing w:after="100"/>
        <w:ind w:left="440" w:hanging="300"/>
      </w:pPr>
      <w:r>
        <w:rPr>
          <w:b/>
          <w:color w:val="1F4D78"/>
        </w:rPr>
        <w:t>15. Kiểm tra bản ghi có ở cả hai nơi: </w:t>
      </w:r>
      <w:r>
        <w:t>Nếu có, so sánh lần lượt từng thông tin đã chọn.</w:t>
      </w:r>
    </w:p>
    <w:p>
      <w:pPr>
        <w:spacing w:after="100"/>
        <w:ind w:left="440" w:hanging="300"/>
      </w:pPr>
      <w:r>
        <w:rPr>
          <w:b/>
          <w:color w:val="1F4D78"/>
        </w:rPr>
        <w:t>16. Ghi nhận bản ghi khác nhau: </w:t>
      </w:r>
      <w:r>
        <w:t>Nếu có thông tin khác nhau, lưu tên thông tin và giá trị của hai môi trường.</w:t>
      </w:r>
    </w:p>
    <w:p>
      <w:pPr>
        <w:spacing w:after="100"/>
        <w:ind w:left="440" w:hanging="300"/>
      </w:pPr>
      <w:r>
        <w:rPr>
          <w:b/>
          <w:color w:val="1F4D78"/>
        </w:rPr>
        <w:t>17. Ghi nhận bản ghi bị thiếu: </w:t>
      </w:r>
      <w:r>
        <w:t>Nếu bản ghi chỉ có ở một môi trường, ghi rõ môi trường còn lại không có bản ghi này.</w:t>
      </w:r>
    </w:p>
    <w:p>
      <w:pPr>
        <w:spacing w:after="100"/>
        <w:ind w:left="440" w:hanging="300"/>
      </w:pPr>
      <w:r>
        <w:rPr>
          <w:b/>
          <w:color w:val="1F4D78"/>
        </w:rPr>
        <w:t>18. Tổng hợp và xuất báo cáo: </w:t>
      </w:r>
      <w:r>
        <w:t>Tính tổng số bản ghi, số khớp, số không khớp; sau đó tạo tệp kết quả và đóng các kết nối.</w:t>
      </w:r>
    </w:p>
    <w:p>
      <w:pPr>
        <w:pStyle w:val="Heading2"/>
      </w:pPr>
      <w:r>
        <w:t xml:space="preserve">3.1. Cách đọc kết quả chi tiết</w:t>
      </w:r>
    </w:p>
    <w:tbl>
      <w:tblPr>
        <w:tblW w:w="9360" w:type="dxa"/>
        <w:tblBorders>
          <w:top w:val="single" w:sz="4" w:color="B4C7E7"/>
          <w:left w:val="single" w:sz="4" w:color="B4C7E7"/>
          <w:bottom w:val="single" w:sz="4" w:color="B4C7E7"/>
          <w:right w:val="single" w:sz="4" w:color="B4C7E7"/>
        </w:tblBorders>
        <w:shd w:fill="E8EEF5"/>
      </w:tblPr>
      <w:tr>
        <w:tc>
          <w:tcPr>
            <w:tcW w:w="9360" w:type="dxa"/>
            <w:tcMar>
              <w:top w:w="100" w:type="dxa"/>
              <w:start w:w="140" w:type="dxa"/>
              <w:bottom w:w="100" w:type="dxa"/>
              <w:end w:w="140" w:type="dxa"/>
            </w:tcMar>
          </w:tcPr>
          <w:p>
            <w:r>
              <w:rPr>
                <w:b/>
                <w:color w:val="0B2545"/>
              </w:rPr>
              <w:t>Dòng tổng hợp: </w:t>
            </w:r>
            <w:r>
              <w:t>TABLE = SUBS_INFO, TOTAL = 4, MATCH = 1, NOT_MATCH = 3. TOTAL là tổng số bản ghi được đối chiếu; MATCH là số bản ghi giống nhau; NOT_MATCH là số bản ghi thiếu hoặc khác thông tin.</w:t>
            </w:r>
          </w:p>
        </w:tc>
      </w:tr>
    </w:tbl>
    <w:p/>
    <w:tbl>
      <w:tblPr>
        <w:tblW w:w="9360" w:type="dxa"/>
        <w:tblBorders>
          <w:top w:val="single" w:sz="4" w:color="B4C7E7"/>
          <w:left w:val="single" w:sz="4" w:color="B4C7E7"/>
          <w:bottom w:val="single" w:sz="4" w:color="B4C7E7"/>
          <w:right w:val="single" w:sz="4" w:color="B4C7E7"/>
        </w:tblBorders>
        <w:shd w:fill="E8EEF5"/>
      </w:tblPr>
      <w:tr>
        <w:tc>
          <w:tcPr>
            <w:tcW w:w="9360" w:type="dxa"/>
            <w:tcMar>
              <w:top w:w="100" w:type="dxa"/>
              <w:start w:w="140" w:type="dxa"/>
              <w:bottom w:w="100" w:type="dxa"/>
              <w:end w:w="140" w:type="dxa"/>
            </w:tcMar>
          </w:tcPr>
          <w:p>
            <w:r>
              <w:rPr>
                <w:b/>
                <w:color w:val="0B2545"/>
              </w:rPr>
              <w:t>Ví dụ chi tiết: </w:t>
            </w:r>
            <w:r>
              <w:t>MSISDN key = 2; SINGER (CRBT16M) = S2_old, SINGER (CRBT21M) = S2_new. Điều này cho biết bản ghi có MSISDN bằng 2 tồn tại ở cả hai môi trường nhưng thông tin SINGER khác nhau.</w:t>
            </w:r>
          </w:p>
        </w:tc>
      </w:tr>
    </w:tbl>
    <w:p/>
    <w:p>
      <w:pPr>
        <w:pStyle w:val="Heading1"/>
      </w:pPr>
      <w:r>
        <w:t xml:space="preserve">4. Luồng đếm số bản ghi mỗi bảng</w:t>
      </w:r>
    </w:p>
    <w:p>
      <w:pPr>
        <w:pStyle w:val="Normal"/>
      </w:pPr>
      <w:r>
        <w:t xml:space="preserve">Chế độ này áp dụng khi MODE=2. Đây là cách kiểm tra nhanh số lượng dữ liệu. Kết quả không chỉ ra bản ghi cụ thể nào đang thiếu hoặc khác thông tin.</w:t>
      </w:r>
    </w:p>
    <w:p>
      <w:pPr>
        <w:spacing w:after="100"/>
        <w:ind w:left="440" w:hanging="300"/>
      </w:pPr>
      <w:r>
        <w:rPr>
          <w:b/>
          <w:color w:val="1F4D78"/>
        </w:rPr>
        <w:t>1. Khởi động kiểm tra: </w:t>
      </w:r>
      <w:r>
        <w:t>Công cụ đọc các thiết lập trong config.properties.</w:t>
      </w:r>
    </w:p>
    <w:p>
      <w:pPr>
        <w:spacing w:after="100"/>
        <w:ind w:left="440" w:hanging="300"/>
      </w:pPr>
      <w:r>
        <w:rPr>
          <w:b/>
          <w:color w:val="1F4D78"/>
        </w:rPr>
        <w:t>2. Xác định chế độ: </w:t>
      </w:r>
      <w:r>
        <w:t>Xác nhận đang chọn MODE=2 để đếm số lượng.</w:t>
      </w:r>
    </w:p>
    <w:p>
      <w:pPr>
        <w:spacing w:after="100"/>
        <w:ind w:left="440" w:hanging="300"/>
      </w:pPr>
      <w:r>
        <w:rPr>
          <w:b/>
          <w:color w:val="1F4D78"/>
        </w:rPr>
        <w:t>3. Chuẩn bị nơi lưu báo cáo: </w:t>
      </w:r>
      <w:r>
        <w:t>Kiểm tra thư mục lưu kết quả tại PATH_STATISTICS_FILE.</w:t>
      </w:r>
    </w:p>
    <w:p>
      <w:pPr>
        <w:spacing w:after="100"/>
        <w:ind w:left="440" w:hanging="300"/>
      </w:pPr>
      <w:r>
        <w:rPr>
          <w:b/>
          <w:color w:val="1F4D78"/>
        </w:rPr>
        <w:t>4. Đọc danh sách bảng: </w:t>
      </w:r>
      <w:r>
        <w:t>Lấy từng tên bảng hợp lệ trong tableList.txt.</w:t>
      </w:r>
    </w:p>
    <w:p>
      <w:pPr>
        <w:spacing w:after="100"/>
        <w:ind w:left="440" w:hanging="300"/>
      </w:pPr>
      <w:r>
        <w:rPr>
          <w:b/>
          <w:color w:val="1F4D78"/>
        </w:rPr>
        <w:t>5. Kết nối CRBT16M: </w:t>
      </w:r>
      <w:r>
        <w:t>Mở quyền xem dữ liệu ở môi trường thứ nhất.</w:t>
      </w:r>
    </w:p>
    <w:p>
      <w:pPr>
        <w:spacing w:after="100"/>
        <w:ind w:left="440" w:hanging="300"/>
      </w:pPr>
      <w:r>
        <w:rPr>
          <w:b/>
          <w:color w:val="1F4D78"/>
        </w:rPr>
        <w:t>6. Kết nối CRBT21M: </w:t>
      </w:r>
      <w:r>
        <w:t>Mở quyền xem dữ liệu ở môi trường thứ hai.</w:t>
      </w:r>
    </w:p>
    <w:p>
      <w:pPr>
        <w:spacing w:after="100"/>
        <w:ind w:left="440" w:hanging="300"/>
      </w:pPr>
      <w:r>
        <w:rPr>
          <w:b/>
          <w:color w:val="1F4D78"/>
        </w:rPr>
        <w:t>7. Kiểm tra bảng tại CRBT16M: </w:t>
      </w:r>
      <w:r>
        <w:t>Xác nhận bảng cần kiểm tra có tồn tại.</w:t>
      </w:r>
    </w:p>
    <w:p>
      <w:pPr>
        <w:spacing w:after="100"/>
        <w:ind w:left="440" w:hanging="300"/>
      </w:pPr>
      <w:r>
        <w:rPr>
          <w:b/>
          <w:color w:val="1F4D78"/>
        </w:rPr>
        <w:t>8. Kiểm tra bảng tại CRBT21M: </w:t>
      </w:r>
      <w:r>
        <w:t>Xác nhận cùng bảng đó có tồn tại.</w:t>
      </w:r>
    </w:p>
    <w:p>
      <w:pPr>
        <w:spacing w:after="100"/>
        <w:ind w:left="440" w:hanging="300"/>
      </w:pPr>
      <w:r>
        <w:rPr>
          <w:b/>
          <w:color w:val="1F4D78"/>
        </w:rPr>
        <w:t>9. Đếm và đối chiếu: </w:t>
      </w:r>
      <w:r>
        <w:t>Đếm tổng số bản ghi ở từng môi trường, ghi hai số trên cùng một dòng kết quả.</w:t>
      </w:r>
    </w:p>
    <w:p>
      <w:pPr>
        <w:spacing w:after="100"/>
        <w:ind w:left="440" w:hanging="300"/>
      </w:pPr>
      <w:r>
        <w:rPr>
          <w:b/>
          <w:color w:val="1F4D78"/>
        </w:rPr>
        <w:t>10. Xuất báo cáo: </w:t>
      </w:r>
      <w:r>
        <w:t>Tạo tệp kết quả, nêu rõ lỗi nếu bảng không tồn tại và đóng các kết nối.</w:t>
      </w:r>
    </w:p>
    <w:p>
      <w:pPr>
        <w:pStyle w:val="Heading2"/>
      </w:pPr>
      <w:r>
        <w:t xml:space="preserve">4.1. Cách đọc kết quả đếm số lượng</w:t>
      </w:r>
    </w:p>
    <w:tbl>
      <w:tblPr>
        <w:tblW w:w="9360" w:type="dxa"/>
        <w:tblBorders>
          <w:top w:val="single" w:sz="4" w:color="B4C7E7"/>
          <w:left w:val="single" w:sz="4" w:color="B4C7E7"/>
          <w:bottom w:val="single" w:sz="4" w:color="B4C7E7"/>
          <w:right w:val="single" w:sz="4" w:color="B4C7E7"/>
        </w:tblBorders>
        <w:shd w:fill="E8EEF5"/>
      </w:tblPr>
      <w:tr>
        <w:tc>
          <w:tcPr>
            <w:tcW w:w="9360" w:type="dxa"/>
            <w:tcMar>
              <w:top w:w="100" w:type="dxa"/>
              <w:start w:w="140" w:type="dxa"/>
              <w:bottom w:w="100" w:type="dxa"/>
              <w:end w:w="140" w:type="dxa"/>
            </w:tcMar>
          </w:tcPr>
          <w:p>
            <w:r>
              <w:rPr>
                <w:b/>
                <w:color w:val="0B2545"/>
              </w:rPr>
              <w:t>Ví dụ: </w:t>
            </w:r>
            <w:r>
              <w:t>TABLE = SUBS_INFO, CRBT16M = 100, CRBT21M = 105. Hai số bằng nhau nghĩa là số lượng bản ghi bằng nhau. Hai số khác nhau nghĩa là cần chạy MODE=1 nếu cần xác định chính xác bản ghi nào tạo ra chênh lệch.</w:t>
            </w:r>
          </w:p>
        </w:tc>
      </w:tr>
    </w:tbl>
    <w:p/>
    <w:p>
      <w:pPr>
        <w:pStyle w:val="Heading1"/>
      </w:pPr>
      <w:r>
        <w:t xml:space="preserve">5. Khuyến nghị sử dụng</w:t>
      </w:r>
    </w:p>
    <w:p>
      <w:pPr>
        <w:spacing w:after="80"/>
        <w:ind w:left="420" w:hanging="220"/>
      </w:pPr>
      <w:r>
        <w:rPr>
          <w:b/>
          <w:color w:val="2E74B5"/>
        </w:rPr>
        <w:t>• </w:t>
      </w:r>
      <w:r>
        <w:t>Dùng MODE=2 trước khi cần kiểm tra nhanh nhiều bảng.</w:t>
      </w:r>
    </w:p>
    <w:p>
      <w:pPr>
        <w:spacing w:after="80"/>
        <w:ind w:left="420" w:hanging="220"/>
      </w:pPr>
      <w:r>
        <w:rPr>
          <w:b/>
          <w:color w:val="2E74B5"/>
        </w:rPr>
        <w:t>• </w:t>
      </w:r>
      <w:r>
        <w:t>Dùng MODE=1 cho các bảng có chênh lệch số lượng hoặc cần xác minh chất lượng dữ liệu.</w:t>
      </w:r>
    </w:p>
    <w:p>
      <w:pPr>
        <w:spacing w:after="80"/>
        <w:ind w:left="420" w:hanging="220"/>
      </w:pPr>
      <w:r>
        <w:rPr>
          <w:b/>
          <w:color w:val="2E74B5"/>
        </w:rPr>
        <w:t>• </w:t>
      </w:r>
      <w:r>
        <w:t>Mở tệp result_YYYYMMDDHHMMSS.txt tại thư mục đã chọn sau khi chạy để xem kết quả.</w:t>
      </w:r>
    </w:p>
    <w:sectPr>
      <w:pgSz w:w="12240" w:h="15840"/>
      <w:pgMar w:top="1224" w:right="1440" w:bottom="1152" w:left="1440" w:header="504" w:footer="504" w:gutter="0"/>
    </w:sectPr>
  </w:body>
</w:document>
</file>

<file path=word/styles.xml><?xml version="1.0" encoding="utf-8"?>
<w:styles xmlns:w="http://schemas.openxmlformats.org/wordprocessingml/2006/main">
  <w:docDefaults>
    <w:rPrDefault>
      <w:rPr>
        <w:rFonts w:ascii="Calibri" w:hAnsi="Calibri"/>
        <w:sz w:val="22"/>
      </w:rPr>
    </w:rPrDefault>
  </w:docDefaults>
  <w:style w:type="paragraph" w:default="1" w:styleId="Normal">
    <w:name w:val="Normal"/>
    <w:rPr>
      <w:rFonts w:ascii="Calibri" w:hAnsi="Calibri"/>
      <w:sz w:val="22"/>
    </w:rPr>
    <w:pPr>
      <w:spacing w:after="140" w:line="300" w:lineRule="auto"/>
    </w:pPr>
  </w:style>
  <w:style w:type="paragraph" w:styleId="Heading1">
    <w:name w:val="heading 1"/>
    <w:basedOn w:val="Normal"/>
    <w:pPr>
      <w:spacing w:before="320" w:after="160"/>
    </w:pPr>
    <w:rPr>
      <w:b/>
      <w:color w:val="2E74B5"/>
      <w:sz w:val="32"/>
    </w:rPr>
  </w:style>
  <w:style w:type="paragraph" w:styleId="Heading2">
    <w:name w:val="heading 2"/>
    <w:basedOn w:val="Normal"/>
    <w:pPr>
      <w:spacing w:before="220" w:after="120"/>
    </w:pPr>
    <w:rPr>
      <w:b/>
      <w:color w:val="2E74B5"/>
      <w:sz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