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DB3" w:rsidRPr="00B461E3" w:rsidRDefault="00773148" w:rsidP="00B461E3">
      <w:pPr>
        <w:spacing w:after="0" w:line="240" w:lineRule="auto"/>
        <w:jc w:val="center"/>
        <w:rPr>
          <w:rFonts w:ascii="Times New Roman" w:hAnsi="Times New Roman" w:cs="Times New Roman"/>
          <w:b/>
          <w:smallCaps/>
          <w:sz w:val="28"/>
          <w:szCs w:val="28"/>
        </w:rPr>
      </w:pPr>
      <w:r w:rsidRPr="00B461E3">
        <w:rPr>
          <w:rFonts w:ascii="Times New Roman" w:hAnsi="Times New Roman" w:cs="Times New Roman"/>
          <w:b/>
          <w:smallCaps/>
          <w:sz w:val="28"/>
          <w:szCs w:val="28"/>
        </w:rPr>
        <w:t>Invecchiare è sempre stato un problema?</w:t>
      </w:r>
    </w:p>
    <w:p w:rsidR="00773148" w:rsidRPr="00B461E3" w:rsidRDefault="00773148" w:rsidP="00B461E3">
      <w:pPr>
        <w:spacing w:after="0" w:line="240" w:lineRule="auto"/>
        <w:jc w:val="center"/>
        <w:rPr>
          <w:rFonts w:ascii="Times New Roman" w:hAnsi="Times New Roman" w:cs="Times New Roman"/>
          <w:sz w:val="24"/>
          <w:szCs w:val="24"/>
        </w:rPr>
      </w:pPr>
    </w:p>
    <w:p w:rsidR="00773148" w:rsidRPr="00B461E3" w:rsidRDefault="00773148" w:rsidP="00B461E3">
      <w:pPr>
        <w:spacing w:after="0" w:line="240" w:lineRule="auto"/>
        <w:jc w:val="center"/>
        <w:rPr>
          <w:rFonts w:ascii="Times New Roman" w:hAnsi="Times New Roman" w:cs="Times New Roman"/>
          <w:sz w:val="24"/>
          <w:szCs w:val="24"/>
        </w:rPr>
      </w:pPr>
      <w:r w:rsidRPr="00B461E3">
        <w:rPr>
          <w:rFonts w:ascii="Times New Roman" w:hAnsi="Times New Roman" w:cs="Times New Roman"/>
          <w:sz w:val="24"/>
          <w:szCs w:val="24"/>
        </w:rPr>
        <w:t>di Federico Bottigliengo</w:t>
      </w:r>
    </w:p>
    <w:p w:rsidR="004B3DB3" w:rsidRPr="00B461E3" w:rsidRDefault="004B3DB3" w:rsidP="00B461E3">
      <w:pPr>
        <w:spacing w:after="0" w:line="240" w:lineRule="auto"/>
        <w:jc w:val="both"/>
        <w:rPr>
          <w:rFonts w:ascii="Times New Roman" w:hAnsi="Times New Roman" w:cs="Times New Roman"/>
          <w:sz w:val="24"/>
          <w:szCs w:val="24"/>
        </w:rPr>
      </w:pPr>
    </w:p>
    <w:p w:rsidR="004B3DB3" w:rsidRPr="00B461E3" w:rsidRDefault="004B3DB3" w:rsidP="00B461E3">
      <w:pPr>
        <w:spacing w:after="0" w:line="240" w:lineRule="auto"/>
        <w:jc w:val="both"/>
        <w:rPr>
          <w:rFonts w:ascii="Times New Roman" w:hAnsi="Times New Roman" w:cs="Times New Roman"/>
          <w:sz w:val="24"/>
          <w:szCs w:val="24"/>
        </w:rPr>
      </w:pPr>
    </w:p>
    <w:p w:rsidR="00BD68F8" w:rsidRPr="00B461E3" w:rsidRDefault="00BD68F8" w:rsidP="00B461E3">
      <w:pPr>
        <w:spacing w:after="0" w:line="240" w:lineRule="auto"/>
        <w:jc w:val="both"/>
        <w:rPr>
          <w:rFonts w:ascii="Times New Roman" w:hAnsi="Times New Roman" w:cs="Times New Roman"/>
          <w:sz w:val="24"/>
          <w:szCs w:val="24"/>
        </w:rPr>
      </w:pPr>
    </w:p>
    <w:p w:rsidR="00BD68F8" w:rsidRPr="00B461E3" w:rsidRDefault="00BD68F8" w:rsidP="00B461E3">
      <w:pPr>
        <w:spacing w:after="0" w:line="240" w:lineRule="auto"/>
        <w:jc w:val="right"/>
        <w:rPr>
          <w:rFonts w:ascii="Times New Roman" w:hAnsi="Times New Roman" w:cs="Times New Roman"/>
          <w:i/>
          <w:sz w:val="24"/>
          <w:szCs w:val="24"/>
        </w:rPr>
      </w:pPr>
      <w:r w:rsidRPr="00B461E3">
        <w:rPr>
          <w:rFonts w:ascii="Times New Roman" w:hAnsi="Times New Roman" w:cs="Times New Roman"/>
          <w:i/>
          <w:sz w:val="24"/>
          <w:szCs w:val="24"/>
        </w:rPr>
        <w:t xml:space="preserve">«Invecchiare è come scontare una pena crescente </w:t>
      </w:r>
    </w:p>
    <w:p w:rsidR="00BD68F8" w:rsidRPr="00B461E3" w:rsidRDefault="00BD68F8" w:rsidP="00B461E3">
      <w:pPr>
        <w:spacing w:after="0" w:line="240" w:lineRule="auto"/>
        <w:jc w:val="right"/>
        <w:rPr>
          <w:rFonts w:ascii="Times New Roman" w:hAnsi="Times New Roman" w:cs="Times New Roman"/>
          <w:i/>
          <w:sz w:val="24"/>
          <w:szCs w:val="24"/>
        </w:rPr>
      </w:pPr>
      <w:r w:rsidRPr="00B461E3">
        <w:rPr>
          <w:rFonts w:ascii="Times New Roman" w:hAnsi="Times New Roman" w:cs="Times New Roman"/>
          <w:i/>
          <w:sz w:val="24"/>
          <w:szCs w:val="24"/>
        </w:rPr>
        <w:t xml:space="preserve">per un crimine che non si è commesso» </w:t>
      </w:r>
    </w:p>
    <w:p w:rsidR="00BD68F8" w:rsidRPr="00B461E3" w:rsidRDefault="00BD68F8" w:rsidP="00B461E3">
      <w:pPr>
        <w:spacing w:after="0" w:line="240" w:lineRule="auto"/>
        <w:jc w:val="right"/>
        <w:rPr>
          <w:rFonts w:ascii="Times New Roman" w:hAnsi="Times New Roman" w:cs="Times New Roman"/>
          <w:i/>
          <w:sz w:val="24"/>
          <w:szCs w:val="24"/>
        </w:rPr>
      </w:pPr>
      <w:r w:rsidRPr="00B461E3">
        <w:rPr>
          <w:rFonts w:ascii="Times New Roman" w:hAnsi="Times New Roman" w:cs="Times New Roman"/>
          <w:i/>
          <w:sz w:val="24"/>
          <w:szCs w:val="24"/>
        </w:rPr>
        <w:t>Anthony Powell</w:t>
      </w:r>
    </w:p>
    <w:p w:rsidR="00BD68F8" w:rsidRPr="00B461E3" w:rsidRDefault="00BD68F8" w:rsidP="00B461E3">
      <w:pPr>
        <w:spacing w:after="0" w:line="240" w:lineRule="auto"/>
        <w:jc w:val="both"/>
        <w:rPr>
          <w:rFonts w:ascii="Times New Roman" w:hAnsi="Times New Roman" w:cs="Times New Roman"/>
          <w:sz w:val="24"/>
          <w:szCs w:val="24"/>
        </w:rPr>
      </w:pPr>
    </w:p>
    <w:p w:rsidR="00AE445E" w:rsidRPr="00B461E3" w:rsidRDefault="00AE445E" w:rsidP="00B461E3">
      <w:pPr>
        <w:spacing w:after="0" w:line="240" w:lineRule="auto"/>
        <w:ind w:firstLine="708"/>
        <w:jc w:val="both"/>
        <w:rPr>
          <w:rFonts w:ascii="Times New Roman" w:hAnsi="Times New Roman" w:cs="Times New Roman"/>
          <w:sz w:val="24"/>
          <w:szCs w:val="24"/>
        </w:rPr>
      </w:pPr>
      <w:r w:rsidRPr="00B461E3">
        <w:rPr>
          <w:rFonts w:ascii="Times New Roman" w:hAnsi="Times New Roman" w:cs="Times New Roman"/>
          <w:sz w:val="24"/>
          <w:szCs w:val="24"/>
        </w:rPr>
        <w:t xml:space="preserve">Centodieci anni con lucidità. Per far quadrare il cerchio. </w:t>
      </w:r>
    </w:p>
    <w:p w:rsidR="007B645E" w:rsidRPr="00B461E3" w:rsidRDefault="00AE445E"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Il traguardo che gli antichi Egizi auspicavano di raggiungere era certamente molto ambizioso.</w:t>
      </w:r>
      <w:r w:rsidR="007B645E" w:rsidRPr="00B461E3">
        <w:rPr>
          <w:rFonts w:ascii="Times New Roman" w:hAnsi="Times New Roman" w:cs="Times New Roman"/>
          <w:sz w:val="24"/>
          <w:szCs w:val="24"/>
        </w:rPr>
        <w:t xml:space="preserve"> Forse troppo, stando alla speranza media di vita dell’epoca: dagli studi degli ultimi decenni effettuati sui numerosi resti antropologici rinvenuti nel suolo egiziano, è stato possibile collocare l’età media del decesso intorno ai trentacinque anni, a prescindere dalla mortalità infantile – il cui tasso non è stimabile con precisione, ma senza dubbio molto elevato.</w:t>
      </w:r>
      <w:r w:rsidR="00966F92" w:rsidRPr="00B461E3">
        <w:rPr>
          <w:rFonts w:ascii="Times New Roman" w:hAnsi="Times New Roman" w:cs="Times New Roman"/>
          <w:sz w:val="24"/>
          <w:szCs w:val="24"/>
        </w:rPr>
        <w:t xml:space="preserve"> </w:t>
      </w:r>
    </w:p>
    <w:p w:rsidR="00AE445E" w:rsidRPr="00B461E3" w:rsidRDefault="006363D1"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 xml:space="preserve">La cifra così alta </w:t>
      </w:r>
      <w:r w:rsidR="001E3234" w:rsidRPr="00B461E3">
        <w:rPr>
          <w:rFonts w:ascii="Times New Roman" w:hAnsi="Times New Roman" w:cs="Times New Roman"/>
          <w:sz w:val="24"/>
          <w:szCs w:val="24"/>
        </w:rPr>
        <w:t>aveva</w:t>
      </w:r>
      <w:r w:rsidRPr="00B461E3">
        <w:rPr>
          <w:rFonts w:ascii="Times New Roman" w:hAnsi="Times New Roman" w:cs="Times New Roman"/>
          <w:sz w:val="24"/>
          <w:szCs w:val="24"/>
        </w:rPr>
        <w:t xml:space="preserve"> un significato strettamente legato alla saggezza, che si raggiunge dopo un buon numero di anni di esperienza “sul campo”, e all’essere privilegiati al cospetto degli dèi – cento anni, il massimo raggiungibile, la perfezione, più dieci anni di “bonus” per volontà divina. </w:t>
      </w:r>
    </w:p>
    <w:p w:rsidR="006363D1" w:rsidRPr="00B461E3" w:rsidRDefault="005C102A"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 xml:space="preserve">Spesso tale traguardo è </w:t>
      </w:r>
      <w:r w:rsidR="00217818">
        <w:rPr>
          <w:rFonts w:ascii="Times New Roman" w:hAnsi="Times New Roman" w:cs="Times New Roman"/>
          <w:sz w:val="24"/>
          <w:szCs w:val="24"/>
        </w:rPr>
        <w:t xml:space="preserve">inserito </w:t>
      </w:r>
      <w:r w:rsidRPr="00B461E3">
        <w:rPr>
          <w:rFonts w:ascii="Times New Roman" w:hAnsi="Times New Roman" w:cs="Times New Roman"/>
          <w:sz w:val="24"/>
          <w:szCs w:val="24"/>
        </w:rPr>
        <w:t>tra gli auguri di prosperità e salute indirizzati a un anziano molto stimato</w:t>
      </w:r>
      <w:r w:rsidR="00966F92" w:rsidRPr="00B461E3">
        <w:rPr>
          <w:rFonts w:ascii="Times New Roman" w:hAnsi="Times New Roman" w:cs="Times New Roman"/>
          <w:sz w:val="24"/>
          <w:szCs w:val="24"/>
        </w:rPr>
        <w:t xml:space="preserve">, </w:t>
      </w:r>
      <w:r w:rsidR="00217818">
        <w:rPr>
          <w:rFonts w:ascii="Times New Roman" w:hAnsi="Times New Roman" w:cs="Times New Roman"/>
          <w:sz w:val="24"/>
          <w:szCs w:val="24"/>
        </w:rPr>
        <w:t xml:space="preserve">così </w:t>
      </w:r>
      <w:r w:rsidR="00966F92" w:rsidRPr="00B461E3">
        <w:rPr>
          <w:rFonts w:ascii="Times New Roman" w:hAnsi="Times New Roman" w:cs="Times New Roman"/>
          <w:sz w:val="24"/>
          <w:szCs w:val="24"/>
        </w:rPr>
        <w:t>com’è successo al saggio Amenemope</w:t>
      </w:r>
      <w:r w:rsidRPr="00B461E3">
        <w:rPr>
          <w:rFonts w:ascii="Times New Roman" w:hAnsi="Times New Roman" w:cs="Times New Roman"/>
          <w:sz w:val="24"/>
          <w:szCs w:val="24"/>
        </w:rPr>
        <w:t xml:space="preserve">: </w:t>
      </w:r>
      <w:r w:rsidR="00966F92" w:rsidRPr="00B461E3">
        <w:rPr>
          <w:rFonts w:ascii="Times New Roman" w:hAnsi="Times New Roman" w:cs="Times New Roman"/>
          <w:i/>
          <w:sz w:val="24"/>
          <w:szCs w:val="24"/>
        </w:rPr>
        <w:t>«Che l’Occidente ti sia concesso, senza che tu abbia risentito della vecchiaia e senza che ti sia ammalato; possa tu compiere 110 anni sulla terra; che le tue membra restino vigorose, come si confà a un privilegiato come te, quando il suo dio lo ricompensa»</w:t>
      </w:r>
      <w:r w:rsidR="00966F92" w:rsidRPr="00B461E3">
        <w:rPr>
          <w:rStyle w:val="Rimandonotaapidipagina"/>
          <w:rFonts w:ascii="Times New Roman" w:hAnsi="Times New Roman" w:cs="Times New Roman"/>
          <w:sz w:val="24"/>
          <w:szCs w:val="24"/>
        </w:rPr>
        <w:footnoteReference w:id="1"/>
      </w:r>
      <w:r w:rsidR="00966F92" w:rsidRPr="00B461E3">
        <w:rPr>
          <w:rFonts w:ascii="Times New Roman" w:hAnsi="Times New Roman" w:cs="Times New Roman"/>
          <w:sz w:val="24"/>
          <w:szCs w:val="24"/>
        </w:rPr>
        <w:t xml:space="preserve">. </w:t>
      </w:r>
    </w:p>
    <w:p w:rsidR="00123D7B" w:rsidRPr="00B461E3" w:rsidRDefault="00123D7B"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Solo l’istruzione XVI del Papiro Insinger</w:t>
      </w:r>
      <w:r w:rsidRPr="00B461E3">
        <w:rPr>
          <w:rStyle w:val="Rimandonotaapidipagina"/>
          <w:rFonts w:ascii="Times New Roman" w:hAnsi="Times New Roman" w:cs="Times New Roman"/>
          <w:sz w:val="24"/>
          <w:szCs w:val="24"/>
        </w:rPr>
        <w:footnoteReference w:id="2"/>
      </w:r>
      <w:r w:rsidRPr="00B461E3">
        <w:rPr>
          <w:rFonts w:ascii="Times New Roman" w:hAnsi="Times New Roman" w:cs="Times New Roman"/>
          <w:sz w:val="24"/>
          <w:szCs w:val="24"/>
        </w:rPr>
        <w:t xml:space="preserve"> è più realistica, proponendo sessant’anni quale </w:t>
      </w:r>
      <w:r w:rsidR="002B41BF" w:rsidRPr="00B461E3">
        <w:rPr>
          <w:rFonts w:ascii="Times New Roman" w:hAnsi="Times New Roman" w:cs="Times New Roman"/>
          <w:sz w:val="24"/>
          <w:szCs w:val="24"/>
        </w:rPr>
        <w:t>meta</w:t>
      </w:r>
      <w:r w:rsidRPr="00B461E3">
        <w:rPr>
          <w:rFonts w:ascii="Times New Roman" w:hAnsi="Times New Roman" w:cs="Times New Roman"/>
          <w:sz w:val="24"/>
          <w:szCs w:val="24"/>
        </w:rPr>
        <w:t xml:space="preserve"> di vita auspicabile: </w:t>
      </w:r>
      <w:r w:rsidRPr="00B461E3">
        <w:rPr>
          <w:rFonts w:ascii="Times New Roman" w:hAnsi="Times New Roman" w:cs="Times New Roman"/>
          <w:i/>
          <w:sz w:val="24"/>
          <w:szCs w:val="24"/>
        </w:rPr>
        <w:t>«Chi ha vissuto sessanta anni, ha vissuto tutto ciò che gli spettava; se il suo cuore desidera del vino, non può bere fino all’ebbrezza; se desidera cibi, non può mangiare secondo la sua abitudine, se il suo cuore desidera una donna, il suo tempo non arriva»</w:t>
      </w:r>
      <w:r w:rsidRPr="00B461E3">
        <w:rPr>
          <w:rFonts w:ascii="Times New Roman" w:hAnsi="Times New Roman" w:cs="Times New Roman"/>
          <w:sz w:val="24"/>
          <w:szCs w:val="24"/>
        </w:rPr>
        <w:t xml:space="preserve">.  </w:t>
      </w:r>
    </w:p>
    <w:p w:rsidR="002C41CB" w:rsidRPr="00B461E3" w:rsidRDefault="002C41CB" w:rsidP="00B461E3">
      <w:pPr>
        <w:spacing w:after="0" w:line="240" w:lineRule="auto"/>
        <w:jc w:val="both"/>
        <w:rPr>
          <w:rFonts w:ascii="Times New Roman" w:hAnsi="Times New Roman" w:cs="Times New Roman"/>
          <w:sz w:val="24"/>
          <w:szCs w:val="24"/>
        </w:rPr>
      </w:pPr>
    </w:p>
    <w:p w:rsidR="002B41BF" w:rsidRPr="00B461E3" w:rsidRDefault="00966F92" w:rsidP="00B461E3">
      <w:pPr>
        <w:spacing w:after="0" w:line="240" w:lineRule="auto"/>
        <w:ind w:firstLine="708"/>
        <w:jc w:val="both"/>
        <w:rPr>
          <w:rFonts w:ascii="Times New Roman" w:hAnsi="Times New Roman" w:cs="Times New Roman"/>
          <w:sz w:val="24"/>
          <w:szCs w:val="24"/>
        </w:rPr>
      </w:pPr>
      <w:r w:rsidRPr="00B461E3">
        <w:rPr>
          <w:rFonts w:ascii="Times New Roman" w:hAnsi="Times New Roman" w:cs="Times New Roman"/>
          <w:sz w:val="24"/>
          <w:szCs w:val="24"/>
        </w:rPr>
        <w:t xml:space="preserve">Secondo </w:t>
      </w:r>
      <w:r w:rsidR="00482CFB" w:rsidRPr="00B461E3">
        <w:rPr>
          <w:rFonts w:ascii="Times New Roman" w:hAnsi="Times New Roman" w:cs="Times New Roman"/>
          <w:sz w:val="24"/>
          <w:szCs w:val="24"/>
        </w:rPr>
        <w:t>numerose fonti archeologiche o letterarie, sembra che alcuni Egiziani siano riusciti a raggiungere, o ad avvicinarsi a</w:t>
      </w:r>
      <w:r w:rsidR="002B41BF" w:rsidRPr="00B461E3">
        <w:rPr>
          <w:rFonts w:ascii="Times New Roman" w:hAnsi="Times New Roman" w:cs="Times New Roman"/>
          <w:sz w:val="24"/>
          <w:szCs w:val="24"/>
        </w:rPr>
        <w:t>i centodieci anni</w:t>
      </w:r>
      <w:r w:rsidR="00482CFB" w:rsidRPr="00B461E3">
        <w:rPr>
          <w:rFonts w:ascii="Times New Roman" w:hAnsi="Times New Roman" w:cs="Times New Roman"/>
          <w:sz w:val="24"/>
          <w:szCs w:val="24"/>
        </w:rPr>
        <w:t xml:space="preserve">. </w:t>
      </w:r>
    </w:p>
    <w:p w:rsidR="002B41BF" w:rsidRPr="00B461E3" w:rsidRDefault="00482CFB"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 xml:space="preserve">Andando in ordine cronologico, </w:t>
      </w:r>
      <w:r w:rsidR="00F61C07" w:rsidRPr="00B461E3">
        <w:rPr>
          <w:rFonts w:ascii="Times New Roman" w:hAnsi="Times New Roman" w:cs="Times New Roman"/>
          <w:sz w:val="24"/>
          <w:szCs w:val="24"/>
        </w:rPr>
        <w:t>i</w:t>
      </w:r>
      <w:r w:rsidRPr="00B461E3">
        <w:rPr>
          <w:rFonts w:ascii="Times New Roman" w:hAnsi="Times New Roman" w:cs="Times New Roman"/>
          <w:sz w:val="24"/>
          <w:szCs w:val="24"/>
        </w:rPr>
        <w:t>l primo personaggio che incontriamo è Djedi, un mago, citato solo in un racconto del Papiro Westcar</w:t>
      </w:r>
      <w:r w:rsidRPr="00B461E3">
        <w:rPr>
          <w:rStyle w:val="Rimandonotaapidipagina"/>
          <w:rFonts w:ascii="Times New Roman" w:hAnsi="Times New Roman" w:cs="Times New Roman"/>
          <w:sz w:val="24"/>
          <w:szCs w:val="24"/>
        </w:rPr>
        <w:footnoteReference w:id="3"/>
      </w:r>
      <w:r w:rsidRPr="00B461E3">
        <w:rPr>
          <w:rFonts w:ascii="Times New Roman" w:hAnsi="Times New Roman" w:cs="Times New Roman"/>
          <w:sz w:val="24"/>
          <w:szCs w:val="24"/>
        </w:rPr>
        <w:t>, ambientato alla corte del faraone Cheope (</w:t>
      </w:r>
      <w:r w:rsidR="006E6504" w:rsidRPr="00B461E3">
        <w:rPr>
          <w:rFonts w:ascii="Times New Roman" w:hAnsi="Times New Roman" w:cs="Times New Roman"/>
          <w:sz w:val="24"/>
          <w:szCs w:val="24"/>
        </w:rPr>
        <w:t xml:space="preserve">IV dinastia, anni di regno </w:t>
      </w:r>
      <w:r w:rsidRPr="00B461E3">
        <w:rPr>
          <w:rFonts w:ascii="Times New Roman" w:hAnsi="Times New Roman" w:cs="Times New Roman"/>
          <w:sz w:val="24"/>
          <w:szCs w:val="24"/>
        </w:rPr>
        <w:t>2600-2550 a.C. ca</w:t>
      </w:r>
      <w:r w:rsidR="00CB1565" w:rsidRPr="00B461E3">
        <w:rPr>
          <w:rFonts w:ascii="Times New Roman" w:hAnsi="Times New Roman" w:cs="Times New Roman"/>
          <w:sz w:val="24"/>
          <w:szCs w:val="24"/>
        </w:rPr>
        <w:t>.</w:t>
      </w:r>
      <w:r w:rsidRPr="00B461E3">
        <w:rPr>
          <w:rFonts w:ascii="Times New Roman" w:hAnsi="Times New Roman" w:cs="Times New Roman"/>
          <w:sz w:val="24"/>
          <w:szCs w:val="24"/>
        </w:rPr>
        <w:t xml:space="preserve">); il passo che lo riguarda recita: </w:t>
      </w:r>
      <w:r w:rsidRPr="00B461E3">
        <w:rPr>
          <w:rFonts w:ascii="Times New Roman" w:hAnsi="Times New Roman" w:cs="Times New Roman"/>
          <w:i/>
          <w:sz w:val="24"/>
          <w:szCs w:val="24"/>
        </w:rPr>
        <w:t>«</w:t>
      </w:r>
      <w:r w:rsidR="00CB1565" w:rsidRPr="00B461E3">
        <w:rPr>
          <w:rFonts w:ascii="Times New Roman" w:hAnsi="Times New Roman" w:cs="Times New Roman"/>
          <w:i/>
          <w:sz w:val="24"/>
          <w:szCs w:val="24"/>
        </w:rPr>
        <w:t xml:space="preserve">C’è un borghese di nome Djedi, che abita </w:t>
      </w:r>
      <w:r w:rsidR="006D7FAE" w:rsidRPr="00B461E3">
        <w:rPr>
          <w:rFonts w:ascii="Times New Roman" w:hAnsi="Times New Roman" w:cs="Times New Roman"/>
          <w:i/>
          <w:sz w:val="24"/>
          <w:szCs w:val="24"/>
        </w:rPr>
        <w:t>in</w:t>
      </w:r>
      <w:r w:rsidR="00CB1565" w:rsidRPr="00B461E3">
        <w:rPr>
          <w:rFonts w:ascii="Times New Roman" w:hAnsi="Times New Roman" w:cs="Times New Roman"/>
          <w:i/>
          <w:sz w:val="24"/>
          <w:szCs w:val="24"/>
        </w:rPr>
        <w:t xml:space="preserve"> Djedesnefru. È un borghese di centodieci anni, che mangia cinquecento pani e, come carne, mezzo bove, e che beve cento brocche di birra ancora oggi. Egli sa riattaccare una testa tagliata, sa far camminare dietro di sé un leone, il cui laccio si trascina per terra. Conosce il numero delle stanze segrete del santuario di Thot</w:t>
      </w:r>
      <w:r w:rsidRPr="00B461E3">
        <w:rPr>
          <w:rFonts w:ascii="Times New Roman" w:hAnsi="Times New Roman" w:cs="Times New Roman"/>
          <w:i/>
          <w:sz w:val="24"/>
          <w:szCs w:val="24"/>
        </w:rPr>
        <w:t>»</w:t>
      </w:r>
      <w:r w:rsidRPr="00B461E3">
        <w:rPr>
          <w:rFonts w:ascii="Times New Roman" w:hAnsi="Times New Roman" w:cs="Times New Roman"/>
          <w:sz w:val="24"/>
          <w:szCs w:val="24"/>
        </w:rPr>
        <w:t>.</w:t>
      </w:r>
      <w:r w:rsidR="00773148" w:rsidRPr="00B461E3">
        <w:rPr>
          <w:rFonts w:ascii="Times New Roman" w:hAnsi="Times New Roman" w:cs="Times New Roman"/>
          <w:sz w:val="24"/>
          <w:szCs w:val="24"/>
        </w:rPr>
        <w:t xml:space="preserve"> Djedi, tuttavia, </w:t>
      </w:r>
      <w:r w:rsidR="002B41BF" w:rsidRPr="00B461E3">
        <w:rPr>
          <w:rFonts w:ascii="Times New Roman" w:hAnsi="Times New Roman" w:cs="Times New Roman"/>
          <w:sz w:val="24"/>
          <w:szCs w:val="24"/>
        </w:rPr>
        <w:t xml:space="preserve">non </w:t>
      </w:r>
      <w:r w:rsidR="00773148" w:rsidRPr="00B461E3">
        <w:rPr>
          <w:rFonts w:ascii="Times New Roman" w:hAnsi="Times New Roman" w:cs="Times New Roman"/>
          <w:sz w:val="24"/>
          <w:szCs w:val="24"/>
        </w:rPr>
        <w:t xml:space="preserve">è </w:t>
      </w:r>
      <w:r w:rsidR="002B41BF" w:rsidRPr="00B461E3">
        <w:rPr>
          <w:rFonts w:ascii="Times New Roman" w:hAnsi="Times New Roman" w:cs="Times New Roman"/>
          <w:sz w:val="24"/>
          <w:szCs w:val="24"/>
        </w:rPr>
        <w:t xml:space="preserve">che </w:t>
      </w:r>
      <w:r w:rsidR="00773148" w:rsidRPr="00B461E3">
        <w:rPr>
          <w:rFonts w:ascii="Times New Roman" w:hAnsi="Times New Roman" w:cs="Times New Roman"/>
          <w:sz w:val="24"/>
          <w:szCs w:val="24"/>
        </w:rPr>
        <w:t xml:space="preserve">una figura letteraria, di cui non </w:t>
      </w:r>
      <w:r w:rsidR="002B41BF" w:rsidRPr="00B461E3">
        <w:rPr>
          <w:rFonts w:ascii="Times New Roman" w:hAnsi="Times New Roman" w:cs="Times New Roman"/>
          <w:sz w:val="24"/>
          <w:szCs w:val="24"/>
        </w:rPr>
        <w:t>si ha attestazione archeologica.</w:t>
      </w:r>
      <w:r w:rsidR="00773148" w:rsidRPr="00B461E3">
        <w:rPr>
          <w:rFonts w:ascii="Times New Roman" w:hAnsi="Times New Roman" w:cs="Times New Roman"/>
          <w:sz w:val="24"/>
          <w:szCs w:val="24"/>
        </w:rPr>
        <w:t xml:space="preserve"> </w:t>
      </w:r>
    </w:p>
    <w:p w:rsidR="00773148" w:rsidRPr="00B461E3" w:rsidRDefault="002B41BF"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lastRenderedPageBreak/>
        <w:t>A</w:t>
      </w:r>
      <w:r w:rsidR="00773148" w:rsidRPr="00B461E3">
        <w:rPr>
          <w:rFonts w:ascii="Times New Roman" w:hAnsi="Times New Roman" w:cs="Times New Roman"/>
          <w:sz w:val="24"/>
          <w:szCs w:val="24"/>
        </w:rPr>
        <w:t>l contrario, Pepi II Neferirkara (</w:t>
      </w:r>
      <w:r w:rsidR="006E6504" w:rsidRPr="00B461E3">
        <w:rPr>
          <w:rFonts w:ascii="Times New Roman" w:hAnsi="Times New Roman" w:cs="Times New Roman"/>
          <w:sz w:val="24"/>
          <w:szCs w:val="24"/>
        </w:rPr>
        <w:t xml:space="preserve">VI dinastia, </w:t>
      </w:r>
      <w:r w:rsidR="00773148" w:rsidRPr="00B461E3">
        <w:rPr>
          <w:rFonts w:ascii="Times New Roman" w:hAnsi="Times New Roman" w:cs="Times New Roman"/>
          <w:sz w:val="24"/>
          <w:szCs w:val="24"/>
        </w:rPr>
        <w:t>XXIII secolo a.C.), faraone della V dinastia, regnò, secondo il Papiro dei Re</w:t>
      </w:r>
      <w:r w:rsidR="00C72C5C" w:rsidRPr="00B461E3">
        <w:rPr>
          <w:rStyle w:val="Rimandonotaapidipagina"/>
          <w:rFonts w:ascii="Times New Roman" w:hAnsi="Times New Roman" w:cs="Times New Roman"/>
          <w:sz w:val="24"/>
          <w:szCs w:val="24"/>
        </w:rPr>
        <w:footnoteReference w:id="4"/>
      </w:r>
      <w:r w:rsidR="00773148" w:rsidRPr="00B461E3">
        <w:rPr>
          <w:rFonts w:ascii="Times New Roman" w:hAnsi="Times New Roman" w:cs="Times New Roman"/>
          <w:sz w:val="24"/>
          <w:szCs w:val="24"/>
        </w:rPr>
        <w:t xml:space="preserve"> di Torino, per ben novantaquattro anni</w:t>
      </w:r>
      <w:r w:rsidRPr="00B461E3">
        <w:rPr>
          <w:rFonts w:ascii="Times New Roman" w:hAnsi="Times New Roman" w:cs="Times New Roman"/>
          <w:sz w:val="24"/>
          <w:szCs w:val="24"/>
        </w:rPr>
        <w:t>, giungendo certamente almeno ai cento di età</w:t>
      </w:r>
      <w:r w:rsidR="00773148" w:rsidRPr="00B461E3">
        <w:rPr>
          <w:rFonts w:ascii="Times New Roman" w:hAnsi="Times New Roman" w:cs="Times New Roman"/>
          <w:sz w:val="24"/>
          <w:szCs w:val="24"/>
        </w:rPr>
        <w:t xml:space="preserve">: siamo dinanzi al sovrano più longevo non soltanto dell’Egitto, ma di tutta la storia </w:t>
      </w:r>
      <w:r w:rsidRPr="00B461E3">
        <w:rPr>
          <w:rFonts w:ascii="Times New Roman" w:hAnsi="Times New Roman" w:cs="Times New Roman"/>
          <w:sz w:val="24"/>
          <w:szCs w:val="24"/>
        </w:rPr>
        <w:t>umana</w:t>
      </w:r>
      <w:r w:rsidR="00773148" w:rsidRPr="00B461E3">
        <w:rPr>
          <w:rFonts w:ascii="Times New Roman" w:hAnsi="Times New Roman" w:cs="Times New Roman"/>
          <w:sz w:val="24"/>
          <w:szCs w:val="24"/>
        </w:rPr>
        <w:t xml:space="preserve">. </w:t>
      </w:r>
    </w:p>
    <w:p w:rsidR="00773148" w:rsidRPr="00B461E3" w:rsidRDefault="00C72C5C"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Il molto più famoso Ramesse II (XIX dinastia, anni di regno 1279-1213 a.C.), la cui mummia è conservata al Museo Egizio del Cairo, visse fi</w:t>
      </w:r>
      <w:r w:rsidR="002B41BF" w:rsidRPr="00B461E3">
        <w:rPr>
          <w:rFonts w:ascii="Times New Roman" w:hAnsi="Times New Roman" w:cs="Times New Roman"/>
          <w:sz w:val="24"/>
          <w:szCs w:val="24"/>
        </w:rPr>
        <w:t>n</w:t>
      </w:r>
      <w:r w:rsidRPr="00B461E3">
        <w:rPr>
          <w:rFonts w:ascii="Times New Roman" w:hAnsi="Times New Roman" w:cs="Times New Roman"/>
          <w:sz w:val="24"/>
          <w:szCs w:val="24"/>
        </w:rPr>
        <w:t xml:space="preserve"> verso i novant’anni. </w:t>
      </w:r>
    </w:p>
    <w:p w:rsidR="00773148" w:rsidRPr="00B461E3" w:rsidRDefault="002B41BF"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U</w:t>
      </w:r>
      <w:r w:rsidR="00C72C5C" w:rsidRPr="00B461E3">
        <w:rPr>
          <w:rFonts w:ascii="Times New Roman" w:hAnsi="Times New Roman" w:cs="Times New Roman"/>
          <w:sz w:val="24"/>
          <w:szCs w:val="24"/>
        </w:rPr>
        <w:t xml:space="preserve">n ultimo esempio più recente, </w:t>
      </w:r>
      <w:r w:rsidRPr="00B461E3">
        <w:rPr>
          <w:rFonts w:ascii="Times New Roman" w:hAnsi="Times New Roman" w:cs="Times New Roman"/>
          <w:sz w:val="24"/>
          <w:szCs w:val="24"/>
        </w:rPr>
        <w:t xml:space="preserve">infine, </w:t>
      </w:r>
      <w:r w:rsidR="00C72C5C" w:rsidRPr="00B461E3">
        <w:rPr>
          <w:rFonts w:ascii="Times New Roman" w:hAnsi="Times New Roman" w:cs="Times New Roman"/>
          <w:sz w:val="24"/>
          <w:szCs w:val="24"/>
        </w:rPr>
        <w:t>è quello del dignitario Nebnetjeru, che raggiunse il dignitosissimo traguardo di ottantasei anni</w:t>
      </w:r>
      <w:r w:rsidR="00F77499" w:rsidRPr="00B461E3">
        <w:rPr>
          <w:rFonts w:ascii="Times New Roman" w:hAnsi="Times New Roman" w:cs="Times New Roman"/>
          <w:sz w:val="24"/>
          <w:szCs w:val="24"/>
        </w:rPr>
        <w:t>; su una sua statua</w:t>
      </w:r>
      <w:r w:rsidR="00F77499" w:rsidRPr="00B461E3">
        <w:rPr>
          <w:rStyle w:val="Rimandonotaapidipagina"/>
          <w:rFonts w:ascii="Times New Roman" w:hAnsi="Times New Roman" w:cs="Times New Roman"/>
          <w:sz w:val="24"/>
          <w:szCs w:val="24"/>
        </w:rPr>
        <w:footnoteReference w:id="5"/>
      </w:r>
      <w:r w:rsidR="00F77499" w:rsidRPr="00B461E3">
        <w:rPr>
          <w:rFonts w:ascii="Times New Roman" w:hAnsi="Times New Roman" w:cs="Times New Roman"/>
          <w:sz w:val="24"/>
          <w:szCs w:val="24"/>
        </w:rPr>
        <w:t>, dopo essere stati indicati i suoi anni di vita, l’iscrizione recita</w:t>
      </w:r>
      <w:r w:rsidR="00C72C5C" w:rsidRPr="00B461E3">
        <w:rPr>
          <w:rFonts w:ascii="Times New Roman" w:hAnsi="Times New Roman" w:cs="Times New Roman"/>
          <w:sz w:val="24"/>
          <w:szCs w:val="24"/>
        </w:rPr>
        <w:t xml:space="preserve">: </w:t>
      </w:r>
      <w:r w:rsidR="00C72C5C" w:rsidRPr="00B461E3">
        <w:rPr>
          <w:rFonts w:ascii="Times New Roman" w:hAnsi="Times New Roman" w:cs="Times New Roman"/>
          <w:i/>
          <w:sz w:val="24"/>
          <w:szCs w:val="24"/>
        </w:rPr>
        <w:t>«</w:t>
      </w:r>
      <w:r w:rsidR="00F77499" w:rsidRPr="00B461E3">
        <w:rPr>
          <w:rFonts w:ascii="Times New Roman" w:hAnsi="Times New Roman" w:cs="Times New Roman"/>
          <w:i/>
          <w:sz w:val="24"/>
          <w:szCs w:val="24"/>
        </w:rPr>
        <w:t>Ho trascorso la mia vita nella gioia, senza preoccupazioni, senza malattie…e così io ho superato gli anni di vita di tutti i miei contemporanei. Fate in modo che succeda anche a voi</w:t>
      </w:r>
      <w:r w:rsidR="00C72C5C" w:rsidRPr="00B461E3">
        <w:rPr>
          <w:rFonts w:ascii="Times New Roman" w:hAnsi="Times New Roman" w:cs="Times New Roman"/>
          <w:i/>
          <w:sz w:val="24"/>
          <w:szCs w:val="24"/>
        </w:rPr>
        <w:t>»</w:t>
      </w:r>
      <w:r w:rsidR="00C72C5C" w:rsidRPr="00B461E3">
        <w:rPr>
          <w:rFonts w:ascii="Times New Roman" w:hAnsi="Times New Roman" w:cs="Times New Roman"/>
          <w:sz w:val="24"/>
          <w:szCs w:val="24"/>
        </w:rPr>
        <w:t>.</w:t>
      </w:r>
    </w:p>
    <w:p w:rsidR="002C41CB" w:rsidRPr="00B461E3" w:rsidRDefault="002C41CB" w:rsidP="00B461E3">
      <w:pPr>
        <w:spacing w:after="0" w:line="240" w:lineRule="auto"/>
        <w:jc w:val="both"/>
        <w:rPr>
          <w:rFonts w:ascii="Times New Roman" w:hAnsi="Times New Roman" w:cs="Times New Roman"/>
          <w:sz w:val="24"/>
          <w:szCs w:val="24"/>
        </w:rPr>
      </w:pPr>
    </w:p>
    <w:p w:rsidR="00773148" w:rsidRPr="00B461E3" w:rsidRDefault="008D3B5F"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ab/>
        <w:t xml:space="preserve">Per l’uomo egiziano essere vecchio, </w:t>
      </w:r>
      <w:r w:rsidRPr="00B461E3">
        <w:rPr>
          <w:rFonts w:ascii="Times New Roman" w:hAnsi="Times New Roman" w:cs="Times New Roman"/>
          <w:noProof/>
          <w:sz w:val="24"/>
          <w:szCs w:val="24"/>
          <w:lang w:eastAsia="it-IT"/>
        </w:rPr>
        <w:drawing>
          <wp:inline distT="0" distB="0" distL="0" distR="0">
            <wp:extent cx="1095375" cy="3714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371475"/>
                    </a:xfrm>
                    <a:prstGeom prst="rect">
                      <a:avLst/>
                    </a:prstGeom>
                    <a:noFill/>
                    <a:ln>
                      <a:noFill/>
                    </a:ln>
                  </pic:spPr>
                </pic:pic>
              </a:graphicData>
            </a:graphic>
          </wp:inline>
        </w:drawing>
      </w:r>
      <w:r w:rsidRPr="00B461E3">
        <w:rPr>
          <w:rFonts w:ascii="Times New Roman" w:hAnsi="Times New Roman" w:cs="Times New Roman"/>
          <w:sz w:val="24"/>
          <w:szCs w:val="24"/>
        </w:rPr>
        <w:t xml:space="preserve"> </w:t>
      </w:r>
      <w:r w:rsidRPr="00217818">
        <w:rPr>
          <w:rFonts w:ascii="Transliteration" w:hAnsi="Transliteration" w:cs="Times New Roman"/>
          <w:sz w:val="24"/>
          <w:szCs w:val="24"/>
        </w:rPr>
        <w:t>iAw</w:t>
      </w:r>
      <w:r w:rsidRPr="00B461E3">
        <w:rPr>
          <w:rFonts w:ascii="Times New Roman" w:hAnsi="Times New Roman" w:cs="Times New Roman"/>
          <w:sz w:val="24"/>
          <w:szCs w:val="24"/>
        </w:rPr>
        <w:t>, non è certo buona cosa: la vecchiaia altro non è che la manifestazione dell’approssimarsi, lento ma inesorabile, della morte, poiché l’anziano avverte su di sé, pur essendo vivi, i sintomi della decomposizione corporea.</w:t>
      </w:r>
    </w:p>
    <w:p w:rsidR="008D3B5F" w:rsidRPr="00B461E3" w:rsidRDefault="008D3B5F"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 xml:space="preserve">La più importante e famosa descrizione della vecchiaia, che ci mostra in maniera inconfutabile il pensiero dominante </w:t>
      </w:r>
      <w:r w:rsidR="00217818">
        <w:rPr>
          <w:rFonts w:ascii="Times New Roman" w:hAnsi="Times New Roman" w:cs="Times New Roman"/>
          <w:sz w:val="24"/>
          <w:szCs w:val="24"/>
        </w:rPr>
        <w:t>dell’epoca</w:t>
      </w:r>
      <w:r w:rsidRPr="00B461E3">
        <w:rPr>
          <w:rFonts w:ascii="Times New Roman" w:hAnsi="Times New Roman" w:cs="Times New Roman"/>
          <w:sz w:val="24"/>
          <w:szCs w:val="24"/>
        </w:rPr>
        <w:t xml:space="preserve"> riguardo a tale fenomeno</w:t>
      </w:r>
      <w:r w:rsidR="00590C22" w:rsidRPr="00B461E3">
        <w:rPr>
          <w:rFonts w:ascii="Times New Roman" w:hAnsi="Times New Roman" w:cs="Times New Roman"/>
          <w:sz w:val="24"/>
          <w:szCs w:val="24"/>
        </w:rPr>
        <w:t xml:space="preserve">, di gran lunga ben lontano rispetto alla serenità del </w:t>
      </w:r>
      <w:r w:rsidR="00590C22" w:rsidRPr="00B461E3">
        <w:rPr>
          <w:rFonts w:ascii="Times New Roman" w:hAnsi="Times New Roman" w:cs="Times New Roman"/>
          <w:i/>
          <w:sz w:val="24"/>
          <w:szCs w:val="24"/>
        </w:rPr>
        <w:t>De senectute</w:t>
      </w:r>
      <w:r w:rsidR="00590C22" w:rsidRPr="00B461E3">
        <w:rPr>
          <w:rFonts w:ascii="Times New Roman" w:hAnsi="Times New Roman" w:cs="Times New Roman"/>
          <w:sz w:val="24"/>
          <w:szCs w:val="24"/>
        </w:rPr>
        <w:t xml:space="preserve"> di Cicerone</w:t>
      </w:r>
      <w:r w:rsidRPr="00B461E3">
        <w:rPr>
          <w:rFonts w:ascii="Times New Roman" w:hAnsi="Times New Roman" w:cs="Times New Roman"/>
          <w:sz w:val="24"/>
          <w:szCs w:val="24"/>
        </w:rPr>
        <w:t xml:space="preserve">, è senza dubbio quella </w:t>
      </w:r>
      <w:r w:rsidR="006E6504" w:rsidRPr="00B461E3">
        <w:rPr>
          <w:rFonts w:ascii="Times New Roman" w:hAnsi="Times New Roman" w:cs="Times New Roman"/>
          <w:sz w:val="24"/>
          <w:szCs w:val="24"/>
        </w:rPr>
        <w:t>fornita dal saggio Ptahhotep, visir del faraone Djedkara Isesi (V dinastia, anni di regno 1414-2375 a.C. ca.), nel prologo del suo insegnamento</w:t>
      </w:r>
      <w:r w:rsidR="008460BB" w:rsidRPr="00B461E3">
        <w:rPr>
          <w:rStyle w:val="Rimandonotaapidipagina"/>
          <w:rFonts w:ascii="Times New Roman" w:hAnsi="Times New Roman" w:cs="Times New Roman"/>
          <w:sz w:val="24"/>
          <w:szCs w:val="24"/>
        </w:rPr>
        <w:footnoteReference w:id="6"/>
      </w:r>
      <w:r w:rsidR="006E6504" w:rsidRPr="00B461E3">
        <w:rPr>
          <w:rFonts w:ascii="Times New Roman" w:hAnsi="Times New Roman" w:cs="Times New Roman"/>
          <w:sz w:val="24"/>
          <w:szCs w:val="24"/>
        </w:rPr>
        <w:t>: «</w:t>
      </w:r>
      <w:r w:rsidR="006E6504" w:rsidRPr="00B461E3">
        <w:rPr>
          <w:rFonts w:ascii="Times New Roman" w:hAnsi="Times New Roman" w:cs="Times New Roman"/>
          <w:i/>
          <w:sz w:val="24"/>
          <w:szCs w:val="24"/>
        </w:rPr>
        <w:t>La vecchiaia si è prodotta, la senilità è calata, il deperimento è venuto, la debolezza si è rinnovata: sta coricato ogni giorno colui che è rimbambito; gli occhi sono deboli, le orecchie sono sorde, la forza deperisce, essendo stanco il cuore, la bocca è silenziosa e non parla, il cuore è assente e non ricorda lo ieri, le ossa dolgono per la lunghezza dell’età. Ciò che era buono è divenuto cattivo, ogni gusto se n’è andato. Quel che fa la vecchiaia agli uomini è cattivo in ogni senso: il naso è tappato e non respira per la debolezza, alzati o seduti che si sia</w:t>
      </w:r>
      <w:r w:rsidR="006E6504" w:rsidRPr="00B461E3">
        <w:rPr>
          <w:rFonts w:ascii="Times New Roman" w:hAnsi="Times New Roman" w:cs="Times New Roman"/>
          <w:sz w:val="24"/>
          <w:szCs w:val="24"/>
        </w:rPr>
        <w:t xml:space="preserve">». </w:t>
      </w:r>
    </w:p>
    <w:p w:rsidR="008D3B5F" w:rsidRPr="00B461E3" w:rsidRDefault="00B75312"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Un’altra importante descrizione è contenuta nelle Avventure di Sinuhe</w:t>
      </w:r>
      <w:r w:rsidR="00626BCB" w:rsidRPr="00B461E3">
        <w:rPr>
          <w:rStyle w:val="Rimandonotaapidipagina"/>
          <w:rFonts w:ascii="Times New Roman" w:hAnsi="Times New Roman" w:cs="Times New Roman"/>
          <w:sz w:val="24"/>
          <w:szCs w:val="24"/>
        </w:rPr>
        <w:footnoteReference w:id="7"/>
      </w:r>
      <w:r w:rsidR="00024553" w:rsidRPr="00B461E3">
        <w:rPr>
          <w:rFonts w:ascii="Times New Roman" w:hAnsi="Times New Roman" w:cs="Times New Roman"/>
          <w:sz w:val="24"/>
          <w:szCs w:val="24"/>
        </w:rPr>
        <w:t xml:space="preserve">, il testo più conosciuto e meglio studiato di tutta la letteratura egiziana antica, sebbene questa sembra essere </w:t>
      </w:r>
      <w:r w:rsidR="002B41BF" w:rsidRPr="00B461E3">
        <w:rPr>
          <w:rFonts w:ascii="Times New Roman" w:hAnsi="Times New Roman" w:cs="Times New Roman"/>
          <w:sz w:val="24"/>
          <w:szCs w:val="24"/>
        </w:rPr>
        <w:t xml:space="preserve">stata </w:t>
      </w:r>
      <w:r w:rsidR="00024553" w:rsidRPr="00B461E3">
        <w:rPr>
          <w:rFonts w:ascii="Times New Roman" w:hAnsi="Times New Roman" w:cs="Times New Roman"/>
          <w:sz w:val="24"/>
          <w:szCs w:val="24"/>
        </w:rPr>
        <w:t>tratta da quella di Ptahhotep:</w:t>
      </w:r>
      <w:r w:rsidR="00024553" w:rsidRPr="00B461E3">
        <w:rPr>
          <w:rFonts w:ascii="Times New Roman" w:hAnsi="Times New Roman" w:cs="Times New Roman"/>
          <w:i/>
          <w:sz w:val="24"/>
          <w:szCs w:val="24"/>
        </w:rPr>
        <w:t xml:space="preserve"> «Oh, se tornasse giovane il mio corpo! Poiché la vecchiaia è calata e la debolezza mi ha invaso: sono pesanti i miei occhi, deboli le mie braccia, le mie gambe rifiutano di servire, il mio cuore è stanco. Si avvicina a me la partenza, quando mi porteranno nella dimora dell’eternità»</w:t>
      </w:r>
      <w:r w:rsidR="00024553" w:rsidRPr="00B461E3">
        <w:rPr>
          <w:rStyle w:val="Rimandonotaapidipagina"/>
          <w:rFonts w:ascii="Times New Roman" w:hAnsi="Times New Roman" w:cs="Times New Roman"/>
          <w:i/>
          <w:sz w:val="24"/>
          <w:szCs w:val="24"/>
        </w:rPr>
        <w:footnoteReference w:id="8"/>
      </w:r>
      <w:r w:rsidR="00024553" w:rsidRPr="00B461E3">
        <w:rPr>
          <w:rFonts w:ascii="Times New Roman" w:hAnsi="Times New Roman" w:cs="Times New Roman"/>
          <w:i/>
          <w:sz w:val="24"/>
          <w:szCs w:val="24"/>
        </w:rPr>
        <w:t>.</w:t>
      </w:r>
      <w:r w:rsidR="00024553" w:rsidRPr="00B461E3">
        <w:rPr>
          <w:rFonts w:ascii="Times New Roman" w:hAnsi="Times New Roman" w:cs="Times New Roman"/>
          <w:sz w:val="24"/>
          <w:szCs w:val="24"/>
        </w:rPr>
        <w:t xml:space="preserve"> </w:t>
      </w:r>
    </w:p>
    <w:p w:rsidR="002C41CB" w:rsidRPr="00B461E3" w:rsidRDefault="002C41CB" w:rsidP="00B461E3">
      <w:pPr>
        <w:spacing w:after="0" w:line="240" w:lineRule="auto"/>
        <w:jc w:val="both"/>
        <w:rPr>
          <w:rFonts w:ascii="Times New Roman" w:hAnsi="Times New Roman" w:cs="Times New Roman"/>
          <w:sz w:val="24"/>
          <w:szCs w:val="24"/>
        </w:rPr>
      </w:pPr>
    </w:p>
    <w:p w:rsidR="00A43DA2" w:rsidRPr="00B461E3" w:rsidRDefault="009D6978"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ab/>
      </w:r>
      <w:r w:rsidR="002C41CB" w:rsidRPr="00B461E3">
        <w:rPr>
          <w:rFonts w:ascii="Times New Roman" w:hAnsi="Times New Roman" w:cs="Times New Roman"/>
          <w:sz w:val="24"/>
          <w:szCs w:val="24"/>
        </w:rPr>
        <w:t xml:space="preserve">Così come noi moderni, anche gli antichi Egizi cercavano di contrastare la vecchiaia attraverso una serie di rimedi riscontrati in alcuni papiri. </w:t>
      </w:r>
      <w:r w:rsidR="004433C6" w:rsidRPr="00B461E3">
        <w:rPr>
          <w:rFonts w:ascii="Times New Roman" w:hAnsi="Times New Roman" w:cs="Times New Roman"/>
          <w:sz w:val="24"/>
          <w:szCs w:val="24"/>
        </w:rPr>
        <w:t xml:space="preserve">Questi avevano lo </w:t>
      </w:r>
      <w:r w:rsidR="004433C6" w:rsidRPr="00B461E3">
        <w:rPr>
          <w:rFonts w:ascii="Times New Roman" w:hAnsi="Times New Roman" w:cs="Times New Roman"/>
          <w:sz w:val="24"/>
          <w:szCs w:val="24"/>
        </w:rPr>
        <w:lastRenderedPageBreak/>
        <w:t xml:space="preserve">scopo di operare su più livelli, descrivendo semplici trattamenti estetici oppure farmaci, ricette e formule per sintomi ben più gravi di qualche ruga. </w:t>
      </w:r>
    </w:p>
    <w:p w:rsidR="002C07B5" w:rsidRPr="00B461E3" w:rsidRDefault="004433C6" w:rsidP="0072118D">
      <w:pPr>
        <w:spacing w:after="0" w:line="240" w:lineRule="auto"/>
        <w:ind w:firstLine="708"/>
        <w:jc w:val="both"/>
        <w:rPr>
          <w:rFonts w:ascii="Times New Roman" w:hAnsi="Times New Roman" w:cs="Times New Roman"/>
          <w:sz w:val="24"/>
          <w:szCs w:val="24"/>
        </w:rPr>
      </w:pPr>
      <w:r w:rsidRPr="00B461E3">
        <w:rPr>
          <w:rFonts w:ascii="Times New Roman" w:hAnsi="Times New Roman" w:cs="Times New Roman"/>
          <w:sz w:val="24"/>
          <w:szCs w:val="24"/>
        </w:rPr>
        <w:t>Il Papiro Ebers</w:t>
      </w:r>
      <w:r w:rsidR="008433A7" w:rsidRPr="00B461E3">
        <w:rPr>
          <w:rStyle w:val="Rimandonotaapidipagina"/>
          <w:rFonts w:ascii="Times New Roman" w:hAnsi="Times New Roman" w:cs="Times New Roman"/>
          <w:sz w:val="24"/>
          <w:szCs w:val="24"/>
        </w:rPr>
        <w:footnoteReference w:id="9"/>
      </w:r>
      <w:r w:rsidRPr="00B461E3">
        <w:rPr>
          <w:rFonts w:ascii="Times New Roman" w:hAnsi="Times New Roman" w:cs="Times New Roman"/>
          <w:sz w:val="24"/>
          <w:szCs w:val="24"/>
        </w:rPr>
        <w:t xml:space="preserve"> è senza dubbio il manoscritto medico più completo della letteratura egiziana; ebbene, le formule dalla 705 alla 738 </w:t>
      </w:r>
      <w:r w:rsidR="002B41BF" w:rsidRPr="00B461E3">
        <w:rPr>
          <w:rFonts w:ascii="Times New Roman" w:hAnsi="Times New Roman" w:cs="Times New Roman"/>
          <w:sz w:val="24"/>
          <w:szCs w:val="24"/>
        </w:rPr>
        <w:t>sono consacrate alla cura del</w:t>
      </w:r>
      <w:r w:rsidRPr="00B461E3">
        <w:rPr>
          <w:rFonts w:ascii="Times New Roman" w:hAnsi="Times New Roman" w:cs="Times New Roman"/>
          <w:sz w:val="24"/>
          <w:szCs w:val="24"/>
        </w:rPr>
        <w:t>le affezioni della pelle.</w:t>
      </w:r>
      <w:r w:rsidR="002C07B5" w:rsidRPr="00B461E3">
        <w:rPr>
          <w:rFonts w:ascii="Times New Roman" w:hAnsi="Times New Roman" w:cs="Times New Roman"/>
          <w:sz w:val="24"/>
          <w:szCs w:val="24"/>
        </w:rPr>
        <w:t xml:space="preserve"> Le formule hanno un </w:t>
      </w:r>
      <w:r w:rsidR="002C07B5" w:rsidRPr="00217818">
        <w:rPr>
          <w:rFonts w:ascii="Times New Roman" w:hAnsi="Times New Roman" w:cs="Times New Roman"/>
          <w:sz w:val="24"/>
          <w:szCs w:val="24"/>
        </w:rPr>
        <w:t>incipit</w:t>
      </w:r>
      <w:r w:rsidR="002C07B5" w:rsidRPr="00B461E3">
        <w:rPr>
          <w:rFonts w:ascii="Times New Roman" w:hAnsi="Times New Roman" w:cs="Times New Roman"/>
          <w:sz w:val="24"/>
          <w:szCs w:val="24"/>
        </w:rPr>
        <w:t xml:space="preserve"> che spiega sinteticamente il rimedio: </w:t>
      </w:r>
      <w:r w:rsidR="002C07B5" w:rsidRPr="00B461E3">
        <w:rPr>
          <w:rFonts w:ascii="Times New Roman" w:hAnsi="Times New Roman" w:cs="Times New Roman"/>
          <w:i/>
          <w:sz w:val="24"/>
          <w:szCs w:val="24"/>
        </w:rPr>
        <w:t>«ricetta per trasformare la pelle»; «ricetta per cacciare le rughe dal viso»; «ricetta per nascondere le macchie del viso»; «ricetta per rendere perfetto l’incarnato superficiale»; «ricetta per far sì che il viso sia disteso»</w:t>
      </w:r>
      <w:r w:rsidR="002C07B5" w:rsidRPr="00B461E3">
        <w:rPr>
          <w:rFonts w:ascii="Times New Roman" w:hAnsi="Times New Roman" w:cs="Times New Roman"/>
          <w:sz w:val="24"/>
          <w:szCs w:val="24"/>
        </w:rPr>
        <w:t>, ecc…</w:t>
      </w:r>
    </w:p>
    <w:p w:rsidR="002C07B5" w:rsidRPr="00B461E3" w:rsidRDefault="002C07B5"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Per fare qualche esempio dettagliato, di seguito alcune formule:</w:t>
      </w:r>
    </w:p>
    <w:p w:rsidR="002C07B5" w:rsidRPr="00B461E3" w:rsidRDefault="002C07B5"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i/>
          <w:sz w:val="24"/>
          <w:szCs w:val="24"/>
        </w:rPr>
        <w:t>«Ricetta per trasformare la pelle: miele1, natron rosso 1, sale marino 1; macinare in una massa omogenea e spalmare sulla pelle»</w:t>
      </w:r>
      <w:r w:rsidRPr="00B461E3">
        <w:rPr>
          <w:rFonts w:ascii="Times New Roman" w:hAnsi="Times New Roman" w:cs="Times New Roman"/>
          <w:sz w:val="24"/>
          <w:szCs w:val="24"/>
        </w:rPr>
        <w:t xml:space="preserve"> (formula 714);</w:t>
      </w:r>
    </w:p>
    <w:p w:rsidR="002C07B5" w:rsidRPr="00B461E3" w:rsidRDefault="002C07B5"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i/>
          <w:sz w:val="24"/>
          <w:szCs w:val="24"/>
        </w:rPr>
        <w:t>«Ricetta per rendere perfetto l’incarnato superficiale: polvere di alabastro 1, polvere di natron 1, sale marino 1, miele 1; mescolare fino a ottenere una pasta omogenea con il miele e spalmare sulla pelle»</w:t>
      </w:r>
      <w:r w:rsidRPr="00B461E3">
        <w:rPr>
          <w:rFonts w:ascii="Times New Roman" w:hAnsi="Times New Roman" w:cs="Times New Roman"/>
          <w:sz w:val="24"/>
          <w:szCs w:val="24"/>
        </w:rPr>
        <w:t xml:space="preserve"> (formula 715);</w:t>
      </w:r>
    </w:p>
    <w:p w:rsidR="002C07B5" w:rsidRPr="00B461E3" w:rsidRDefault="002C07B5"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i/>
          <w:sz w:val="24"/>
          <w:szCs w:val="24"/>
        </w:rPr>
        <w:t xml:space="preserve">«Altra ricetta per cacciare le rughe dal viso: resina di terebinto 1, cera 1, olio di moringa fresco 1, </w:t>
      </w:r>
      <w:r w:rsidR="008433A7" w:rsidRPr="00B461E3">
        <w:rPr>
          <w:rFonts w:ascii="Times New Roman" w:hAnsi="Times New Roman" w:cs="Times New Roman"/>
          <w:i/>
          <w:sz w:val="24"/>
          <w:szCs w:val="24"/>
        </w:rPr>
        <w:t>papiro</w:t>
      </w:r>
      <w:r w:rsidRPr="00B461E3">
        <w:rPr>
          <w:rFonts w:ascii="Times New Roman" w:hAnsi="Times New Roman" w:cs="Times New Roman"/>
          <w:i/>
          <w:sz w:val="24"/>
          <w:szCs w:val="24"/>
        </w:rPr>
        <w:t xml:space="preserve"> commestibile 1; triturare finemente e mettere in mucillagine, applicare al viso ogni giorno: fallo e vedrai!»</w:t>
      </w:r>
      <w:r w:rsidRPr="00B461E3">
        <w:rPr>
          <w:rFonts w:ascii="Times New Roman" w:hAnsi="Times New Roman" w:cs="Times New Roman"/>
          <w:sz w:val="24"/>
          <w:szCs w:val="24"/>
        </w:rPr>
        <w:t xml:space="preserve"> (formula 716).</w:t>
      </w:r>
    </w:p>
    <w:p w:rsidR="00F6784E" w:rsidRPr="00B461E3" w:rsidRDefault="00F6784E"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Oltre alla pelle, si è cercato di intervenire sui capelli:</w:t>
      </w:r>
      <w:r w:rsidR="00217818">
        <w:rPr>
          <w:rFonts w:ascii="Times New Roman" w:hAnsi="Times New Roman" w:cs="Times New Roman"/>
          <w:sz w:val="24"/>
          <w:szCs w:val="24"/>
        </w:rPr>
        <w:t xml:space="preserve"> </w:t>
      </w:r>
      <w:r w:rsidRPr="00217818">
        <w:rPr>
          <w:rFonts w:ascii="Times New Roman" w:hAnsi="Times New Roman" w:cs="Times New Roman"/>
          <w:i/>
          <w:sz w:val="24"/>
          <w:szCs w:val="24"/>
        </w:rPr>
        <w:t>«La capigliatura di una donna diverrà più folta grazie ai semi di ricino. Frantumare, amalgamare e trasformare in olio. Allora la donna se ne ungerà la testa»</w:t>
      </w:r>
      <w:r w:rsidRPr="00B461E3">
        <w:rPr>
          <w:rFonts w:ascii="Times New Roman" w:hAnsi="Times New Roman" w:cs="Times New Roman"/>
          <w:sz w:val="24"/>
          <w:szCs w:val="24"/>
        </w:rPr>
        <w:t xml:space="preserve"> (Formula 251);</w:t>
      </w:r>
    </w:p>
    <w:p w:rsidR="00F6784E" w:rsidRPr="00B461E3" w:rsidRDefault="00F6784E"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 xml:space="preserve">Le formule dalla 451 alla 463 concernono rimedi per </w:t>
      </w:r>
      <w:r w:rsidRPr="00217818">
        <w:rPr>
          <w:rFonts w:ascii="Times New Roman" w:hAnsi="Times New Roman" w:cs="Times New Roman"/>
          <w:i/>
          <w:sz w:val="24"/>
          <w:szCs w:val="24"/>
        </w:rPr>
        <w:t>«cacciare la sostanza che devasta i capelli e curarli (o per evitare che si sviluppi)»</w:t>
      </w:r>
      <w:r w:rsidRPr="00B461E3">
        <w:rPr>
          <w:rFonts w:ascii="Times New Roman" w:hAnsi="Times New Roman" w:cs="Times New Roman"/>
          <w:sz w:val="24"/>
          <w:szCs w:val="24"/>
        </w:rPr>
        <w:t xml:space="preserve"> e contengono una </w:t>
      </w:r>
      <w:r w:rsidR="00B461E3" w:rsidRPr="00B461E3">
        <w:rPr>
          <w:rFonts w:ascii="Times New Roman" w:hAnsi="Times New Roman" w:cs="Times New Roman"/>
          <w:sz w:val="24"/>
          <w:szCs w:val="24"/>
        </w:rPr>
        <w:t>rilevante</w:t>
      </w:r>
      <w:r w:rsidRPr="00B461E3">
        <w:rPr>
          <w:rFonts w:ascii="Times New Roman" w:hAnsi="Times New Roman" w:cs="Times New Roman"/>
          <w:sz w:val="24"/>
          <w:szCs w:val="24"/>
        </w:rPr>
        <w:t xml:space="preserve"> componente magica, proponendo l’uso di sangue di vitello o toro nero, sangue di tartaruga, placenta di gatta, grasso di serpente nero, corno di gazzella in polvere, ecc…, da mettere in olio o grasso e spalmare.</w:t>
      </w:r>
    </w:p>
    <w:p w:rsidR="004C15E7" w:rsidRPr="00B461E3" w:rsidRDefault="00F6784E" w:rsidP="00B461E3">
      <w:pPr>
        <w:spacing w:after="0" w:line="240" w:lineRule="auto"/>
        <w:jc w:val="both"/>
        <w:rPr>
          <w:rFonts w:ascii="Times New Roman" w:hAnsi="Times New Roman" w:cs="Times New Roman"/>
          <w:sz w:val="24"/>
          <w:szCs w:val="24"/>
        </w:rPr>
      </w:pPr>
      <w:r w:rsidRPr="00B461E3">
        <w:rPr>
          <w:rFonts w:ascii="Times New Roman" w:hAnsi="Times New Roman" w:cs="Times New Roman"/>
          <w:sz w:val="24"/>
          <w:szCs w:val="24"/>
        </w:rPr>
        <w:t xml:space="preserve">Dalla </w:t>
      </w:r>
      <w:r w:rsidR="00217818">
        <w:rPr>
          <w:rFonts w:ascii="Times New Roman" w:hAnsi="Times New Roman" w:cs="Times New Roman"/>
          <w:sz w:val="24"/>
          <w:szCs w:val="24"/>
        </w:rPr>
        <w:t xml:space="preserve">formula </w:t>
      </w:r>
      <w:r w:rsidRPr="00B461E3">
        <w:rPr>
          <w:rFonts w:ascii="Times New Roman" w:hAnsi="Times New Roman" w:cs="Times New Roman"/>
          <w:sz w:val="24"/>
          <w:szCs w:val="24"/>
        </w:rPr>
        <w:t>464 alla 476, il manoscritto offre la possibilità di «</w:t>
      </w:r>
      <w:r w:rsidRPr="00B461E3">
        <w:rPr>
          <w:rFonts w:ascii="Times New Roman" w:hAnsi="Times New Roman" w:cs="Times New Roman"/>
          <w:i/>
          <w:sz w:val="24"/>
          <w:szCs w:val="24"/>
        </w:rPr>
        <w:t>fortificare i ca</w:t>
      </w:r>
      <w:r w:rsidR="004C15E7" w:rsidRPr="00B461E3">
        <w:rPr>
          <w:rFonts w:ascii="Times New Roman" w:hAnsi="Times New Roman" w:cs="Times New Roman"/>
          <w:i/>
          <w:sz w:val="24"/>
          <w:szCs w:val="24"/>
        </w:rPr>
        <w:t>pelli</w:t>
      </w:r>
      <w:r w:rsidRPr="00B461E3">
        <w:rPr>
          <w:rFonts w:ascii="Times New Roman" w:hAnsi="Times New Roman" w:cs="Times New Roman"/>
          <w:sz w:val="24"/>
          <w:szCs w:val="24"/>
        </w:rPr>
        <w:t>»</w:t>
      </w:r>
      <w:r w:rsidR="004C15E7" w:rsidRPr="00B461E3">
        <w:rPr>
          <w:rFonts w:ascii="Times New Roman" w:hAnsi="Times New Roman" w:cs="Times New Roman"/>
          <w:sz w:val="24"/>
          <w:szCs w:val="24"/>
        </w:rPr>
        <w:t xml:space="preserve"> oppure di «</w:t>
      </w:r>
      <w:r w:rsidR="004C15E7" w:rsidRPr="00B461E3">
        <w:rPr>
          <w:rFonts w:ascii="Times New Roman" w:hAnsi="Times New Roman" w:cs="Times New Roman"/>
          <w:i/>
          <w:sz w:val="24"/>
          <w:szCs w:val="24"/>
        </w:rPr>
        <w:t>far crescere i capelli a un calvo</w:t>
      </w:r>
      <w:r w:rsidR="004C15E7" w:rsidRPr="00B461E3">
        <w:rPr>
          <w:rFonts w:ascii="Times New Roman" w:hAnsi="Times New Roman" w:cs="Times New Roman"/>
          <w:sz w:val="24"/>
          <w:szCs w:val="24"/>
        </w:rPr>
        <w:t xml:space="preserve">», come ad esempio la formula 465: </w:t>
      </w:r>
      <w:r w:rsidR="00D11E38" w:rsidRPr="00217818">
        <w:rPr>
          <w:rFonts w:ascii="Times New Roman" w:hAnsi="Times New Roman" w:cs="Times New Roman"/>
          <w:i/>
          <w:sz w:val="24"/>
          <w:szCs w:val="24"/>
        </w:rPr>
        <w:t>«altra ricetta per far crescere i capelli a un calvo: grasso di leone 1, grasso di ippopotamo 1, grasso di coccodrillo 1, grasso di gatto 1, grasso di serpente 1, grasso di stambecco 1; preparare fino a ottenere una massa omogenea e spalmare in testa»</w:t>
      </w:r>
      <w:r w:rsidR="00D11E38" w:rsidRPr="00B461E3">
        <w:rPr>
          <w:rFonts w:ascii="Times New Roman" w:hAnsi="Times New Roman" w:cs="Times New Roman"/>
          <w:sz w:val="24"/>
          <w:szCs w:val="24"/>
        </w:rPr>
        <w:t>.</w:t>
      </w:r>
    </w:p>
    <w:p w:rsidR="00F6784E" w:rsidRDefault="0072118D" w:rsidP="0072118D">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Nel prezioso documento sono presenti non solo rimedi per migliorare l’estetica del corpo, ma anche ricette o proposte per curare problemi ben più gravi.  </w:t>
      </w:r>
    </w:p>
    <w:p w:rsidR="0072118D" w:rsidRDefault="0072118D" w:rsidP="00721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 la cataratta, definita </w:t>
      </w:r>
      <w:r w:rsidRPr="0072118D">
        <w:rPr>
          <w:rFonts w:ascii="Transliteration" w:hAnsi="Transliteration" w:cs="Times New Roman"/>
          <w:sz w:val="24"/>
          <w:szCs w:val="24"/>
        </w:rPr>
        <w:t>Ax.t n.t mw m ir.ty</w:t>
      </w:r>
      <w:r>
        <w:rPr>
          <w:rFonts w:ascii="Times New Roman" w:hAnsi="Times New Roman" w:cs="Times New Roman"/>
          <w:sz w:val="24"/>
          <w:szCs w:val="24"/>
        </w:rPr>
        <w:t xml:space="preserve"> </w:t>
      </w:r>
      <w:r w:rsidRPr="00B461E3">
        <w:rPr>
          <w:rFonts w:ascii="Times New Roman" w:hAnsi="Times New Roman" w:cs="Times New Roman"/>
          <w:sz w:val="24"/>
          <w:szCs w:val="24"/>
        </w:rPr>
        <w:t>‘la salita dell’acqua negli occhi’</w:t>
      </w:r>
      <w:r>
        <w:rPr>
          <w:rFonts w:ascii="Times New Roman" w:hAnsi="Times New Roman" w:cs="Times New Roman"/>
          <w:sz w:val="24"/>
          <w:szCs w:val="24"/>
        </w:rPr>
        <w:t>, il Papiro Ebers propone tre rimedi (formule 378-380)</w:t>
      </w:r>
      <w:r>
        <w:rPr>
          <w:rStyle w:val="Rimandonotaapidipagina"/>
          <w:rFonts w:ascii="Times New Roman" w:hAnsi="Times New Roman" w:cs="Times New Roman"/>
          <w:sz w:val="24"/>
          <w:szCs w:val="24"/>
        </w:rPr>
        <w:footnoteReference w:id="10"/>
      </w:r>
      <w:r>
        <w:rPr>
          <w:rFonts w:ascii="Times New Roman" w:hAnsi="Times New Roman" w:cs="Times New Roman"/>
          <w:sz w:val="24"/>
          <w:szCs w:val="24"/>
        </w:rPr>
        <w:t xml:space="preserve">; eccone uno: </w:t>
      </w:r>
      <w:r w:rsidRPr="00217818">
        <w:rPr>
          <w:rFonts w:ascii="Times New Roman" w:hAnsi="Times New Roman" w:cs="Times New Roman"/>
          <w:i/>
          <w:sz w:val="24"/>
          <w:szCs w:val="24"/>
        </w:rPr>
        <w:t>«Altro rimedio per cacciare la salita dell’acqua negli occhi: asa phoetida 1, malachite 1, nafta 1. Frantumare e amalgamare, poi si spalmeranno gli occhi per mezzo di questo»</w:t>
      </w:r>
      <w:r>
        <w:rPr>
          <w:rFonts w:ascii="Times New Roman" w:hAnsi="Times New Roman" w:cs="Times New Roman"/>
          <w:sz w:val="24"/>
          <w:szCs w:val="24"/>
        </w:rPr>
        <w:t xml:space="preserve"> (formula 380). </w:t>
      </w:r>
    </w:p>
    <w:p w:rsidR="00172040" w:rsidRDefault="00C05B93" w:rsidP="00172040">
      <w:pPr>
        <w:spacing w:after="0" w:line="240" w:lineRule="auto"/>
        <w:jc w:val="both"/>
        <w:rPr>
          <w:rFonts w:ascii="Times New Roman" w:hAnsi="Times New Roman" w:cs="Times New Roman"/>
          <w:sz w:val="24"/>
          <w:szCs w:val="24"/>
        </w:rPr>
      </w:pPr>
      <w:r w:rsidRPr="0072118D">
        <w:rPr>
          <w:rFonts w:ascii="Times New Roman" w:hAnsi="Times New Roman" w:cs="Times New Roman"/>
          <w:sz w:val="24"/>
          <w:szCs w:val="24"/>
        </w:rPr>
        <w:t>Anche</w:t>
      </w:r>
      <w:r w:rsidR="00EA7C2B" w:rsidRPr="0072118D">
        <w:rPr>
          <w:rFonts w:ascii="Times New Roman" w:hAnsi="Times New Roman" w:cs="Times New Roman"/>
          <w:sz w:val="24"/>
          <w:szCs w:val="24"/>
        </w:rPr>
        <w:t xml:space="preserve"> la</w:t>
      </w:r>
      <w:r w:rsidRPr="0072118D">
        <w:rPr>
          <w:rFonts w:ascii="Times New Roman" w:hAnsi="Times New Roman" w:cs="Times New Roman"/>
          <w:sz w:val="24"/>
          <w:szCs w:val="24"/>
        </w:rPr>
        <w:t xml:space="preserve"> </w:t>
      </w:r>
      <w:r w:rsidR="00EA7C2B" w:rsidRPr="0072118D">
        <w:rPr>
          <w:rFonts w:ascii="Times New Roman" w:hAnsi="Times New Roman" w:cs="Times New Roman"/>
          <w:sz w:val="24"/>
          <w:szCs w:val="24"/>
        </w:rPr>
        <w:t>demenza senile</w:t>
      </w:r>
      <w:r w:rsidR="00172040">
        <w:rPr>
          <w:rFonts w:ascii="Times New Roman" w:hAnsi="Times New Roman" w:cs="Times New Roman"/>
          <w:sz w:val="24"/>
          <w:szCs w:val="24"/>
        </w:rPr>
        <w:t>,</w:t>
      </w:r>
      <w:r w:rsidRPr="0072118D">
        <w:rPr>
          <w:rFonts w:ascii="Times New Roman" w:hAnsi="Times New Roman" w:cs="Times New Roman"/>
          <w:sz w:val="24"/>
          <w:szCs w:val="24"/>
        </w:rPr>
        <w:t xml:space="preserve"> quale conseguenza dell’invecchiamento</w:t>
      </w:r>
      <w:r w:rsidR="0072118D">
        <w:rPr>
          <w:rFonts w:ascii="Times New Roman" w:hAnsi="Times New Roman" w:cs="Times New Roman"/>
          <w:sz w:val="24"/>
          <w:szCs w:val="24"/>
        </w:rPr>
        <w:t xml:space="preserve"> è</w:t>
      </w:r>
      <w:r w:rsidR="00EA7C2B" w:rsidRPr="0072118D">
        <w:rPr>
          <w:rFonts w:ascii="Times New Roman" w:hAnsi="Times New Roman" w:cs="Times New Roman"/>
          <w:sz w:val="24"/>
          <w:szCs w:val="24"/>
        </w:rPr>
        <w:t xml:space="preserve"> riportata </w:t>
      </w:r>
      <w:r w:rsidR="0072118D">
        <w:rPr>
          <w:rFonts w:ascii="Times New Roman" w:hAnsi="Times New Roman" w:cs="Times New Roman"/>
          <w:sz w:val="24"/>
          <w:szCs w:val="24"/>
        </w:rPr>
        <w:t>sul manoscritto</w:t>
      </w:r>
      <w:r w:rsidRPr="0072118D">
        <w:rPr>
          <w:rFonts w:ascii="Times New Roman" w:hAnsi="Times New Roman" w:cs="Times New Roman"/>
          <w:sz w:val="24"/>
          <w:szCs w:val="24"/>
        </w:rPr>
        <w:t xml:space="preserve">, </w:t>
      </w:r>
      <w:r w:rsidR="00172040">
        <w:rPr>
          <w:rFonts w:ascii="Times New Roman" w:hAnsi="Times New Roman" w:cs="Times New Roman"/>
          <w:sz w:val="24"/>
          <w:szCs w:val="24"/>
        </w:rPr>
        <w:t>precisamente quando è</w:t>
      </w:r>
      <w:r w:rsidRPr="0072118D">
        <w:rPr>
          <w:rFonts w:ascii="Times New Roman" w:hAnsi="Times New Roman" w:cs="Times New Roman"/>
          <w:sz w:val="24"/>
          <w:szCs w:val="24"/>
        </w:rPr>
        <w:t xml:space="preserve"> cita</w:t>
      </w:r>
      <w:r w:rsidR="00172040">
        <w:rPr>
          <w:rFonts w:ascii="Times New Roman" w:hAnsi="Times New Roman" w:cs="Times New Roman"/>
          <w:sz w:val="24"/>
          <w:szCs w:val="24"/>
        </w:rPr>
        <w:t>ta</w:t>
      </w:r>
      <w:r w:rsidRPr="0072118D">
        <w:rPr>
          <w:rFonts w:ascii="Times New Roman" w:hAnsi="Times New Roman" w:cs="Times New Roman"/>
          <w:sz w:val="24"/>
          <w:szCs w:val="24"/>
        </w:rPr>
        <w:t xml:space="preserve"> la perdita delle funzioni superiori sotto l’effetto distruttivo di </w:t>
      </w:r>
      <w:r w:rsidRPr="00D805DE">
        <w:rPr>
          <w:rFonts w:ascii="Times New Roman" w:hAnsi="Times New Roman" w:cs="Times New Roman"/>
          <w:sz w:val="24"/>
          <w:szCs w:val="24"/>
        </w:rPr>
        <w:t>un soffio morboso</w:t>
      </w:r>
      <w:r w:rsidR="00172040">
        <w:rPr>
          <w:rFonts w:ascii="Times New Roman" w:hAnsi="Times New Roman" w:cs="Times New Roman"/>
          <w:sz w:val="24"/>
          <w:szCs w:val="24"/>
        </w:rPr>
        <w:t>,</w:t>
      </w:r>
      <w:r w:rsidRPr="00D805DE">
        <w:rPr>
          <w:rFonts w:ascii="Times New Roman" w:hAnsi="Times New Roman" w:cs="Times New Roman"/>
          <w:sz w:val="24"/>
          <w:szCs w:val="24"/>
        </w:rPr>
        <w:t xml:space="preserve"> esteso nell’interno</w:t>
      </w:r>
      <w:r w:rsidR="00D805DE" w:rsidRPr="00D805DE">
        <w:rPr>
          <w:rFonts w:ascii="Times New Roman" w:hAnsi="Times New Roman" w:cs="Times New Roman"/>
          <w:sz w:val="24"/>
          <w:szCs w:val="24"/>
        </w:rPr>
        <w:t xml:space="preserve"> (formula </w:t>
      </w:r>
      <w:r w:rsidRPr="00D805DE">
        <w:rPr>
          <w:rFonts w:ascii="Times New Roman" w:hAnsi="Times New Roman" w:cs="Times New Roman"/>
          <w:sz w:val="24"/>
          <w:szCs w:val="24"/>
        </w:rPr>
        <w:t>855u</w:t>
      </w:r>
      <w:r w:rsidR="00D805DE" w:rsidRPr="00D805DE">
        <w:rPr>
          <w:rFonts w:ascii="Times New Roman" w:hAnsi="Times New Roman" w:cs="Times New Roman"/>
          <w:sz w:val="24"/>
          <w:szCs w:val="24"/>
        </w:rPr>
        <w:t>)</w:t>
      </w:r>
      <w:r w:rsidRPr="00D805DE">
        <w:rPr>
          <w:rFonts w:ascii="Times New Roman" w:hAnsi="Times New Roman" w:cs="Times New Roman"/>
          <w:sz w:val="24"/>
          <w:szCs w:val="24"/>
        </w:rPr>
        <w:t xml:space="preserve">: </w:t>
      </w:r>
      <w:r w:rsidR="00D805DE" w:rsidRPr="00D805DE">
        <w:rPr>
          <w:rFonts w:ascii="Times New Roman" w:hAnsi="Times New Roman" w:cs="Times New Roman"/>
          <w:i/>
          <w:sz w:val="24"/>
          <w:szCs w:val="24"/>
        </w:rPr>
        <w:t>«</w:t>
      </w:r>
      <w:r w:rsidR="00D805DE">
        <w:rPr>
          <w:rFonts w:ascii="Times New Roman" w:hAnsi="Times New Roman" w:cs="Times New Roman"/>
          <w:i/>
          <w:sz w:val="24"/>
          <w:szCs w:val="24"/>
        </w:rPr>
        <w:t>Q</w:t>
      </w:r>
      <w:r w:rsidR="006B06D2" w:rsidRPr="00D805DE">
        <w:rPr>
          <w:rFonts w:ascii="Times New Roman" w:hAnsi="Times New Roman" w:cs="Times New Roman"/>
          <w:i/>
          <w:sz w:val="24"/>
          <w:szCs w:val="24"/>
        </w:rPr>
        <w:t xml:space="preserve">uanto al fatto che l’interno deperisca </w:t>
      </w:r>
      <w:r w:rsidRPr="00D805DE">
        <w:rPr>
          <w:rFonts w:ascii="Times New Roman" w:hAnsi="Times New Roman" w:cs="Times New Roman"/>
          <w:i/>
          <w:sz w:val="24"/>
          <w:szCs w:val="24"/>
        </w:rPr>
        <w:t xml:space="preserve">e </w:t>
      </w:r>
      <w:r w:rsidR="006B06D2" w:rsidRPr="00D805DE">
        <w:rPr>
          <w:rFonts w:ascii="Times New Roman" w:hAnsi="Times New Roman" w:cs="Times New Roman"/>
          <w:i/>
          <w:sz w:val="24"/>
          <w:szCs w:val="24"/>
        </w:rPr>
        <w:t xml:space="preserve">quanto alla </w:t>
      </w:r>
      <w:r w:rsidR="00172040">
        <w:rPr>
          <w:rFonts w:ascii="Times New Roman" w:hAnsi="Times New Roman" w:cs="Times New Roman"/>
          <w:i/>
          <w:sz w:val="24"/>
          <w:szCs w:val="24"/>
        </w:rPr>
        <w:t>perdita della memoria,</w:t>
      </w:r>
      <w:r w:rsidRPr="00D805DE">
        <w:rPr>
          <w:rFonts w:ascii="Times New Roman" w:hAnsi="Times New Roman" w:cs="Times New Roman"/>
          <w:i/>
          <w:sz w:val="24"/>
          <w:szCs w:val="24"/>
        </w:rPr>
        <w:t xml:space="preserve"> si tratta di un </w:t>
      </w:r>
      <w:r w:rsidRPr="00D805DE">
        <w:rPr>
          <w:rFonts w:ascii="Times New Roman" w:hAnsi="Times New Roman" w:cs="Times New Roman"/>
          <w:i/>
          <w:sz w:val="24"/>
          <w:szCs w:val="24"/>
        </w:rPr>
        <w:lastRenderedPageBreak/>
        <w:t>soffio proprio del campo di attività del sacerdote-lettore</w:t>
      </w:r>
      <w:r w:rsidR="00172040">
        <w:rPr>
          <w:rStyle w:val="Rimandonotaapidipagina"/>
          <w:rFonts w:ascii="Times New Roman" w:hAnsi="Times New Roman" w:cs="Times New Roman"/>
          <w:i/>
          <w:sz w:val="24"/>
          <w:szCs w:val="24"/>
        </w:rPr>
        <w:footnoteReference w:id="11"/>
      </w:r>
      <w:r w:rsidR="00EA7C2B" w:rsidRPr="00D805DE">
        <w:rPr>
          <w:rFonts w:ascii="Times New Roman" w:hAnsi="Times New Roman" w:cs="Times New Roman"/>
          <w:i/>
          <w:sz w:val="24"/>
          <w:szCs w:val="24"/>
        </w:rPr>
        <w:t>,</w:t>
      </w:r>
      <w:r w:rsidRPr="00D805DE">
        <w:rPr>
          <w:rFonts w:ascii="Times New Roman" w:hAnsi="Times New Roman" w:cs="Times New Roman"/>
          <w:i/>
          <w:sz w:val="24"/>
          <w:szCs w:val="24"/>
        </w:rPr>
        <w:t xml:space="preserve"> che lo </w:t>
      </w:r>
      <w:r w:rsidR="00EA7C2B" w:rsidRPr="00D805DE">
        <w:rPr>
          <w:rFonts w:ascii="Times New Roman" w:hAnsi="Times New Roman" w:cs="Times New Roman"/>
          <w:i/>
          <w:sz w:val="24"/>
          <w:szCs w:val="24"/>
        </w:rPr>
        <w:t>combatte</w:t>
      </w:r>
      <w:r w:rsidRPr="00D805DE">
        <w:rPr>
          <w:rFonts w:ascii="Times New Roman" w:hAnsi="Times New Roman" w:cs="Times New Roman"/>
          <w:i/>
          <w:sz w:val="24"/>
          <w:szCs w:val="24"/>
        </w:rPr>
        <w:t>. Quando esso entra nella trachea e nel polmone più volte, l’interno può subire delle lesioni</w:t>
      </w:r>
      <w:r w:rsidR="00D805DE" w:rsidRPr="00D805DE">
        <w:rPr>
          <w:rFonts w:ascii="Times New Roman" w:hAnsi="Times New Roman" w:cs="Times New Roman"/>
          <w:i/>
          <w:sz w:val="24"/>
          <w:szCs w:val="24"/>
        </w:rPr>
        <w:t>»</w:t>
      </w:r>
      <w:r w:rsidRPr="00D805DE">
        <w:rPr>
          <w:rFonts w:ascii="Times New Roman" w:hAnsi="Times New Roman" w:cs="Times New Roman"/>
          <w:sz w:val="24"/>
          <w:szCs w:val="24"/>
        </w:rPr>
        <w:t xml:space="preserve">. </w:t>
      </w:r>
    </w:p>
    <w:p w:rsidR="000E7E2E" w:rsidRPr="00172040" w:rsidRDefault="00172040" w:rsidP="00172040">
      <w:pPr>
        <w:spacing w:after="0" w:line="240" w:lineRule="auto"/>
        <w:jc w:val="both"/>
        <w:rPr>
          <w:rFonts w:ascii="Times New Roman" w:hAnsi="Times New Roman" w:cs="Times New Roman"/>
          <w:sz w:val="24"/>
          <w:szCs w:val="24"/>
        </w:rPr>
      </w:pPr>
      <w:r w:rsidRPr="00172040">
        <w:rPr>
          <w:rFonts w:ascii="Times New Roman" w:hAnsi="Times New Roman" w:cs="Times New Roman"/>
          <w:sz w:val="24"/>
          <w:szCs w:val="24"/>
        </w:rPr>
        <w:t xml:space="preserve">Anche il progressivo logoramento corporeo è citato nel documento, ma purtroppo  non è segnalato alcun rimedio; </w:t>
      </w:r>
      <w:r>
        <w:rPr>
          <w:rFonts w:ascii="Times New Roman" w:hAnsi="Times New Roman" w:cs="Times New Roman"/>
          <w:sz w:val="24"/>
          <w:szCs w:val="24"/>
        </w:rPr>
        <w:t>la formula</w:t>
      </w:r>
      <w:r w:rsidR="00EA7C2B" w:rsidRPr="00172040">
        <w:rPr>
          <w:rFonts w:ascii="Times New Roman" w:hAnsi="Times New Roman" w:cs="Times New Roman"/>
          <w:sz w:val="24"/>
          <w:szCs w:val="24"/>
        </w:rPr>
        <w:t xml:space="preserve"> </w:t>
      </w:r>
      <w:r w:rsidR="000E7E2E" w:rsidRPr="00172040">
        <w:rPr>
          <w:rFonts w:ascii="Times New Roman" w:hAnsi="Times New Roman" w:cs="Times New Roman"/>
          <w:sz w:val="24"/>
          <w:szCs w:val="24"/>
        </w:rPr>
        <w:t>85</w:t>
      </w:r>
      <w:r w:rsidR="00155C3A" w:rsidRPr="00172040">
        <w:rPr>
          <w:rFonts w:ascii="Times New Roman" w:hAnsi="Times New Roman" w:cs="Times New Roman"/>
          <w:sz w:val="24"/>
          <w:szCs w:val="24"/>
        </w:rPr>
        <w:t>5</w:t>
      </w:r>
      <w:r w:rsidR="000E7E2E" w:rsidRPr="00172040">
        <w:rPr>
          <w:rFonts w:ascii="Times New Roman" w:hAnsi="Times New Roman" w:cs="Times New Roman"/>
          <w:sz w:val="24"/>
          <w:szCs w:val="24"/>
        </w:rPr>
        <w:t xml:space="preserve">m </w:t>
      </w:r>
      <w:r>
        <w:rPr>
          <w:rFonts w:ascii="Times New Roman" w:hAnsi="Times New Roman" w:cs="Times New Roman"/>
          <w:sz w:val="24"/>
          <w:szCs w:val="24"/>
        </w:rPr>
        <w:t xml:space="preserve">recita infatti: </w:t>
      </w:r>
      <w:r w:rsidRPr="00172040">
        <w:rPr>
          <w:rFonts w:ascii="Times New Roman" w:hAnsi="Times New Roman" w:cs="Times New Roman"/>
          <w:i/>
          <w:sz w:val="24"/>
          <w:szCs w:val="24"/>
        </w:rPr>
        <w:t>«</w:t>
      </w:r>
      <w:r w:rsidR="00F05CBB" w:rsidRPr="00172040">
        <w:rPr>
          <w:rFonts w:ascii="Times New Roman" w:hAnsi="Times New Roman" w:cs="Times New Roman"/>
          <w:i/>
          <w:sz w:val="24"/>
          <w:szCs w:val="24"/>
        </w:rPr>
        <w:t xml:space="preserve">quanto al logoramento </w:t>
      </w:r>
      <w:r w:rsidR="000E7E2E" w:rsidRPr="00172040">
        <w:rPr>
          <w:rFonts w:ascii="Times New Roman" w:hAnsi="Times New Roman" w:cs="Times New Roman"/>
          <w:i/>
          <w:sz w:val="24"/>
          <w:szCs w:val="24"/>
        </w:rPr>
        <w:t>fisic</w:t>
      </w:r>
      <w:r w:rsidR="00F05CBB" w:rsidRPr="00172040">
        <w:rPr>
          <w:rFonts w:ascii="Times New Roman" w:hAnsi="Times New Roman" w:cs="Times New Roman"/>
          <w:i/>
          <w:sz w:val="24"/>
          <w:szCs w:val="24"/>
        </w:rPr>
        <w:t>o</w:t>
      </w:r>
      <w:r w:rsidR="000E7E2E" w:rsidRPr="00172040">
        <w:rPr>
          <w:rFonts w:ascii="Times New Roman" w:hAnsi="Times New Roman" w:cs="Times New Roman"/>
          <w:i/>
          <w:sz w:val="24"/>
          <w:szCs w:val="24"/>
        </w:rPr>
        <w:t xml:space="preserve"> della vecchiaia, la causa è nell’azione degli </w:t>
      </w:r>
      <w:r w:rsidR="000E7E2E" w:rsidRPr="00172040">
        <w:rPr>
          <w:rFonts w:ascii="Times New Roman" w:hAnsi="Times New Roman" w:cs="Times New Roman"/>
          <w:sz w:val="24"/>
          <w:szCs w:val="24"/>
        </w:rPr>
        <w:t>ukhedu</w:t>
      </w:r>
      <w:r>
        <w:rPr>
          <w:rStyle w:val="Rimandonotaapidipagina"/>
          <w:rFonts w:ascii="Times New Roman" w:hAnsi="Times New Roman" w:cs="Times New Roman"/>
          <w:sz w:val="24"/>
          <w:szCs w:val="24"/>
        </w:rPr>
        <w:footnoteReference w:id="12"/>
      </w:r>
      <w:r w:rsidR="000E7E2E" w:rsidRPr="00172040">
        <w:rPr>
          <w:rFonts w:ascii="Times New Roman" w:hAnsi="Times New Roman" w:cs="Times New Roman"/>
          <w:i/>
          <w:sz w:val="24"/>
          <w:szCs w:val="24"/>
        </w:rPr>
        <w:t xml:space="preserve"> sul cuore dell’uomo</w:t>
      </w:r>
      <w:r w:rsidRPr="00172040">
        <w:rPr>
          <w:rFonts w:ascii="Times New Roman" w:hAnsi="Times New Roman" w:cs="Times New Roman"/>
          <w:i/>
          <w:sz w:val="24"/>
          <w:szCs w:val="24"/>
        </w:rPr>
        <w:t>»</w:t>
      </w:r>
      <w:r w:rsidR="000E7E2E" w:rsidRPr="00172040">
        <w:rPr>
          <w:rFonts w:ascii="Times New Roman" w:hAnsi="Times New Roman" w:cs="Times New Roman"/>
          <w:sz w:val="24"/>
          <w:szCs w:val="24"/>
        </w:rPr>
        <w:t xml:space="preserve">. </w:t>
      </w:r>
    </w:p>
    <w:p w:rsidR="00155C3A" w:rsidRPr="00B9417F" w:rsidRDefault="00172040" w:rsidP="00172040">
      <w:pPr>
        <w:spacing w:after="0" w:line="240" w:lineRule="auto"/>
        <w:jc w:val="both"/>
        <w:rPr>
          <w:rFonts w:ascii="Times New Roman" w:hAnsi="Times New Roman" w:cs="Times New Roman"/>
          <w:sz w:val="24"/>
          <w:szCs w:val="24"/>
        </w:rPr>
      </w:pPr>
      <w:r w:rsidRPr="00B9417F">
        <w:rPr>
          <w:rFonts w:ascii="Times New Roman" w:hAnsi="Times New Roman" w:cs="Times New Roman"/>
          <w:sz w:val="24"/>
          <w:szCs w:val="24"/>
        </w:rPr>
        <w:t xml:space="preserve">Il tremore alle mani, che alcuni medici odierni hanno ritenuto di identificare nel morbo di Parkinson in fase iniziale, </w:t>
      </w:r>
      <w:r w:rsidR="00B9417F" w:rsidRPr="00B9417F">
        <w:rPr>
          <w:rFonts w:ascii="Times New Roman" w:hAnsi="Times New Roman" w:cs="Times New Roman"/>
          <w:sz w:val="24"/>
          <w:szCs w:val="24"/>
        </w:rPr>
        <w:t>è combattuto in questo modo:</w:t>
      </w:r>
      <w:r w:rsidR="00155C3A" w:rsidRPr="00B9417F">
        <w:rPr>
          <w:rFonts w:ascii="Times New Roman" w:hAnsi="Times New Roman" w:cs="Times New Roman"/>
          <w:sz w:val="24"/>
          <w:szCs w:val="24"/>
        </w:rPr>
        <w:t xml:space="preserve"> </w:t>
      </w:r>
      <w:r w:rsidR="00B9417F" w:rsidRPr="00B9417F">
        <w:rPr>
          <w:rFonts w:ascii="Times New Roman" w:hAnsi="Times New Roman" w:cs="Times New Roman"/>
          <w:i/>
          <w:sz w:val="24"/>
          <w:szCs w:val="24"/>
        </w:rPr>
        <w:t>«</w:t>
      </w:r>
      <w:r w:rsidR="00B9417F">
        <w:rPr>
          <w:rFonts w:ascii="Times New Roman" w:hAnsi="Times New Roman" w:cs="Times New Roman"/>
          <w:i/>
          <w:sz w:val="24"/>
          <w:szCs w:val="24"/>
        </w:rPr>
        <w:t>R</w:t>
      </w:r>
      <w:r w:rsidR="00155C3A" w:rsidRPr="00B9417F">
        <w:rPr>
          <w:rFonts w:ascii="Times New Roman" w:hAnsi="Times New Roman" w:cs="Times New Roman"/>
          <w:i/>
          <w:sz w:val="24"/>
          <w:szCs w:val="24"/>
        </w:rPr>
        <w:t xml:space="preserve">imedio per scacciare le sostanze che causano il tremore e che si trovano nelle dita: </w:t>
      </w:r>
      <w:r w:rsidR="00D7239A" w:rsidRPr="00B9417F">
        <w:rPr>
          <w:rFonts w:ascii="Times New Roman" w:hAnsi="Times New Roman" w:cs="Times New Roman"/>
          <w:i/>
          <w:sz w:val="24"/>
          <w:szCs w:val="24"/>
        </w:rPr>
        <w:t>g</w:t>
      </w:r>
      <w:r w:rsidR="00155C3A" w:rsidRPr="00B9417F">
        <w:rPr>
          <w:rFonts w:ascii="Times New Roman" w:hAnsi="Times New Roman" w:cs="Times New Roman"/>
          <w:i/>
          <w:sz w:val="24"/>
          <w:szCs w:val="24"/>
        </w:rPr>
        <w:t>rani di pianta-</w:t>
      </w:r>
      <w:r w:rsidR="00155C3A" w:rsidRPr="00B9417F">
        <w:rPr>
          <w:rFonts w:ascii="Times New Roman" w:hAnsi="Times New Roman" w:cs="Times New Roman"/>
          <w:sz w:val="24"/>
          <w:szCs w:val="24"/>
        </w:rPr>
        <w:t>tjun</w:t>
      </w:r>
      <w:r w:rsidR="00155C3A" w:rsidRPr="00B9417F">
        <w:rPr>
          <w:rFonts w:ascii="Times New Roman" w:hAnsi="Times New Roman" w:cs="Times New Roman"/>
          <w:i/>
          <w:sz w:val="24"/>
          <w:szCs w:val="24"/>
        </w:rPr>
        <w:t xml:space="preserve">; grasso di toro 1, </w:t>
      </w:r>
      <w:r w:rsidR="00155C3A" w:rsidRPr="00B9417F">
        <w:rPr>
          <w:rFonts w:ascii="Times New Roman" w:hAnsi="Times New Roman" w:cs="Times New Roman"/>
          <w:sz w:val="24"/>
          <w:szCs w:val="24"/>
        </w:rPr>
        <w:t>seseka</w:t>
      </w:r>
      <w:r w:rsidR="00155C3A" w:rsidRPr="00B9417F">
        <w:rPr>
          <w:rFonts w:ascii="Times New Roman" w:hAnsi="Times New Roman" w:cs="Times New Roman"/>
          <w:i/>
          <w:sz w:val="24"/>
          <w:szCs w:val="24"/>
        </w:rPr>
        <w:t xml:space="preserve"> 1; latte 1, sale marino 1, sicomoro 1. Sarà cotto e p</w:t>
      </w:r>
      <w:r w:rsidR="00B9417F">
        <w:rPr>
          <w:rFonts w:ascii="Times New Roman" w:hAnsi="Times New Roman" w:cs="Times New Roman"/>
          <w:i/>
          <w:sz w:val="24"/>
          <w:szCs w:val="24"/>
        </w:rPr>
        <w:t>reparato in una massa omogenea; s</w:t>
      </w:r>
      <w:r w:rsidR="00155C3A" w:rsidRPr="00B9417F">
        <w:rPr>
          <w:rFonts w:ascii="Times New Roman" w:hAnsi="Times New Roman" w:cs="Times New Roman"/>
          <w:i/>
          <w:sz w:val="24"/>
          <w:szCs w:val="24"/>
        </w:rPr>
        <w:t>palmare con questo</w:t>
      </w:r>
      <w:r w:rsidR="00B9417F" w:rsidRPr="00B9417F">
        <w:rPr>
          <w:rFonts w:ascii="Times New Roman" w:hAnsi="Times New Roman" w:cs="Times New Roman"/>
          <w:i/>
          <w:sz w:val="24"/>
          <w:szCs w:val="24"/>
        </w:rPr>
        <w:t>»</w:t>
      </w:r>
      <w:r w:rsidR="00155C3A" w:rsidRPr="00B9417F">
        <w:rPr>
          <w:rFonts w:ascii="Times New Roman" w:hAnsi="Times New Roman" w:cs="Times New Roman"/>
          <w:sz w:val="24"/>
          <w:szCs w:val="24"/>
        </w:rPr>
        <w:t xml:space="preserve"> (</w:t>
      </w:r>
      <w:r w:rsidR="00B9417F" w:rsidRPr="00B9417F">
        <w:rPr>
          <w:rFonts w:ascii="Times New Roman" w:hAnsi="Times New Roman" w:cs="Times New Roman"/>
          <w:sz w:val="24"/>
          <w:szCs w:val="24"/>
        </w:rPr>
        <w:t>formula 623</w:t>
      </w:r>
      <w:r w:rsidR="00155C3A" w:rsidRPr="00B9417F">
        <w:rPr>
          <w:rFonts w:ascii="Times New Roman" w:hAnsi="Times New Roman" w:cs="Times New Roman"/>
          <w:sz w:val="24"/>
          <w:szCs w:val="24"/>
        </w:rPr>
        <w:t xml:space="preserve">).  </w:t>
      </w:r>
    </w:p>
    <w:p w:rsidR="00B9417F" w:rsidRDefault="00B9417F" w:rsidP="00B461E3">
      <w:pPr>
        <w:spacing w:after="0" w:line="240" w:lineRule="auto"/>
        <w:rPr>
          <w:rFonts w:ascii="Times New Roman" w:hAnsi="Times New Roman" w:cs="Times New Roman"/>
          <w:b/>
          <w:sz w:val="24"/>
          <w:szCs w:val="24"/>
        </w:rPr>
      </w:pPr>
    </w:p>
    <w:p w:rsidR="007946F5" w:rsidRPr="007946F5" w:rsidRDefault="00217818" w:rsidP="002A523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Infine, s</w:t>
      </w:r>
      <w:r w:rsidR="00362D77" w:rsidRPr="00B461E3">
        <w:rPr>
          <w:rFonts w:ascii="Times New Roman" w:hAnsi="Times New Roman" w:cs="Times New Roman"/>
          <w:sz w:val="24"/>
          <w:szCs w:val="24"/>
        </w:rPr>
        <w:t xml:space="preserve">otto i colpi impietosi del decadimento s’indeboliscono </w:t>
      </w:r>
      <w:r w:rsidR="007F4D16">
        <w:rPr>
          <w:rFonts w:ascii="Times New Roman" w:hAnsi="Times New Roman" w:cs="Times New Roman"/>
          <w:sz w:val="24"/>
          <w:szCs w:val="24"/>
        </w:rPr>
        <w:t>addirittura gli dèi. D</w:t>
      </w:r>
      <w:r w:rsidR="007946F5">
        <w:rPr>
          <w:rFonts w:ascii="Times New Roman" w:hAnsi="Times New Roman" w:cs="Times New Roman"/>
          <w:sz w:val="24"/>
          <w:szCs w:val="24"/>
        </w:rPr>
        <w:t>el resto la vecchiaia non è che l’araldo della morte e quest’ultima, per gli Egiziani</w:t>
      </w:r>
      <w:r w:rsidR="007F4D16">
        <w:rPr>
          <w:rFonts w:ascii="Times New Roman" w:hAnsi="Times New Roman" w:cs="Times New Roman"/>
          <w:sz w:val="24"/>
          <w:szCs w:val="24"/>
        </w:rPr>
        <w:t>,</w:t>
      </w:r>
      <w:r w:rsidR="007946F5">
        <w:rPr>
          <w:rFonts w:ascii="Times New Roman" w:hAnsi="Times New Roman" w:cs="Times New Roman"/>
          <w:sz w:val="24"/>
          <w:szCs w:val="24"/>
        </w:rPr>
        <w:t xml:space="preserve"> è solo uno dei tanti fenomeni naturali:</w:t>
      </w:r>
      <w:r w:rsidR="00596E5B" w:rsidRPr="00B461E3">
        <w:rPr>
          <w:rFonts w:ascii="Times New Roman" w:hAnsi="Times New Roman" w:cs="Times New Roman"/>
          <w:sz w:val="24"/>
          <w:szCs w:val="24"/>
        </w:rPr>
        <w:t xml:space="preserve"> </w:t>
      </w:r>
      <w:r w:rsidR="007946F5" w:rsidRPr="007946F5">
        <w:rPr>
          <w:rFonts w:ascii="Times New Roman" w:eastAsia="Book Antiqua" w:hAnsi="Times New Roman" w:cs="Times New Roman"/>
          <w:kern w:val="1"/>
          <w:sz w:val="24"/>
          <w:szCs w:val="24"/>
        </w:rPr>
        <w:t>quale parte costitutiva dell’ordine cosmico, è un momento dell’esistenza e pertanto si trova nella lista di quegli elementi che co</w:t>
      </w:r>
      <w:r w:rsidR="007946F5">
        <w:rPr>
          <w:rFonts w:ascii="Times New Roman" w:eastAsia="Book Antiqua" w:hAnsi="Times New Roman" w:cs="Times New Roman"/>
          <w:kern w:val="1"/>
          <w:sz w:val="24"/>
          <w:szCs w:val="24"/>
        </w:rPr>
        <w:t>stituiscono l’universo creato; e</w:t>
      </w:r>
      <w:r w:rsidR="007946F5" w:rsidRPr="007946F5">
        <w:rPr>
          <w:rFonts w:ascii="Times New Roman" w:eastAsia="Book Antiqua" w:hAnsi="Times New Roman" w:cs="Times New Roman"/>
          <w:kern w:val="1"/>
          <w:sz w:val="24"/>
          <w:szCs w:val="24"/>
        </w:rPr>
        <w:t>ssendo</w:t>
      </w:r>
      <w:r w:rsidR="007946F5">
        <w:rPr>
          <w:rFonts w:ascii="Times New Roman" w:eastAsia="Book Antiqua" w:hAnsi="Times New Roman" w:cs="Times New Roman"/>
          <w:kern w:val="1"/>
          <w:sz w:val="24"/>
          <w:szCs w:val="24"/>
        </w:rPr>
        <w:t>, pertanto,</w:t>
      </w:r>
      <w:r w:rsidR="007946F5" w:rsidRPr="007946F5">
        <w:rPr>
          <w:rFonts w:ascii="Times New Roman" w:eastAsia="Book Antiqua" w:hAnsi="Times New Roman" w:cs="Times New Roman"/>
          <w:kern w:val="1"/>
          <w:sz w:val="24"/>
          <w:szCs w:val="24"/>
        </w:rPr>
        <w:t xml:space="preserve"> indicata nell’elenco di tutte le componenti del cosmo assenti prima della creazione, soltanto l’ente creatore, Atum, sfugg</w:t>
      </w:r>
      <w:r w:rsidR="007946F5">
        <w:rPr>
          <w:rFonts w:ascii="Times New Roman" w:eastAsia="Book Antiqua" w:hAnsi="Times New Roman" w:cs="Times New Roman"/>
          <w:kern w:val="1"/>
          <w:sz w:val="24"/>
          <w:szCs w:val="24"/>
        </w:rPr>
        <w:t>e</w:t>
      </w:r>
      <w:r w:rsidR="007946F5" w:rsidRPr="007946F5">
        <w:rPr>
          <w:rFonts w:ascii="Times New Roman" w:eastAsia="Book Antiqua" w:hAnsi="Times New Roman" w:cs="Times New Roman"/>
          <w:kern w:val="1"/>
          <w:sz w:val="24"/>
          <w:szCs w:val="24"/>
        </w:rPr>
        <w:t xml:space="preserve"> al giorno della propria morte, e così pure il sovrano, egualmente nato nel tempo anteriore alla storia</w:t>
      </w:r>
      <w:r w:rsidR="007946F5" w:rsidRPr="007946F5">
        <w:rPr>
          <w:rFonts w:ascii="Times New Roman" w:eastAsia="Book Antiqua" w:hAnsi="Times New Roman" w:cs="Times New Roman"/>
          <w:kern w:val="1"/>
          <w:sz w:val="24"/>
          <w:szCs w:val="24"/>
          <w:vertAlign w:val="superscript"/>
        </w:rPr>
        <w:footnoteReference w:id="13"/>
      </w:r>
      <w:r w:rsidR="007946F5" w:rsidRPr="007946F5">
        <w:rPr>
          <w:rFonts w:ascii="Times New Roman" w:eastAsia="Book Antiqua" w:hAnsi="Times New Roman" w:cs="Times New Roman"/>
          <w:kern w:val="1"/>
          <w:sz w:val="24"/>
          <w:szCs w:val="24"/>
        </w:rPr>
        <w:t xml:space="preserve">. Persino sugli dèi, in quanto </w:t>
      </w:r>
      <w:r w:rsidR="00D443EF">
        <w:rPr>
          <w:rFonts w:ascii="Times New Roman" w:eastAsia="Book Antiqua" w:hAnsi="Times New Roman" w:cs="Times New Roman"/>
          <w:kern w:val="1"/>
          <w:sz w:val="24"/>
          <w:szCs w:val="24"/>
        </w:rPr>
        <w:t xml:space="preserve">anch’essi </w:t>
      </w:r>
      <w:r w:rsidR="007946F5" w:rsidRPr="007946F5">
        <w:rPr>
          <w:rFonts w:ascii="Times New Roman" w:eastAsia="Book Antiqua" w:hAnsi="Times New Roman" w:cs="Times New Roman"/>
          <w:kern w:val="1"/>
          <w:sz w:val="24"/>
          <w:szCs w:val="24"/>
        </w:rPr>
        <w:t>creati, lo sguardo della morte si posa, così come sugli uomini e sulle bestie</w:t>
      </w:r>
      <w:r w:rsidR="007946F5" w:rsidRPr="007946F5">
        <w:rPr>
          <w:rFonts w:ascii="Times New Roman" w:eastAsia="Book Antiqua" w:hAnsi="Times New Roman" w:cs="Times New Roman"/>
          <w:kern w:val="1"/>
          <w:sz w:val="24"/>
          <w:szCs w:val="24"/>
          <w:vertAlign w:val="superscript"/>
        </w:rPr>
        <w:footnoteReference w:id="14"/>
      </w:r>
      <w:r w:rsidR="007946F5" w:rsidRPr="007946F5">
        <w:rPr>
          <w:rFonts w:ascii="Times New Roman" w:eastAsia="Book Antiqua" w:hAnsi="Times New Roman" w:cs="Times New Roman"/>
          <w:kern w:val="1"/>
          <w:sz w:val="24"/>
          <w:szCs w:val="24"/>
        </w:rPr>
        <w:t>.</w:t>
      </w:r>
    </w:p>
    <w:p w:rsidR="00D7239A" w:rsidRPr="007F4D16" w:rsidRDefault="00D443EF" w:rsidP="00B461E3">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A dimostrazione di ciò, u</w:t>
      </w:r>
      <w:r w:rsidR="007F4D16">
        <w:rPr>
          <w:rFonts w:ascii="Times New Roman" w:hAnsi="Times New Roman" w:cs="Times New Roman"/>
          <w:sz w:val="24"/>
          <w:szCs w:val="24"/>
        </w:rPr>
        <w:t>n’efficace descrizione di vecchiaia divina, alquanto spietata, si può trovare in un papiro torinese</w:t>
      </w:r>
      <w:r w:rsidR="007F4D16">
        <w:rPr>
          <w:rStyle w:val="Rimandonotaapidipagina"/>
          <w:rFonts w:ascii="Times New Roman" w:hAnsi="Times New Roman" w:cs="Times New Roman"/>
          <w:sz w:val="24"/>
          <w:szCs w:val="24"/>
        </w:rPr>
        <w:footnoteReference w:id="15"/>
      </w:r>
      <w:r w:rsidR="007F4D16">
        <w:rPr>
          <w:rFonts w:ascii="Times New Roman" w:hAnsi="Times New Roman" w:cs="Times New Roman"/>
          <w:sz w:val="24"/>
          <w:szCs w:val="24"/>
        </w:rPr>
        <w:t xml:space="preserve"> che descrive</w:t>
      </w:r>
      <w:r w:rsidR="00D7239A" w:rsidRPr="00B461E3">
        <w:rPr>
          <w:rFonts w:ascii="Times New Roman" w:hAnsi="Times New Roman" w:cs="Times New Roman"/>
          <w:sz w:val="24"/>
          <w:szCs w:val="24"/>
        </w:rPr>
        <w:t xml:space="preserve"> </w:t>
      </w:r>
      <w:r w:rsidR="007F4D16">
        <w:rPr>
          <w:rFonts w:ascii="Times New Roman" w:hAnsi="Times New Roman" w:cs="Times New Roman"/>
          <w:sz w:val="24"/>
          <w:szCs w:val="24"/>
        </w:rPr>
        <w:t>il dio sole Ra divenuto vecchio:</w:t>
      </w:r>
      <w:r w:rsidR="00D7239A" w:rsidRPr="00B461E3">
        <w:rPr>
          <w:rFonts w:ascii="Times New Roman" w:hAnsi="Times New Roman" w:cs="Times New Roman"/>
          <w:sz w:val="24"/>
          <w:szCs w:val="24"/>
        </w:rPr>
        <w:t xml:space="preserve"> </w:t>
      </w:r>
      <w:r w:rsidR="007F4D16" w:rsidRPr="007F4D16">
        <w:rPr>
          <w:rFonts w:ascii="Times New Roman" w:hAnsi="Times New Roman" w:cs="Times New Roman"/>
          <w:i/>
          <w:sz w:val="24"/>
          <w:szCs w:val="24"/>
        </w:rPr>
        <w:t>«</w:t>
      </w:r>
      <w:r w:rsidR="00D7239A" w:rsidRPr="007F4D16">
        <w:rPr>
          <w:rFonts w:ascii="Times New Roman" w:hAnsi="Times New Roman" w:cs="Times New Roman"/>
          <w:i/>
          <w:sz w:val="24"/>
          <w:szCs w:val="24"/>
        </w:rPr>
        <w:t>Il dio era invecchiato, la bocca gli gocciolava, la saliva gli colava verso la terra e ciò che sbavava cadeva sul suolo</w:t>
      </w:r>
      <w:r w:rsidR="007F4D16" w:rsidRPr="007F4D16">
        <w:rPr>
          <w:rFonts w:ascii="Times New Roman" w:hAnsi="Times New Roman" w:cs="Times New Roman"/>
          <w:i/>
          <w:sz w:val="24"/>
          <w:szCs w:val="24"/>
        </w:rPr>
        <w:t>»</w:t>
      </w:r>
      <w:r w:rsidR="00D7239A" w:rsidRPr="007F4D16">
        <w:rPr>
          <w:rFonts w:ascii="Times New Roman" w:hAnsi="Times New Roman" w:cs="Times New Roman"/>
          <w:i/>
          <w:sz w:val="24"/>
          <w:szCs w:val="24"/>
        </w:rPr>
        <w:t>.</w:t>
      </w:r>
    </w:p>
    <w:p w:rsidR="00217818" w:rsidRDefault="00D443EF" w:rsidP="00B461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 dunque, quando ogni cosa sarà invecchiata e perita, quando le bestie del cielo, della terra e del mare, gli uomini e gli dèi saranno anch’essi invecchiati e periti, cosa succederà? </w:t>
      </w:r>
    </w:p>
    <w:p w:rsidR="00780AED" w:rsidRPr="00D443EF" w:rsidRDefault="00D443EF" w:rsidP="00B461E3">
      <w:pPr>
        <w:spacing w:after="0"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È il Creatore a rispondere al quesito</w:t>
      </w:r>
      <w:r w:rsidR="00420125">
        <w:rPr>
          <w:rStyle w:val="Rimandonotaapidipagina"/>
          <w:rFonts w:ascii="Times New Roman" w:hAnsi="Times New Roman" w:cs="Times New Roman"/>
          <w:sz w:val="24"/>
          <w:szCs w:val="24"/>
        </w:rPr>
        <w:footnoteReference w:id="16"/>
      </w:r>
      <w:r w:rsidR="00420125">
        <w:rPr>
          <w:rFonts w:ascii="Times New Roman" w:hAnsi="Times New Roman" w:cs="Times New Roman"/>
          <w:sz w:val="24"/>
          <w:szCs w:val="24"/>
        </w:rPr>
        <w:t xml:space="preserve">: </w:t>
      </w:r>
      <w:r w:rsidR="00420125" w:rsidRPr="00420125">
        <w:rPr>
          <w:rFonts w:ascii="Times New Roman" w:hAnsi="Times New Roman" w:cs="Times New Roman"/>
          <w:i/>
          <w:sz w:val="24"/>
          <w:szCs w:val="24"/>
        </w:rPr>
        <w:t>«Io distruggerò tutto ciò che ho creato. La terra apparirà di nuovo come Nun, come oceano, come nel principio. Io sono quello che resterà, insieme a Osiri, dopo che mi sarò trasformato di nuovo in un serpente, che nessun uomo conosce, che nessun dio vede»</w:t>
      </w:r>
      <w:r w:rsidR="00420125">
        <w:rPr>
          <w:rFonts w:ascii="Times New Roman" w:hAnsi="Times New Roman" w:cs="Times New Roman"/>
          <w:sz w:val="24"/>
          <w:szCs w:val="24"/>
        </w:rPr>
        <w:t>.</w:t>
      </w:r>
    </w:p>
    <w:p w:rsidR="001F574C" w:rsidRPr="00B461E3" w:rsidRDefault="001F574C" w:rsidP="00B461E3">
      <w:pPr>
        <w:spacing w:after="0" w:line="240" w:lineRule="auto"/>
        <w:jc w:val="both"/>
        <w:rPr>
          <w:rFonts w:ascii="Times New Roman" w:hAnsi="Times New Roman" w:cs="Times New Roman"/>
          <w:sz w:val="24"/>
          <w:szCs w:val="24"/>
        </w:rPr>
      </w:pPr>
    </w:p>
    <w:sectPr w:rsidR="001F574C" w:rsidRPr="00B461E3" w:rsidSect="004B3DB3">
      <w:pgSz w:w="11906" w:h="16838"/>
      <w:pgMar w:top="1701"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556" w:rsidRDefault="00365556" w:rsidP="00966F92">
      <w:pPr>
        <w:spacing w:after="0" w:line="240" w:lineRule="auto"/>
      </w:pPr>
      <w:r>
        <w:separator/>
      </w:r>
    </w:p>
  </w:endnote>
  <w:endnote w:type="continuationSeparator" w:id="0">
    <w:p w:rsidR="00365556" w:rsidRDefault="00365556" w:rsidP="00966F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ransliteration">
    <w:altName w:val="Courier Ne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556" w:rsidRDefault="00365556" w:rsidP="00966F92">
      <w:pPr>
        <w:spacing w:after="0" w:line="240" w:lineRule="auto"/>
      </w:pPr>
      <w:r>
        <w:separator/>
      </w:r>
    </w:p>
  </w:footnote>
  <w:footnote w:type="continuationSeparator" w:id="0">
    <w:p w:rsidR="00365556" w:rsidRDefault="00365556" w:rsidP="00966F92">
      <w:pPr>
        <w:spacing w:after="0" w:line="240" w:lineRule="auto"/>
      </w:pPr>
      <w:r>
        <w:continuationSeparator/>
      </w:r>
    </w:p>
  </w:footnote>
  <w:footnote w:id="1">
    <w:p w:rsidR="00966F92" w:rsidRPr="00217818" w:rsidRDefault="00966F92" w:rsidP="00217818">
      <w:pPr>
        <w:pStyle w:val="Testonotaapidipagina"/>
        <w:jc w:val="both"/>
      </w:pPr>
      <w:r w:rsidRPr="00217818">
        <w:rPr>
          <w:rStyle w:val="Rimandonotaapidipagina"/>
        </w:rPr>
        <w:footnoteRef/>
      </w:r>
      <w:r w:rsidRPr="00217818">
        <w:t xml:space="preserve"> Papiro Anastasi III, XIX dinastia</w:t>
      </w:r>
      <w:r w:rsidR="000F2F89" w:rsidRPr="00217818">
        <w:t xml:space="preserve"> (1292-1187 a.C.)</w:t>
      </w:r>
      <w:r w:rsidRPr="00217818">
        <w:t xml:space="preserve">, Londra (British Museum). </w:t>
      </w:r>
    </w:p>
  </w:footnote>
  <w:footnote w:id="2">
    <w:p w:rsidR="00123D7B" w:rsidRPr="00217818" w:rsidRDefault="00123D7B" w:rsidP="00217818">
      <w:pPr>
        <w:pStyle w:val="Testonotaapidipagina"/>
        <w:jc w:val="both"/>
      </w:pPr>
      <w:r w:rsidRPr="00217818">
        <w:rPr>
          <w:rStyle w:val="Rimandonotaapidipagina"/>
        </w:rPr>
        <w:footnoteRef/>
      </w:r>
      <w:r w:rsidRPr="00217818">
        <w:t xml:space="preserve"> </w:t>
      </w:r>
      <w:r w:rsidR="00BD68F8" w:rsidRPr="00217818">
        <w:t>Papiro Insinger, I sec. d.C., Leida (Rijksmuseum van Oudheden).</w:t>
      </w:r>
    </w:p>
  </w:footnote>
  <w:footnote w:id="3">
    <w:p w:rsidR="00482CFB" w:rsidRPr="00217818" w:rsidRDefault="00482CFB" w:rsidP="00217818">
      <w:pPr>
        <w:pStyle w:val="Testonotaapidipagina"/>
        <w:jc w:val="both"/>
      </w:pPr>
      <w:r w:rsidRPr="00217818">
        <w:rPr>
          <w:rStyle w:val="Rimandonotaapidipagina"/>
        </w:rPr>
        <w:footnoteRef/>
      </w:r>
      <w:r w:rsidRPr="00217818">
        <w:t xml:space="preserve"> Papiro Westcar, XIII dinastia (1800-1650 a.C. ca</w:t>
      </w:r>
      <w:r w:rsidR="00CB1565" w:rsidRPr="00217818">
        <w:t>.</w:t>
      </w:r>
      <w:r w:rsidRPr="00217818">
        <w:t xml:space="preserve">), </w:t>
      </w:r>
      <w:r w:rsidR="00257A81" w:rsidRPr="00217818">
        <w:t xml:space="preserve">Berlino (Neues Museum). </w:t>
      </w:r>
    </w:p>
  </w:footnote>
  <w:footnote w:id="4">
    <w:p w:rsidR="00C72C5C" w:rsidRPr="00217818" w:rsidRDefault="00C72C5C" w:rsidP="00217818">
      <w:pPr>
        <w:pStyle w:val="Testonotaapidipagina"/>
        <w:jc w:val="both"/>
      </w:pPr>
      <w:r w:rsidRPr="00217818">
        <w:rPr>
          <w:rStyle w:val="Rimandonotaapidipagina"/>
        </w:rPr>
        <w:footnoteRef/>
      </w:r>
      <w:r w:rsidRPr="00217818">
        <w:t xml:space="preserve"> Papiro </w:t>
      </w:r>
      <w:r w:rsidR="00F77499" w:rsidRPr="00217818">
        <w:t xml:space="preserve">dei Re, </w:t>
      </w:r>
      <w:r w:rsidRPr="00217818">
        <w:t xml:space="preserve">XIX dinastia, regno di Merenptah, </w:t>
      </w:r>
      <w:r w:rsidR="00F77499" w:rsidRPr="00217818">
        <w:t>(</w:t>
      </w:r>
      <w:r w:rsidRPr="00217818">
        <w:t>1213-1203 a.C.), Torino (Museo delle Antichità Egizie).</w:t>
      </w:r>
    </w:p>
  </w:footnote>
  <w:footnote w:id="5">
    <w:p w:rsidR="00F77499" w:rsidRPr="00217818" w:rsidRDefault="00F77499" w:rsidP="00217818">
      <w:pPr>
        <w:pStyle w:val="Testonotaapidipagina"/>
        <w:jc w:val="both"/>
      </w:pPr>
      <w:r w:rsidRPr="00217818">
        <w:rPr>
          <w:rStyle w:val="Rimandonotaapidipagina"/>
        </w:rPr>
        <w:footnoteRef/>
      </w:r>
      <w:r w:rsidRPr="00217818">
        <w:t xml:space="preserve"> </w:t>
      </w:r>
      <w:r w:rsidR="00BB2023" w:rsidRPr="00217818">
        <w:t xml:space="preserve">Statua di Nebnetjeru, granito grigio, </w:t>
      </w:r>
      <w:r w:rsidR="00D0420B" w:rsidRPr="00217818">
        <w:t xml:space="preserve">XXII dinastia, </w:t>
      </w:r>
      <w:r w:rsidR="00BB2023" w:rsidRPr="00217818">
        <w:t>regno di Osorkon II</w:t>
      </w:r>
      <w:r w:rsidR="00D0420B" w:rsidRPr="00217818">
        <w:t xml:space="preserve"> (872-837 a.C.)</w:t>
      </w:r>
      <w:r w:rsidR="00BB2023" w:rsidRPr="00217818">
        <w:t>, Cairo (Museo Egizio).</w:t>
      </w:r>
    </w:p>
  </w:footnote>
  <w:footnote w:id="6">
    <w:p w:rsidR="008460BB" w:rsidRPr="00217818" w:rsidRDefault="008460BB" w:rsidP="00217818">
      <w:pPr>
        <w:pStyle w:val="Testonotaapidipagina"/>
        <w:jc w:val="both"/>
        <w:rPr>
          <w:lang w:val="fr-FR"/>
        </w:rPr>
      </w:pPr>
      <w:r w:rsidRPr="00217818">
        <w:rPr>
          <w:rStyle w:val="Rimandonotaapidipagina"/>
        </w:rPr>
        <w:footnoteRef/>
      </w:r>
      <w:r w:rsidRPr="00217818">
        <w:rPr>
          <w:lang w:val="fr-FR"/>
        </w:rPr>
        <w:t xml:space="preserve"> Papiro Prisse, </w:t>
      </w:r>
      <w:r w:rsidR="00B633AB" w:rsidRPr="00217818">
        <w:rPr>
          <w:lang w:val="fr-FR"/>
        </w:rPr>
        <w:t>XII dinastia (1</w:t>
      </w:r>
      <w:r w:rsidRPr="00217818">
        <w:rPr>
          <w:lang w:val="fr-FR"/>
        </w:rPr>
        <w:t>900 a.C. ca.</w:t>
      </w:r>
      <w:r w:rsidR="00B633AB" w:rsidRPr="00217818">
        <w:rPr>
          <w:lang w:val="fr-FR"/>
        </w:rPr>
        <w:t>)</w:t>
      </w:r>
      <w:r w:rsidRPr="00217818">
        <w:rPr>
          <w:lang w:val="fr-FR"/>
        </w:rPr>
        <w:t xml:space="preserve">, Bibliothèque Nationale de France, Paris. </w:t>
      </w:r>
    </w:p>
  </w:footnote>
  <w:footnote w:id="7">
    <w:p w:rsidR="00626BCB" w:rsidRPr="00217818" w:rsidRDefault="00626BCB" w:rsidP="00217818">
      <w:pPr>
        <w:pStyle w:val="Testonotaapidipagina"/>
        <w:jc w:val="both"/>
      </w:pPr>
      <w:r w:rsidRPr="00217818">
        <w:rPr>
          <w:rStyle w:val="Rimandonotaapidipagina"/>
        </w:rPr>
        <w:footnoteRef/>
      </w:r>
      <w:r w:rsidRPr="00217818">
        <w:t xml:space="preserve"> XII dinastia, (1900 a.C. ca.).</w:t>
      </w:r>
    </w:p>
  </w:footnote>
  <w:footnote w:id="8">
    <w:p w:rsidR="00024553" w:rsidRPr="00217818" w:rsidRDefault="00024553" w:rsidP="00217818">
      <w:pPr>
        <w:pStyle w:val="Testonotaapidipagina"/>
        <w:jc w:val="both"/>
      </w:pPr>
      <w:r w:rsidRPr="00217818">
        <w:rPr>
          <w:rStyle w:val="Rimandonotaapidipagina"/>
        </w:rPr>
        <w:footnoteRef/>
      </w:r>
      <w:r w:rsidRPr="00217818">
        <w:t xml:space="preserve"> Il faraone Sesostri I, uno dei protagonisti del testo, per spingerlo a ritornare nella terra d’Egitto, insiste sulla sua età avanzata: </w:t>
      </w:r>
      <w:r w:rsidRPr="00217818">
        <w:rPr>
          <w:rFonts w:cs="Times New Roman"/>
        </w:rPr>
        <w:t>«</w:t>
      </w:r>
      <w:r w:rsidRPr="00217818">
        <w:rPr>
          <w:rFonts w:cs="Times New Roman"/>
          <w:i/>
        </w:rPr>
        <w:t xml:space="preserve">Oggi hai cominciato a invecchiare, hai già perduto la potenza virile. Ricorda il giorno della sepoltura, </w:t>
      </w:r>
      <w:r w:rsidR="00626BCB" w:rsidRPr="00217818">
        <w:rPr>
          <w:rFonts w:cs="Times New Roman"/>
          <w:i/>
        </w:rPr>
        <w:t>il passaggio alla condizione d‘</w:t>
      </w:r>
      <w:r w:rsidRPr="00217818">
        <w:rPr>
          <w:rFonts w:cs="Times New Roman"/>
        </w:rPr>
        <w:t>imakhu (= beato, n.d.a.)</w:t>
      </w:r>
      <w:r w:rsidRPr="00217818">
        <w:rPr>
          <w:rFonts w:cs="Times New Roman"/>
          <w:i/>
        </w:rPr>
        <w:t xml:space="preserve"> […] è troppo tardi per correre il mondo: pensa alle malattie e vieni!»</w:t>
      </w:r>
      <w:r w:rsidRPr="00217818">
        <w:rPr>
          <w:rFonts w:cs="Times New Roman"/>
        </w:rPr>
        <w:t xml:space="preserve">. </w:t>
      </w:r>
    </w:p>
  </w:footnote>
  <w:footnote w:id="9">
    <w:p w:rsidR="008433A7" w:rsidRPr="00217818" w:rsidRDefault="008433A7" w:rsidP="00217818">
      <w:pPr>
        <w:pStyle w:val="Testonotaapidipagina"/>
        <w:jc w:val="both"/>
      </w:pPr>
      <w:r w:rsidRPr="00217818">
        <w:rPr>
          <w:rStyle w:val="Rimandonotaapidipagina"/>
        </w:rPr>
        <w:footnoteRef/>
      </w:r>
      <w:r w:rsidRPr="00217818">
        <w:t xml:space="preserve"> Papiro Ebers, 1520 a.C. ca., Lipsia (Biblioteca dell’Università).</w:t>
      </w:r>
    </w:p>
  </w:footnote>
  <w:footnote w:id="10">
    <w:p w:rsidR="0072118D" w:rsidRPr="00217818" w:rsidRDefault="0072118D" w:rsidP="00217818">
      <w:pPr>
        <w:pStyle w:val="Testonotaapidipagina"/>
        <w:jc w:val="both"/>
      </w:pPr>
      <w:r w:rsidRPr="00217818">
        <w:rPr>
          <w:rStyle w:val="Rimandonotaapidipagina"/>
        </w:rPr>
        <w:footnoteRef/>
      </w:r>
      <w:r w:rsidRPr="00217818">
        <w:t xml:space="preserve"> Il filosofo Crisippo (III sec. a.C.) testimonia in Egitto un intervento chirurgico alla cataratta tramite l’utilizzo della tecnica dell’abbassamento, che consiste nello spostare il cristallino in basso con un ago fino al recupero della vista e sostiene che questo trattamento fosse comunemente praticato.</w:t>
      </w:r>
    </w:p>
  </w:footnote>
  <w:footnote w:id="11">
    <w:p w:rsidR="00172040" w:rsidRPr="00217818" w:rsidRDefault="00172040" w:rsidP="00217818">
      <w:pPr>
        <w:pStyle w:val="Testonotaapidipagina"/>
        <w:jc w:val="both"/>
      </w:pPr>
      <w:r w:rsidRPr="00217818">
        <w:rPr>
          <w:rStyle w:val="Rimandonotaapidipagina"/>
        </w:rPr>
        <w:footnoteRef/>
      </w:r>
      <w:r w:rsidRPr="00217818">
        <w:t xml:space="preserve"> Colui al quale attengono le formule rituali e magiche. La demenza senile, pertanto, non può essere combattuta dalla medicina tradizionale, ma solamente dalla magia.</w:t>
      </w:r>
    </w:p>
  </w:footnote>
  <w:footnote w:id="12">
    <w:p w:rsidR="00172040" w:rsidRPr="00217818" w:rsidRDefault="00172040" w:rsidP="00217818">
      <w:pPr>
        <w:pStyle w:val="Testonotaapidipagina"/>
        <w:jc w:val="both"/>
      </w:pPr>
      <w:r w:rsidRPr="00217818">
        <w:rPr>
          <w:rStyle w:val="Rimandonotaapidipagina"/>
        </w:rPr>
        <w:footnoteRef/>
      </w:r>
      <w:r w:rsidRPr="00217818">
        <w:t xml:space="preserve"> Specifici agenti patogeni animati da un soffio, che circolano nei corpi attraverso i vari condotti  e che consumano progressivamente le persone.</w:t>
      </w:r>
    </w:p>
  </w:footnote>
  <w:footnote w:id="13">
    <w:p w:rsidR="007946F5" w:rsidRPr="00217818" w:rsidRDefault="007946F5" w:rsidP="00217818">
      <w:pPr>
        <w:pStyle w:val="Testonotaapidipagina"/>
        <w:jc w:val="both"/>
        <w:rPr>
          <w:rFonts w:eastAsia="Book Antiqua"/>
          <w:kern w:val="1"/>
        </w:rPr>
      </w:pPr>
      <w:r w:rsidRPr="00217818">
        <w:rPr>
          <w:rStyle w:val="Caratteredellanota"/>
        </w:rPr>
        <w:footnoteRef/>
      </w:r>
      <w:r w:rsidR="002A5238" w:rsidRPr="00217818">
        <w:rPr>
          <w:rFonts w:eastAsia="Book Antiqua"/>
          <w:kern w:val="1"/>
        </w:rPr>
        <w:t xml:space="preserve"> </w:t>
      </w:r>
      <w:r w:rsidRPr="00217818">
        <w:rPr>
          <w:rFonts w:eastAsia="Book Antiqua"/>
          <w:kern w:val="1"/>
        </w:rPr>
        <w:t xml:space="preserve">Ogni sovrano egizio, poiché ipostasi della medesima divinità, travalica i comuni limiti temporali: </w:t>
      </w:r>
      <w:r w:rsidRPr="00217818">
        <w:rPr>
          <w:rFonts w:eastAsia="Book Antiqua" w:cs="Times New Roman"/>
          <w:i/>
          <w:iCs/>
          <w:kern w:val="1"/>
        </w:rPr>
        <w:t>«</w:t>
      </w:r>
      <w:r w:rsidRPr="00217818">
        <w:rPr>
          <w:rFonts w:eastAsia="Book Antiqua"/>
          <w:i/>
          <w:iCs/>
          <w:kern w:val="1"/>
        </w:rPr>
        <w:t>Questo (re) è nato dal padre Atum, (quando ancora) non era venuto in essere il cielo, (quando ancora) non era venuta in essere la terra, (quando ancora) non erano venuti in essere gli uomini, (quando ancora) non erano nati gli dèi, (quando ancora) non era venuta in essere la morte</w:t>
      </w:r>
      <w:r w:rsidRPr="00217818">
        <w:rPr>
          <w:rFonts w:eastAsia="Book Antiqua" w:cs="Times New Roman"/>
          <w:i/>
          <w:iCs/>
          <w:kern w:val="1"/>
        </w:rPr>
        <w:t>»</w:t>
      </w:r>
      <w:r w:rsidRPr="00217818">
        <w:rPr>
          <w:rFonts w:eastAsia="Book Antiqua"/>
          <w:i/>
          <w:iCs/>
          <w:kern w:val="1"/>
        </w:rPr>
        <w:t xml:space="preserve"> </w:t>
      </w:r>
      <w:r w:rsidRPr="00217818">
        <w:rPr>
          <w:rFonts w:eastAsia="Book Antiqua"/>
          <w:kern w:val="1"/>
        </w:rPr>
        <w:t>(Testi delle Piramidi, formula 1466 b-d).</w:t>
      </w:r>
    </w:p>
  </w:footnote>
  <w:footnote w:id="14">
    <w:p w:rsidR="007946F5" w:rsidRPr="00217818" w:rsidRDefault="007946F5" w:rsidP="00217818">
      <w:pPr>
        <w:pStyle w:val="Testonotaapidipagina"/>
        <w:jc w:val="both"/>
        <w:rPr>
          <w:rFonts w:eastAsia="Book Antiqua"/>
          <w:kern w:val="1"/>
        </w:rPr>
      </w:pPr>
      <w:r w:rsidRPr="00217818">
        <w:rPr>
          <w:rStyle w:val="Caratteredellanota"/>
        </w:rPr>
        <w:footnoteRef/>
      </w:r>
      <w:r w:rsidR="002A5238" w:rsidRPr="00217818">
        <w:rPr>
          <w:rFonts w:eastAsia="Book Antiqua"/>
          <w:i/>
          <w:iCs/>
          <w:kern w:val="1"/>
        </w:rPr>
        <w:t xml:space="preserve"> </w:t>
      </w:r>
      <w:r w:rsidR="002A5238" w:rsidRPr="00217818">
        <w:rPr>
          <w:rFonts w:eastAsia="Book Antiqua" w:cs="Times New Roman"/>
          <w:i/>
          <w:iCs/>
          <w:kern w:val="1"/>
        </w:rPr>
        <w:t>«</w:t>
      </w:r>
      <w:r w:rsidR="002A5238" w:rsidRPr="00217818">
        <w:rPr>
          <w:rFonts w:eastAsia="Book Antiqua"/>
          <w:i/>
          <w:iCs/>
          <w:kern w:val="1"/>
        </w:rPr>
        <w:t>[</w:t>
      </w:r>
      <w:r w:rsidRPr="00217818">
        <w:rPr>
          <w:rFonts w:eastAsia="Book Antiqua"/>
          <w:i/>
          <w:iCs/>
          <w:kern w:val="1"/>
        </w:rPr>
        <w:t>…</w:t>
      </w:r>
      <w:r w:rsidR="002A5238" w:rsidRPr="00217818">
        <w:rPr>
          <w:rFonts w:eastAsia="Book Antiqua"/>
          <w:i/>
          <w:iCs/>
          <w:kern w:val="1"/>
        </w:rPr>
        <w:t>] I</w:t>
      </w:r>
      <w:r w:rsidRPr="00217818">
        <w:rPr>
          <w:rFonts w:eastAsia="Book Antiqua"/>
          <w:i/>
          <w:iCs/>
          <w:kern w:val="1"/>
        </w:rPr>
        <w:t>o non andrò in putrefazione, come hai fatto a ogni dio e a ogni dea, ogni bestia e ogni serpente che marcirà</w:t>
      </w:r>
      <w:r w:rsidR="002A5238" w:rsidRPr="00217818">
        <w:rPr>
          <w:rFonts w:eastAsia="Book Antiqua"/>
          <w:i/>
          <w:iCs/>
          <w:kern w:val="1"/>
        </w:rPr>
        <w:t xml:space="preserve"> [</w:t>
      </w:r>
      <w:r w:rsidRPr="00217818">
        <w:rPr>
          <w:rFonts w:eastAsia="Book Antiqua"/>
          <w:i/>
          <w:iCs/>
          <w:kern w:val="1"/>
        </w:rPr>
        <w:t>…</w:t>
      </w:r>
      <w:r w:rsidR="002A5238" w:rsidRPr="00217818">
        <w:rPr>
          <w:rFonts w:eastAsia="Book Antiqua"/>
          <w:i/>
          <w:iCs/>
          <w:kern w:val="1"/>
        </w:rPr>
        <w:t>]</w:t>
      </w:r>
      <w:r w:rsidRPr="00217818">
        <w:rPr>
          <w:rFonts w:eastAsia="Book Antiqua"/>
          <w:i/>
          <w:iCs/>
          <w:kern w:val="1"/>
        </w:rPr>
        <w:t>”</w:t>
      </w:r>
      <w:r w:rsidRPr="00217818">
        <w:rPr>
          <w:rFonts w:eastAsia="Book Antiqua"/>
          <w:kern w:val="1"/>
        </w:rPr>
        <w:t xml:space="preserve"> (Libro dei Morti, capitolo </w:t>
      </w:r>
      <w:r w:rsidRPr="00217818">
        <w:rPr>
          <w:rFonts w:eastAsia="Book Antiqua"/>
          <w:kern w:val="1"/>
          <w:lang w:val="en-GB"/>
        </w:rPr>
        <w:t>CLIV</w:t>
      </w:r>
      <w:r w:rsidRPr="00217818">
        <w:rPr>
          <w:rFonts w:eastAsia="Book Antiqua"/>
          <w:kern w:val="1"/>
        </w:rPr>
        <w:t>).</w:t>
      </w:r>
    </w:p>
  </w:footnote>
  <w:footnote w:id="15">
    <w:p w:rsidR="007F4D16" w:rsidRPr="00217818" w:rsidRDefault="007F4D16" w:rsidP="00217818">
      <w:pPr>
        <w:pStyle w:val="Testonotaapidipagina"/>
        <w:jc w:val="both"/>
      </w:pPr>
      <w:r w:rsidRPr="00217818">
        <w:rPr>
          <w:rStyle w:val="Rimandonotaapidipagina"/>
        </w:rPr>
        <w:footnoteRef/>
      </w:r>
      <w:r w:rsidRPr="00217818">
        <w:t xml:space="preserve"> Papiro magico, Cat. 1993, XX dinastia (1186-1070 a.C.), Torino (Museo delle Antichità Egizie). </w:t>
      </w:r>
    </w:p>
  </w:footnote>
  <w:footnote w:id="16">
    <w:p w:rsidR="00420125" w:rsidRPr="00217818" w:rsidRDefault="00420125" w:rsidP="00217818">
      <w:pPr>
        <w:pStyle w:val="Testonotaapidipagina"/>
        <w:jc w:val="both"/>
      </w:pPr>
      <w:r w:rsidRPr="00217818">
        <w:rPr>
          <w:rStyle w:val="Rimandonotaapidipagina"/>
        </w:rPr>
        <w:footnoteRef/>
      </w:r>
      <w:r w:rsidRPr="00217818">
        <w:t xml:space="preserve"> Libro dei Morti, capitolo CLXXV.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6E3A"/>
    <w:multiLevelType w:val="hybridMultilevel"/>
    <w:tmpl w:val="77D20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4936FFE"/>
    <w:multiLevelType w:val="hybridMultilevel"/>
    <w:tmpl w:val="2358672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D91E18"/>
    <w:rsid w:val="00024553"/>
    <w:rsid w:val="00026593"/>
    <w:rsid w:val="00034C12"/>
    <w:rsid w:val="000A4E22"/>
    <w:rsid w:val="000E2A09"/>
    <w:rsid w:val="000E7E2E"/>
    <w:rsid w:val="000F2F89"/>
    <w:rsid w:val="00123D7B"/>
    <w:rsid w:val="00155C3A"/>
    <w:rsid w:val="00172040"/>
    <w:rsid w:val="00176C6C"/>
    <w:rsid w:val="00192B40"/>
    <w:rsid w:val="001C5562"/>
    <w:rsid w:val="001E3234"/>
    <w:rsid w:val="001F574C"/>
    <w:rsid w:val="00217818"/>
    <w:rsid w:val="00257A81"/>
    <w:rsid w:val="00285BC5"/>
    <w:rsid w:val="002A35C0"/>
    <w:rsid w:val="002A5238"/>
    <w:rsid w:val="002B41BF"/>
    <w:rsid w:val="002C07B5"/>
    <w:rsid w:val="002C41CB"/>
    <w:rsid w:val="002D0B92"/>
    <w:rsid w:val="002E00FE"/>
    <w:rsid w:val="002F2F93"/>
    <w:rsid w:val="003164BD"/>
    <w:rsid w:val="00362D77"/>
    <w:rsid w:val="00365556"/>
    <w:rsid w:val="003B42E2"/>
    <w:rsid w:val="00420125"/>
    <w:rsid w:val="004433C6"/>
    <w:rsid w:val="00471328"/>
    <w:rsid w:val="00482CFB"/>
    <w:rsid w:val="004B3DB3"/>
    <w:rsid w:val="004C15E7"/>
    <w:rsid w:val="004C2E22"/>
    <w:rsid w:val="004E6160"/>
    <w:rsid w:val="005260E2"/>
    <w:rsid w:val="0053187F"/>
    <w:rsid w:val="00543110"/>
    <w:rsid w:val="0054725C"/>
    <w:rsid w:val="00590C22"/>
    <w:rsid w:val="00596E5B"/>
    <w:rsid w:val="005C102A"/>
    <w:rsid w:val="005D7EF7"/>
    <w:rsid w:val="00611243"/>
    <w:rsid w:val="00626BCB"/>
    <w:rsid w:val="006363D1"/>
    <w:rsid w:val="00655F4E"/>
    <w:rsid w:val="00674880"/>
    <w:rsid w:val="006B06D2"/>
    <w:rsid w:val="006D7FAE"/>
    <w:rsid w:val="006E6504"/>
    <w:rsid w:val="0072118D"/>
    <w:rsid w:val="00773148"/>
    <w:rsid w:val="00780AED"/>
    <w:rsid w:val="007946F5"/>
    <w:rsid w:val="007B645E"/>
    <w:rsid w:val="007F4D16"/>
    <w:rsid w:val="00826FE7"/>
    <w:rsid w:val="008356EC"/>
    <w:rsid w:val="008433A7"/>
    <w:rsid w:val="008460BB"/>
    <w:rsid w:val="008C205C"/>
    <w:rsid w:val="008D3B5F"/>
    <w:rsid w:val="008F77C3"/>
    <w:rsid w:val="0091415A"/>
    <w:rsid w:val="009211C1"/>
    <w:rsid w:val="00966F92"/>
    <w:rsid w:val="009D6978"/>
    <w:rsid w:val="00A43DA2"/>
    <w:rsid w:val="00A60F4F"/>
    <w:rsid w:val="00A7206A"/>
    <w:rsid w:val="00AE445E"/>
    <w:rsid w:val="00B461E3"/>
    <w:rsid w:val="00B633AB"/>
    <w:rsid w:val="00B7345D"/>
    <w:rsid w:val="00B75312"/>
    <w:rsid w:val="00B9417F"/>
    <w:rsid w:val="00BB2023"/>
    <w:rsid w:val="00BB423B"/>
    <w:rsid w:val="00BB49E5"/>
    <w:rsid w:val="00BB4BFD"/>
    <w:rsid w:val="00BD68F8"/>
    <w:rsid w:val="00BF142D"/>
    <w:rsid w:val="00C05B93"/>
    <w:rsid w:val="00C30BEE"/>
    <w:rsid w:val="00C32246"/>
    <w:rsid w:val="00C61E64"/>
    <w:rsid w:val="00C72C5C"/>
    <w:rsid w:val="00CA2CD8"/>
    <w:rsid w:val="00CB1565"/>
    <w:rsid w:val="00CE49AD"/>
    <w:rsid w:val="00D0420B"/>
    <w:rsid w:val="00D11E38"/>
    <w:rsid w:val="00D443EF"/>
    <w:rsid w:val="00D62D58"/>
    <w:rsid w:val="00D7239A"/>
    <w:rsid w:val="00D76B3F"/>
    <w:rsid w:val="00D805DE"/>
    <w:rsid w:val="00D91E18"/>
    <w:rsid w:val="00DE2A81"/>
    <w:rsid w:val="00DE5F1C"/>
    <w:rsid w:val="00E35499"/>
    <w:rsid w:val="00EA7C2B"/>
    <w:rsid w:val="00EC248A"/>
    <w:rsid w:val="00F05CBB"/>
    <w:rsid w:val="00F41623"/>
    <w:rsid w:val="00F57410"/>
    <w:rsid w:val="00F61C07"/>
    <w:rsid w:val="00F6784E"/>
    <w:rsid w:val="00F75C15"/>
    <w:rsid w:val="00F77499"/>
    <w:rsid w:val="00F95598"/>
    <w:rsid w:val="00FB372B"/>
    <w:rsid w:val="00FC23CD"/>
    <w:rsid w:val="00FC76D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6C6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B42E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B42E2"/>
    <w:rPr>
      <w:rFonts w:ascii="Tahoma" w:hAnsi="Tahoma" w:cs="Tahoma"/>
      <w:sz w:val="16"/>
      <w:szCs w:val="16"/>
    </w:rPr>
  </w:style>
  <w:style w:type="paragraph" w:styleId="Paragrafoelenco">
    <w:name w:val="List Paragraph"/>
    <w:basedOn w:val="Normale"/>
    <w:uiPriority w:val="34"/>
    <w:qFormat/>
    <w:rsid w:val="004C2E22"/>
    <w:pPr>
      <w:ind w:left="720"/>
      <w:contextualSpacing/>
    </w:pPr>
  </w:style>
  <w:style w:type="paragraph" w:styleId="Testonotaapidipagina">
    <w:name w:val="footnote text"/>
    <w:basedOn w:val="Normale"/>
    <w:link w:val="TestonotaapidipaginaCarattere"/>
    <w:uiPriority w:val="99"/>
    <w:semiHidden/>
    <w:unhideWhenUsed/>
    <w:rsid w:val="00966F9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66F92"/>
    <w:rPr>
      <w:sz w:val="20"/>
      <w:szCs w:val="20"/>
    </w:rPr>
  </w:style>
  <w:style w:type="character" w:styleId="Rimandonotaapidipagina">
    <w:name w:val="footnote reference"/>
    <w:basedOn w:val="Carpredefinitoparagrafo"/>
    <w:uiPriority w:val="99"/>
    <w:semiHidden/>
    <w:unhideWhenUsed/>
    <w:rsid w:val="00966F92"/>
    <w:rPr>
      <w:vertAlign w:val="superscript"/>
    </w:rPr>
  </w:style>
  <w:style w:type="character" w:customStyle="1" w:styleId="Caratteredellanota">
    <w:name w:val="Carattere della nota"/>
    <w:rsid w:val="00794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B42E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B42E2"/>
    <w:rPr>
      <w:rFonts w:ascii="Tahoma" w:hAnsi="Tahoma" w:cs="Tahoma"/>
      <w:sz w:val="16"/>
      <w:szCs w:val="16"/>
    </w:rPr>
  </w:style>
  <w:style w:type="paragraph" w:styleId="Paragrafoelenco">
    <w:name w:val="List Paragraph"/>
    <w:basedOn w:val="Normale"/>
    <w:uiPriority w:val="34"/>
    <w:qFormat/>
    <w:rsid w:val="004C2E22"/>
    <w:pPr>
      <w:ind w:left="720"/>
      <w:contextualSpacing/>
    </w:pPr>
  </w:style>
  <w:style w:type="paragraph" w:styleId="Testonotaapidipagina">
    <w:name w:val="footnote text"/>
    <w:basedOn w:val="Normale"/>
    <w:link w:val="TestonotaapidipaginaCarattere"/>
    <w:uiPriority w:val="99"/>
    <w:semiHidden/>
    <w:unhideWhenUsed/>
    <w:rsid w:val="00966F9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66F92"/>
    <w:rPr>
      <w:sz w:val="20"/>
      <w:szCs w:val="20"/>
    </w:rPr>
  </w:style>
  <w:style w:type="character" w:styleId="Rimandonotaapidipagina">
    <w:name w:val="footnote reference"/>
    <w:basedOn w:val="Carpredefinitoparagrafo"/>
    <w:uiPriority w:val="99"/>
    <w:semiHidden/>
    <w:unhideWhenUsed/>
    <w:rsid w:val="00966F92"/>
    <w:rPr>
      <w:vertAlign w:val="superscript"/>
    </w:rPr>
  </w:style>
  <w:style w:type="character" w:customStyle="1" w:styleId="Caratteredellanota">
    <w:name w:val="Carattere della nota"/>
    <w:rsid w:val="007946F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AE23D-086E-4275-A02C-1435EC4B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1637</Words>
  <Characters>9333</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Sandy</cp:lastModifiedBy>
  <cp:revision>2</cp:revision>
  <cp:lastPrinted>2013-12-06T17:08:00Z</cp:lastPrinted>
  <dcterms:created xsi:type="dcterms:W3CDTF">2013-12-09T09:53:00Z</dcterms:created>
  <dcterms:modified xsi:type="dcterms:W3CDTF">2013-12-09T09:53:00Z</dcterms:modified>
</cp:coreProperties>
</file>