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F3" w:rsidRDefault="00DD38F3">
      <w:r>
        <w:t>Dott.ssa Francesca Simonato</w:t>
      </w:r>
    </w:p>
    <w:p w:rsidR="00DD38F3" w:rsidRDefault="00DD38F3">
      <w:pPr>
        <w:rPr>
          <w:b/>
          <w:bCs/>
          <w:sz w:val="24"/>
          <w:szCs w:val="24"/>
        </w:rPr>
      </w:pPr>
      <w:r w:rsidRPr="008B1398">
        <w:rPr>
          <w:b/>
          <w:bCs/>
          <w:sz w:val="24"/>
          <w:szCs w:val="24"/>
        </w:rPr>
        <w:t xml:space="preserve">Risvolti clinici della vaccinazione </w:t>
      </w:r>
      <w:r>
        <w:rPr>
          <w:b/>
          <w:bCs/>
          <w:sz w:val="24"/>
          <w:szCs w:val="24"/>
        </w:rPr>
        <w:t>ant</w:t>
      </w:r>
      <w:r w:rsidRPr="008B1398">
        <w:rPr>
          <w:b/>
          <w:bCs/>
          <w:sz w:val="24"/>
          <w:szCs w:val="24"/>
        </w:rPr>
        <w:t>influenzale in una RSA</w:t>
      </w:r>
    </w:p>
    <w:p w:rsidR="00DD38F3" w:rsidRPr="00FD26FC" w:rsidRDefault="00DD38F3" w:rsidP="00FD26FC">
      <w:pPr>
        <w:pStyle w:val="NormalWeb"/>
        <w:spacing w:after="0" w:afterAutospacing="0"/>
        <w:jc w:val="both"/>
        <w:rPr>
          <w:rFonts w:ascii="Calibri Light" w:hAnsi="Calibri Light"/>
          <w:color w:val="404040"/>
          <w:kern w:val="24"/>
          <w:sz w:val="22"/>
          <w:szCs w:val="22"/>
        </w:rPr>
      </w:pPr>
      <w:r w:rsidRPr="00FD26FC">
        <w:rPr>
          <w:rFonts w:ascii="Calibri Light" w:hAnsi="Calibri Light"/>
          <w:color w:val="404040"/>
          <w:kern w:val="24"/>
          <w:sz w:val="22"/>
          <w:szCs w:val="22"/>
        </w:rPr>
        <w:t>L’influenza è una malattia infettiva stagionale provocata dal virus influenzale, di cui ne esistono 3 tipi: A e B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 responsabili dell’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influenza classica; C 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invece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>asintomatica, tipo raffreddore. Le proteine di superficie del virus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 influenzale possono variare, pertanto ogni anno si sviluppano nuove epidemie,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>non si crea l’imm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unità nei confronti del virus e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c’è la necessità di preparare ogni anno un 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vaccino con i ceppi circolanti. </w:t>
      </w:r>
      <w:r w:rsidRPr="00FD26FC">
        <w:rPr>
          <w:rFonts w:ascii="Calibri Light" w:hAnsi="Calibri Light" w:cs="Calibri Light"/>
          <w:sz w:val="22"/>
          <w:szCs w:val="22"/>
        </w:rPr>
        <w:t>L’influenza è una m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>alattia benigna e autolimitante, può però determinare casi severi e complicanze soprattutto nei bambini (otiti), nelle donne in gravidanza, negli adulti affetti da malattie croniche (diabete, malattie autoimmunitarie, cardiovascolari, respiratorie croniche) e negli adulti con età pari o superiore a 65 anni.</w:t>
      </w:r>
    </w:p>
    <w:p w:rsidR="00DD38F3" w:rsidRPr="00FD26FC" w:rsidRDefault="00DD38F3" w:rsidP="00FD26FC">
      <w:pPr>
        <w:pStyle w:val="NormalWeb"/>
        <w:spacing w:after="0" w:afterAutospacing="0"/>
        <w:jc w:val="both"/>
        <w:rPr>
          <w:rFonts w:ascii="Calibri Light" w:hAnsi="Calibri Light"/>
          <w:color w:val="404040"/>
          <w:kern w:val="24"/>
          <w:sz w:val="22"/>
          <w:szCs w:val="22"/>
        </w:rPr>
      </w:pPr>
      <w:r w:rsidRPr="00FD26FC">
        <w:rPr>
          <w:rFonts w:ascii="Calibri Light" w:hAnsi="Calibri Light"/>
          <w:color w:val="404040"/>
          <w:kern w:val="24"/>
          <w:sz w:val="22"/>
          <w:szCs w:val="22"/>
        </w:rPr>
        <w:t>L’influenza è però anche un s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>erio problema di sanità pubblica e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 una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 xml:space="preserve"> rilevante fonte di costi diretti e indiretti (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per le misure di controllo e la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 xml:space="preserve">gestione dei casi e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delle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>complicanze)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. Coinvolge ogni anno il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 xml:space="preserve">10-20% della popolazione generale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ed è tra le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>principali cause di assenza da lavoro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. Il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>Centro Europeo per il controllo delle Malattie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 (ECDC) stima che in media ogni anno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 xml:space="preserve">40.000 persone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muoiano prematuramente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>per influenza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 nell’UE, di cui il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 xml:space="preserve">90% sono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soggetti con un’età </w:t>
      </w:r>
      <w:r w:rsidRPr="008B1398">
        <w:rPr>
          <w:rFonts w:ascii="Calibri Light" w:hAnsi="Calibri Light"/>
          <w:color w:val="404040"/>
          <w:kern w:val="24"/>
          <w:sz w:val="22"/>
          <w:szCs w:val="22"/>
        </w:rPr>
        <w:t>&gt; 65 anni e con malattie croniche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 di base. </w:t>
      </w:r>
    </w:p>
    <w:p w:rsidR="00DD38F3" w:rsidRPr="00FD26FC" w:rsidRDefault="00DD38F3" w:rsidP="00FD26FC">
      <w:pPr>
        <w:pStyle w:val="NormalWeb"/>
        <w:spacing w:after="0" w:afterAutospacing="0"/>
        <w:jc w:val="both"/>
        <w:rPr>
          <w:rFonts w:ascii="Calibri Light" w:hAnsi="Calibri Light"/>
          <w:color w:val="404040"/>
          <w:kern w:val="24"/>
          <w:sz w:val="22"/>
          <w:szCs w:val="22"/>
        </w:rPr>
      </w:pPr>
      <w:r w:rsidRPr="00FD26FC">
        <w:rPr>
          <w:rFonts w:ascii="Calibri Light" w:hAnsi="Calibri Light"/>
          <w:color w:val="404040"/>
          <w:kern w:val="24"/>
          <w:sz w:val="22"/>
          <w:szCs w:val="22"/>
        </w:rPr>
        <w:t>In Italia il vaccino antinfluenzale è costituito prevalentemente da virus inattivati, tranne uno somministrabile per via nasale. Sono a disposiz</w:t>
      </w:r>
      <w:r>
        <w:rPr>
          <w:rFonts w:ascii="Calibri Light" w:hAnsi="Calibri Light"/>
          <w:color w:val="404040"/>
          <w:kern w:val="24"/>
          <w:sz w:val="22"/>
          <w:szCs w:val="22"/>
        </w:rPr>
        <w:t>ione un vaccino trivalente TIV formato da 2 vi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>rus tipo A (H1N1 e H3N2) e 1 virus tip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o B e un vaccino quadrivalente formato da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>2 virus tipo A (H1N1 e H3N2) e 2 virus tipo B. I virus scelti sono tra quelli isolati nella stagione precedente, pertanto l’efficacia dipende dal match esistente fra i virus contenuti nel vaccino e quelli circolanti.</w:t>
      </w:r>
    </w:p>
    <w:p w:rsidR="00DD38F3" w:rsidRPr="00FD26FC" w:rsidRDefault="00DD38F3" w:rsidP="00FD26FC">
      <w:pPr>
        <w:pStyle w:val="NormalWeb"/>
        <w:spacing w:after="0" w:afterAutospacing="0"/>
        <w:jc w:val="both"/>
        <w:rPr>
          <w:rFonts w:ascii="Calibri Light" w:hAnsi="Calibri Light"/>
          <w:color w:val="404040"/>
          <w:kern w:val="24"/>
          <w:sz w:val="22"/>
          <w:szCs w:val="22"/>
        </w:rPr>
      </w:pP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I vaccini antinfluenzali presenti in Italia sono classificabili nei seguenti tipi: </w:t>
      </w:r>
      <w:r w:rsidRPr="00FD26FC">
        <w:rPr>
          <w:rFonts w:ascii="Calibri Light" w:hAnsi="Calibri Light"/>
          <w:color w:val="404040"/>
          <w:kern w:val="24"/>
          <w:sz w:val="22"/>
          <w:szCs w:val="22"/>
          <w:u w:val="single"/>
        </w:rPr>
        <w:t>vaccino split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: contenente virus influenzali frammentati; </w:t>
      </w:r>
      <w:r w:rsidRPr="00FD26FC">
        <w:rPr>
          <w:rFonts w:ascii="Calibri Light" w:hAnsi="Calibri Light"/>
          <w:color w:val="404040"/>
          <w:kern w:val="24"/>
          <w:sz w:val="22"/>
          <w:szCs w:val="22"/>
          <w:u w:val="single"/>
        </w:rPr>
        <w:t>vaccino a subunità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: contenente solo gli antigeni di superficie (emoagglutinina e neuraminidasi); </w:t>
      </w:r>
      <w:r w:rsidRPr="00FD26FC">
        <w:rPr>
          <w:rFonts w:ascii="Calibri Light" w:hAnsi="Calibri Light"/>
          <w:color w:val="404040"/>
          <w:kern w:val="24"/>
          <w:sz w:val="22"/>
          <w:szCs w:val="22"/>
          <w:u w:val="single"/>
        </w:rPr>
        <w:t>vaccino adiuvato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: contenente gli antigeni di superficie emulsionati ad adiuvante oleoso matabolizzabile (MF59); </w:t>
      </w:r>
      <w:r w:rsidRPr="00FD26FC">
        <w:rPr>
          <w:rFonts w:ascii="Calibri Light" w:hAnsi="Calibri Light"/>
          <w:color w:val="404040"/>
          <w:kern w:val="24"/>
          <w:sz w:val="22"/>
          <w:szCs w:val="22"/>
          <w:u w:val="single"/>
        </w:rPr>
        <w:t>vaccino intradermico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>: è un vaccino split, in una siringa particolare (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per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inoculare nel derma la dose di 15 mcg/ceppo concentrata in 0,1 ml di volume). </w:t>
      </w:r>
    </w:p>
    <w:p w:rsidR="00DD38F3" w:rsidRPr="00FD26FC" w:rsidRDefault="00DD38F3" w:rsidP="00FD26FC">
      <w:pPr>
        <w:pStyle w:val="NormalWeb"/>
        <w:spacing w:after="0" w:afterAutospacing="0"/>
        <w:jc w:val="both"/>
        <w:rPr>
          <w:rFonts w:ascii="Calibri Light" w:hAnsi="Calibri Light"/>
          <w:color w:val="404040"/>
          <w:kern w:val="24"/>
          <w:sz w:val="22"/>
          <w:szCs w:val="22"/>
        </w:rPr>
      </w:pPr>
      <w:r w:rsidRPr="00FD26FC">
        <w:rPr>
          <w:rFonts w:ascii="Calibri Light" w:hAnsi="Calibri Light"/>
          <w:color w:val="404040"/>
          <w:kern w:val="24"/>
          <w:sz w:val="22"/>
          <w:szCs w:val="22"/>
        </w:rPr>
        <w:t>La vaccinazione antinfluenzale viene effettuata da metà ottobre a fin</w:t>
      </w:r>
      <w:r>
        <w:rPr>
          <w:rFonts w:ascii="Calibri Light" w:hAnsi="Calibri Light"/>
          <w:color w:val="404040"/>
          <w:kern w:val="24"/>
          <w:sz w:val="22"/>
          <w:szCs w:val="22"/>
        </w:rPr>
        <w:t>e dicembre, da una protezione che inizia circa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 xml:space="preserve"> 2 settimane dopo l’inoculazione e perdura per 6-8 mesi. Presenta delle controindicazioni: &lt; 6 mesi, reazione allergica grave a precedenti dosi di vaccino o suoi componenti, malattia acuta di media o grave entità con o senza febbre (vaccinazione a guarigione avvenuta), S. GuillameBarrè insorta entro 6 settimane da precedente dose di vaccino. Può determinare effetti collaterali locali (dolore, eritema, gonfiore nel sito di inoculazione), effetti collaterali sistemici (malessere generale, febbre, mialgie, con esordio 6-12 ore dopo la somministrazione, che durano 1-2 gg), 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effetti avversi </w:t>
      </w:r>
      <w:r w:rsidRPr="00FD26FC">
        <w:rPr>
          <w:rFonts w:ascii="Calibri Light" w:hAnsi="Calibri Light"/>
          <w:color w:val="404040"/>
          <w:kern w:val="24"/>
          <w:sz w:val="22"/>
          <w:szCs w:val="22"/>
        </w:rPr>
        <w:t>rari (trombocitopenie, nevralgia, parestesie, disordini neurologici).</w:t>
      </w:r>
      <w:r>
        <w:rPr>
          <w:rFonts w:ascii="Calibri Light" w:hAnsi="Calibri Light"/>
          <w:color w:val="404040"/>
          <w:kern w:val="24"/>
          <w:sz w:val="22"/>
          <w:szCs w:val="22"/>
        </w:rPr>
        <w:t xml:space="preserve"> Le categorie per le quali è raccomandata la vaccinazione antinfluenzale sono: i soggetti di età pari o superiore a 65 anni, i bambini di età superiore ai 6 mesi o i ragazzi e adulti fino a 65 anni affetti da patologie che possono aumentare il rischio di complicanze da influenza, i bambini e gli adolescenti in trattamento per lungo tempo con acido acetilsalicilico a rischio di sviluppare la Sindrome di Reye nel caso di influenza, donne nel secondo o terzo mese di gravidanza, individui di qualunque età ricoverate presso strutture per lungodegenti, medici e personale sanitario di assistenza, familiari e contatti di soggetti ad alto rischio, soggetti addetti a servizi pubblici di primario interesse collettivo e categorie di lavoratori, personale che, per motivi di lavoro, è a contatto con animali che potrebbero costituire fonte di infezioni da virus influenzali non umani.</w:t>
      </w:r>
    </w:p>
    <w:p w:rsidR="00DD38F3" w:rsidRPr="00FD26FC" w:rsidRDefault="00DD38F3" w:rsidP="00FD26FC">
      <w:pPr>
        <w:spacing w:before="100" w:beforeAutospacing="1" w:after="0" w:line="240" w:lineRule="auto"/>
        <w:jc w:val="both"/>
        <w:rPr>
          <w:rFonts w:ascii="Calibri Light" w:hAnsi="Calibri Light" w:cs="Calibri Light"/>
          <w:color w:val="000000"/>
          <w:kern w:val="24"/>
        </w:rPr>
      </w:pPr>
      <w:r w:rsidRPr="009F4D95">
        <w:rPr>
          <w:rFonts w:ascii="Calibri Light" w:hAnsi="Calibri Light" w:cs="Calibri Light"/>
          <w:color w:val="404040"/>
          <w:kern w:val="24"/>
          <w:lang w:eastAsia="it-IT"/>
        </w:rPr>
        <w:t>Per ridurre</w:t>
      </w:r>
      <w:r w:rsidRPr="00FD26FC">
        <w:rPr>
          <w:rFonts w:ascii="Calibri Light" w:hAnsi="Calibri Light" w:cs="Calibri Light"/>
          <w:color w:val="404040"/>
          <w:kern w:val="24"/>
          <w:lang w:eastAsia="it-IT"/>
        </w:rPr>
        <w:t xml:space="preserve"> la</w:t>
      </w:r>
      <w:r w:rsidRPr="009F4D95">
        <w:rPr>
          <w:rFonts w:ascii="Calibri Light" w:hAnsi="Calibri Light" w:cs="Calibri Light"/>
          <w:color w:val="404040"/>
          <w:kern w:val="24"/>
          <w:lang w:eastAsia="it-IT"/>
        </w:rPr>
        <w:t xml:space="preserve"> mortalità e </w:t>
      </w:r>
      <w:r w:rsidRPr="00FD26FC">
        <w:rPr>
          <w:rFonts w:ascii="Calibri Light" w:hAnsi="Calibri Light" w:cs="Calibri Light"/>
          <w:color w:val="404040"/>
          <w:kern w:val="24"/>
          <w:lang w:eastAsia="it-IT"/>
        </w:rPr>
        <w:t xml:space="preserve">le </w:t>
      </w:r>
      <w:r w:rsidRPr="009F4D95">
        <w:rPr>
          <w:rFonts w:ascii="Calibri Light" w:hAnsi="Calibri Light" w:cs="Calibri Light"/>
          <w:color w:val="404040"/>
          <w:kern w:val="24"/>
          <w:lang w:eastAsia="it-IT"/>
        </w:rPr>
        <w:t xml:space="preserve">complicanze dell’influenza è necessario raggiungere coperture </w:t>
      </w:r>
      <w:r w:rsidRPr="00FD26FC">
        <w:rPr>
          <w:rFonts w:ascii="Calibri Light" w:hAnsi="Calibri Light" w:cs="Calibri Light"/>
          <w:color w:val="404040"/>
          <w:kern w:val="24"/>
          <w:lang w:eastAsia="it-IT"/>
        </w:rPr>
        <w:t xml:space="preserve">vaccinali </w:t>
      </w:r>
      <w:r w:rsidRPr="009F4D95">
        <w:rPr>
          <w:rFonts w:ascii="Calibri Light" w:hAnsi="Calibri Light" w:cs="Calibri Light"/>
          <w:color w:val="404040"/>
          <w:kern w:val="24"/>
          <w:lang w:eastAsia="it-IT"/>
        </w:rPr>
        <w:t>elevate in particolare nei soggetti ad alto rischio di complicanze in tutte le fasce di età</w:t>
      </w:r>
      <w:r w:rsidRPr="00FD26FC">
        <w:rPr>
          <w:rFonts w:ascii="Calibri Light" w:hAnsi="Calibri Light" w:cs="Calibri Light"/>
          <w:color w:val="404040"/>
          <w:kern w:val="24"/>
          <w:lang w:eastAsia="it-IT"/>
        </w:rPr>
        <w:t xml:space="preserve">. </w:t>
      </w:r>
      <w:r w:rsidRPr="00FD26FC">
        <w:rPr>
          <w:rFonts w:ascii="Calibri Light" w:hAnsi="Calibri Light" w:cs="Calibri Light"/>
          <w:lang w:eastAsia="it-IT"/>
        </w:rPr>
        <w:t>Gli obietti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 xml:space="preserve">vi di copertura vaccinale sono: </w:t>
      </w:r>
      <w:r w:rsidRPr="009F4D95">
        <w:rPr>
          <w:rFonts w:ascii="Calibri Light" w:hAnsi="Calibri Light" w:cs="Calibri Light"/>
          <w:color w:val="000000"/>
          <w:kern w:val="24"/>
          <w:lang w:eastAsia="it-IT"/>
        </w:rPr>
        <w:t xml:space="preserve">75% 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>come</w:t>
      </w:r>
      <w:r w:rsidRPr="009F4D95">
        <w:rPr>
          <w:rFonts w:ascii="Calibri Light" w:hAnsi="Calibri Light" w:cs="Calibri Light"/>
          <w:color w:val="000000"/>
          <w:kern w:val="24"/>
          <w:lang w:eastAsia="it-IT"/>
        </w:rPr>
        <w:t xml:space="preserve"> obiettivo minimo perseguibile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 xml:space="preserve"> e </w:t>
      </w:r>
      <w:r w:rsidRPr="00FD26FC">
        <w:rPr>
          <w:rFonts w:ascii="Calibri Light" w:hAnsi="Calibri Light" w:cs="Calibri Light"/>
          <w:color w:val="000000"/>
          <w:kern w:val="24"/>
        </w:rPr>
        <w:t>95% come obiettivo ottimale.</w:t>
      </w:r>
      <w:r w:rsidRPr="00FD26FC">
        <w:rPr>
          <w:rFonts w:ascii="Calibri Light" w:hAnsi="Calibri Light" w:cs="Calibri Light"/>
          <w:color w:val="404040"/>
          <w:kern w:val="24"/>
          <w:lang w:eastAsia="it-IT"/>
        </w:rPr>
        <w:t>Per quanto riguarda l’età maggiore di 65 anni, nella stagione 2016-2017 sono stati vaccinati 52,6% dei soggetti.</w:t>
      </w:r>
    </w:p>
    <w:p w:rsidR="00DD38F3" w:rsidRPr="00FD26FC" w:rsidRDefault="00DD38F3" w:rsidP="00FD26FC">
      <w:pPr>
        <w:spacing w:before="100" w:beforeAutospacing="1" w:line="240" w:lineRule="auto"/>
        <w:jc w:val="both"/>
        <w:rPr>
          <w:rFonts w:ascii="Calibri Light" w:hAnsi="Calibri Light" w:cs="Calibri Light"/>
          <w:color w:val="000000"/>
          <w:kern w:val="24"/>
          <w:lang w:eastAsia="it-IT"/>
        </w:rPr>
      </w:pPr>
      <w:r>
        <w:rPr>
          <w:rFonts w:ascii="Calibri Light" w:hAnsi="Calibri Light" w:cs="Calibri Light"/>
          <w:color w:val="000000"/>
          <w:kern w:val="24"/>
          <w:lang w:eastAsia="it-IT"/>
        </w:rPr>
        <w:t>In I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>talia è presente INFLUNET, un s</w:t>
      </w:r>
      <w:r w:rsidRPr="00E679CA">
        <w:rPr>
          <w:rFonts w:ascii="Calibri Light" w:hAnsi="Calibri Light" w:cs="Calibri Light"/>
          <w:color w:val="000000"/>
          <w:kern w:val="24"/>
          <w:lang w:eastAsia="it-IT"/>
        </w:rPr>
        <w:t xml:space="preserve">istema di sorveglianza epidemiologica e virologica dell’influenza (attiva dal 1999) </w:t>
      </w:r>
      <w:r>
        <w:rPr>
          <w:rFonts w:ascii="Calibri Light" w:hAnsi="Calibri Light" w:cs="Calibri Light"/>
          <w:color w:val="000000"/>
          <w:kern w:val="24"/>
          <w:lang w:eastAsia="it-IT"/>
        </w:rPr>
        <w:t>che si occupa dell</w:t>
      </w:r>
      <w:r w:rsidRPr="00E679CA">
        <w:rPr>
          <w:rFonts w:ascii="Calibri Light" w:hAnsi="Calibri Light" w:cs="Calibri Light"/>
          <w:color w:val="000000"/>
          <w:kern w:val="24"/>
          <w:lang w:eastAsia="it-IT"/>
        </w:rPr>
        <w:t xml:space="preserve">a rilevazione stagionale delle sindromi simil-influenzali-ILI e </w:t>
      </w:r>
      <w:r>
        <w:rPr>
          <w:rFonts w:ascii="Calibri Light" w:hAnsi="Calibri Light" w:cs="Calibri Light"/>
          <w:color w:val="000000"/>
          <w:kern w:val="24"/>
          <w:lang w:eastAsia="it-IT"/>
        </w:rPr>
        <w:t xml:space="preserve">del </w:t>
      </w:r>
      <w:r w:rsidRPr="00E679CA">
        <w:rPr>
          <w:rFonts w:ascii="Calibri Light" w:hAnsi="Calibri Light" w:cs="Calibri Light"/>
          <w:color w:val="000000"/>
          <w:kern w:val="24"/>
          <w:lang w:eastAsia="it-IT"/>
        </w:rPr>
        <w:t xml:space="preserve">monitoraggio delle forme gravi e delle complicanze 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 xml:space="preserve">(ricovero in terapia intensiva). Ciò avviene </w:t>
      </w:r>
      <w:r w:rsidRPr="00E679CA">
        <w:rPr>
          <w:rFonts w:ascii="Calibri Light" w:hAnsi="Calibri Light" w:cs="Calibri Light"/>
          <w:color w:val="000000"/>
          <w:kern w:val="24"/>
          <w:lang w:eastAsia="it-IT"/>
        </w:rPr>
        <w:t xml:space="preserve">attraverso i medici sentinella (MMG, pediatri di libera scelta, medici ospedalieri, 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>referenti presso ASL e Regioni) che r</w:t>
      </w:r>
      <w:r w:rsidRPr="00FD26FC">
        <w:rPr>
          <w:rFonts w:ascii="Calibri Light" w:hAnsi="Calibri Light" w:cs="Calibri Light"/>
          <w:color w:val="000000"/>
          <w:kern w:val="24"/>
        </w:rPr>
        <w:t>ilevando i casi di sindrome simil-influenzale (da</w:t>
      </w:r>
      <w:r>
        <w:rPr>
          <w:rFonts w:ascii="Calibri Light" w:hAnsi="Calibri Light" w:cs="Calibri Light"/>
          <w:color w:val="000000"/>
          <w:kern w:val="24"/>
        </w:rPr>
        <w:t>lla</w:t>
      </w:r>
      <w:r w:rsidRPr="00FD26FC">
        <w:rPr>
          <w:rFonts w:ascii="Calibri Light" w:hAnsi="Calibri Light" w:cs="Calibri Light"/>
          <w:color w:val="000000"/>
          <w:kern w:val="24"/>
        </w:rPr>
        <w:t xml:space="preserve"> 42° settimana del 2016 alla 17°</w:t>
      </w:r>
      <w:r>
        <w:rPr>
          <w:rFonts w:ascii="Calibri Light" w:hAnsi="Calibri Light" w:cs="Calibri Light"/>
          <w:color w:val="000000"/>
          <w:kern w:val="24"/>
        </w:rPr>
        <w:t xml:space="preserve"> settimana del 2017) </w:t>
      </w:r>
      <w:r w:rsidRPr="00FD26FC">
        <w:rPr>
          <w:rFonts w:ascii="Calibri Light" w:hAnsi="Calibri Light" w:cs="Calibri Light"/>
          <w:color w:val="000000"/>
          <w:kern w:val="24"/>
        </w:rPr>
        <w:t xml:space="preserve">permettono di stilare un rapporto settimanale dell’incidenza. 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>Viene inoltre effettuata l’a</w:t>
      </w:r>
      <w:r w:rsidRPr="00FD26FC">
        <w:rPr>
          <w:rFonts w:ascii="Calibri Light" w:hAnsi="Calibri Light" w:cs="Calibri Light"/>
          <w:color w:val="000000"/>
          <w:kern w:val="24"/>
        </w:rPr>
        <w:t xml:space="preserve">nalisi dei campioni biologici per l’identificazione dei virus circolanti, nel 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 xml:space="preserve">2016-2017 sono stati analizzati 12.034, di questi 3.518 campioni sono risultati positivi a virus influenzali (95% virus A). </w:t>
      </w:r>
      <w:r w:rsidRPr="00FD26FC">
        <w:rPr>
          <w:rFonts w:ascii="Calibri Light" w:hAnsi="Calibri Light" w:cs="Calibri Light"/>
          <w:color w:val="000000"/>
          <w:kern w:val="24"/>
        </w:rPr>
        <w:t xml:space="preserve">Il sistema Influnet è </w:t>
      </w:r>
      <w:r w:rsidRPr="00E679CA">
        <w:rPr>
          <w:rFonts w:ascii="Calibri Light" w:hAnsi="Calibri Light" w:cs="Calibri Light"/>
          <w:color w:val="000000"/>
          <w:kern w:val="24"/>
          <w:lang w:eastAsia="it-IT"/>
        </w:rPr>
        <w:t>coordinato dal Ministero della salute in collaborazione con l’istituto Superiore di Sanità (ISS) e il Centro Interuniversitario per la Ricerca sull’Influenza (CIRI-IT) di Genova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 xml:space="preserve">. </w:t>
      </w:r>
    </w:p>
    <w:p w:rsidR="00DD38F3" w:rsidRPr="00FD26FC" w:rsidRDefault="00DD38F3" w:rsidP="00FD26FC">
      <w:pPr>
        <w:spacing w:before="100" w:beforeAutospacing="1" w:line="240" w:lineRule="auto"/>
        <w:jc w:val="both"/>
        <w:rPr>
          <w:rFonts w:ascii="Calibri Light" w:hAnsi="Calibri Light" w:cs="Calibri Light"/>
          <w:color w:val="000000"/>
          <w:kern w:val="24"/>
          <w:lang w:eastAsia="it-IT"/>
        </w:rPr>
      </w:pPr>
      <w:r w:rsidRPr="00FD26FC">
        <w:rPr>
          <w:rFonts w:ascii="Calibri Light" w:hAnsi="Calibri Light" w:cs="Calibri Light"/>
          <w:color w:val="000000"/>
          <w:kern w:val="24"/>
          <w:lang w:eastAsia="it-IT"/>
        </w:rPr>
        <w:t>L’incidenza cumulativa totale dell’influenza nella stagione 2016-2017 è di 93 casi/1000 assistiti, di media entità se si considerano i 116 casi/1000 nel 2004-2005 e i 99 casi/1000 nel 2009-2010. L’i</w:t>
      </w:r>
      <w:r w:rsidRPr="00FD26FC">
        <w:rPr>
          <w:rFonts w:ascii="Calibri Light" w:hAnsi="Calibri Light" w:cs="Calibri Light"/>
          <w:color w:val="000000"/>
          <w:kern w:val="24"/>
        </w:rPr>
        <w:t xml:space="preserve">ncidenza negli individui di età pari o &gt; 65 anni è stata di 51 casi/1000 assistiti. Si sono verificati 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 xml:space="preserve">162 casi gravi, con un’età media 73 anni (range 0-94), e 68 decessi (dati di 11 regioni e province autonome), con età media 76 anni (range 20-90). L’82% dei casi gravi e il 92% decessi presentava almeno una patologia cronica preesistente, in cui quindi la vaccinazione era raccomandata, e solo il 25% era vaccinato. </w:t>
      </w:r>
    </w:p>
    <w:p w:rsidR="00DD38F3" w:rsidRDefault="00DD38F3" w:rsidP="00FD26FC">
      <w:pPr>
        <w:spacing w:before="100" w:beforeAutospacing="1" w:line="240" w:lineRule="auto"/>
        <w:jc w:val="both"/>
        <w:rPr>
          <w:rFonts w:ascii="Calibri Light" w:hAnsi="Calibri Light" w:cs="Calibri Light"/>
          <w:color w:val="000000"/>
          <w:kern w:val="24"/>
          <w:lang w:eastAsia="it-IT"/>
        </w:rPr>
      </w:pPr>
      <w:r w:rsidRPr="00FD26FC">
        <w:rPr>
          <w:rFonts w:ascii="Calibri Light" w:hAnsi="Calibri Light" w:cs="Calibri Light"/>
          <w:color w:val="000000"/>
          <w:kern w:val="24"/>
          <w:lang w:eastAsia="it-IT"/>
        </w:rPr>
        <w:t>E’ stata quindi analizzata quella che è la realtà di un</w:t>
      </w:r>
      <w:r>
        <w:rPr>
          <w:rFonts w:ascii="Calibri Light" w:hAnsi="Calibri Light" w:cs="Calibri Light"/>
          <w:color w:val="000000"/>
          <w:kern w:val="24"/>
          <w:lang w:eastAsia="it-IT"/>
        </w:rPr>
        <w:t>a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 xml:space="preserve"> RSA. In particolare sono stati osserv</w:t>
      </w:r>
      <w:r>
        <w:rPr>
          <w:rFonts w:ascii="Calibri Light" w:hAnsi="Calibri Light" w:cs="Calibri Light"/>
          <w:color w:val="000000"/>
          <w:kern w:val="24"/>
          <w:lang w:eastAsia="it-IT"/>
        </w:rPr>
        <w:t xml:space="preserve">ati 55 pazienti suddivisi tra vaccinati e </w:t>
      </w:r>
      <w:r w:rsidRPr="00FD26FC">
        <w:rPr>
          <w:rFonts w:ascii="Calibri Light" w:hAnsi="Calibri Light" w:cs="Calibri Light"/>
          <w:color w:val="000000"/>
          <w:kern w:val="24"/>
          <w:lang w:eastAsia="it-IT"/>
        </w:rPr>
        <w:t xml:space="preserve">non vaccinati. Si è potuto osservare che i pazienti vaccinati sono stati 32 (58,18%), dato decisamente inferiore all’obiettivo minimo perseguibile del Ministero della Salute. </w:t>
      </w:r>
    </w:p>
    <w:p w:rsidR="00DD38F3" w:rsidRPr="00FD26FC" w:rsidRDefault="00DD38F3" w:rsidP="00FD26FC">
      <w:pPr>
        <w:spacing w:before="100" w:beforeAutospacing="1" w:line="240" w:lineRule="auto"/>
        <w:jc w:val="both"/>
        <w:rPr>
          <w:rFonts w:ascii="Calibri Light" w:hAnsi="Calibri Light" w:cs="Calibri Light"/>
          <w:color w:val="000000"/>
          <w:kern w:val="24"/>
          <w:lang w:eastAsia="it-IT"/>
        </w:rPr>
      </w:pPr>
      <w:r>
        <w:rPr>
          <w:rFonts w:ascii="Calibri Light" w:hAnsi="Calibri Light" w:cs="Calibri Light"/>
          <w:color w:val="000000"/>
          <w:kern w:val="24"/>
          <w:lang w:eastAsia="it-IT"/>
        </w:rPr>
        <w:t>In particolare:</w:t>
      </w:r>
    </w:p>
    <w:p w:rsidR="00DD38F3" w:rsidRPr="00FD26FC" w:rsidRDefault="00DD38F3" w:rsidP="00FD26FC">
      <w:pPr>
        <w:pStyle w:val="ListParagraph"/>
        <w:numPr>
          <w:ilvl w:val="0"/>
          <w:numId w:val="9"/>
        </w:numPr>
        <w:spacing w:before="100" w:beforeAutospacing="1"/>
        <w:jc w:val="both"/>
        <w:rPr>
          <w:rFonts w:ascii="Calibri Light" w:hAnsi="Calibri Light"/>
          <w:color w:val="000000"/>
          <w:kern w:val="24"/>
          <w:sz w:val="22"/>
          <w:szCs w:val="22"/>
        </w:rPr>
      </w:pPr>
      <w:r>
        <w:rPr>
          <w:rFonts w:ascii="Calibri Light" w:hAnsi="Calibri Light"/>
          <w:color w:val="000000"/>
          <w:kern w:val="24"/>
          <w:sz w:val="22"/>
          <w:szCs w:val="22"/>
        </w:rPr>
        <w:t>n</w:t>
      </w:r>
      <w:r w:rsidRPr="00FD26FC">
        <w:rPr>
          <w:rFonts w:ascii="Calibri Light" w:hAnsi="Calibri Light"/>
          <w:color w:val="000000"/>
          <w:kern w:val="24"/>
          <w:sz w:val="22"/>
          <w:szCs w:val="22"/>
        </w:rPr>
        <w:t>on sono presenti differenze statisticamente significative tra il gruppo dei vaccinati e quello dei non vaccinati per quanto riguarda la distribuzione dell’età, del sesso e delle comorbidità</w:t>
      </w:r>
      <w:r>
        <w:rPr>
          <w:rFonts w:ascii="Calibri Light" w:hAnsi="Calibri Light"/>
          <w:color w:val="000000"/>
          <w:kern w:val="24"/>
          <w:sz w:val="22"/>
          <w:szCs w:val="22"/>
        </w:rPr>
        <w:t xml:space="preserve"> (1 o almeno 2);</w:t>
      </w:r>
    </w:p>
    <w:p w:rsidR="00DD38F3" w:rsidRPr="00FD26FC" w:rsidRDefault="00DD38F3" w:rsidP="00FD26FC">
      <w:pPr>
        <w:pStyle w:val="ListParagraph"/>
        <w:numPr>
          <w:ilvl w:val="0"/>
          <w:numId w:val="9"/>
        </w:numPr>
        <w:spacing w:before="100" w:beforeAutospacing="1"/>
        <w:jc w:val="both"/>
        <w:rPr>
          <w:rFonts w:ascii="Calibri Light" w:hAnsi="Calibri Light"/>
          <w:color w:val="000000"/>
          <w:kern w:val="24"/>
          <w:sz w:val="22"/>
          <w:szCs w:val="22"/>
        </w:rPr>
      </w:pPr>
      <w:r>
        <w:rPr>
          <w:rFonts w:ascii="Calibri Light" w:hAnsi="Calibri Light"/>
          <w:color w:val="000000"/>
          <w:kern w:val="24"/>
          <w:sz w:val="22"/>
          <w:szCs w:val="22"/>
        </w:rPr>
        <w:t>n</w:t>
      </w:r>
      <w:r w:rsidRPr="00FD26FC">
        <w:rPr>
          <w:rFonts w:ascii="Calibri Light" w:hAnsi="Calibri Light"/>
          <w:color w:val="000000"/>
          <w:kern w:val="24"/>
          <w:sz w:val="22"/>
          <w:szCs w:val="22"/>
        </w:rPr>
        <w:t>on si sono verificate reazioni avverse, locali o sistemiche, in seguito alla somministrazi</w:t>
      </w:r>
      <w:r>
        <w:rPr>
          <w:rFonts w:ascii="Calibri Light" w:hAnsi="Calibri Light"/>
          <w:color w:val="000000"/>
          <w:kern w:val="24"/>
          <w:sz w:val="22"/>
          <w:szCs w:val="22"/>
        </w:rPr>
        <w:t>one del vaccino antinfluenzale:</w:t>
      </w:r>
    </w:p>
    <w:p w:rsidR="00DD38F3" w:rsidRPr="00FD26FC" w:rsidRDefault="00DD38F3" w:rsidP="00FD26FC">
      <w:pPr>
        <w:pStyle w:val="ListParagraph"/>
        <w:numPr>
          <w:ilvl w:val="0"/>
          <w:numId w:val="9"/>
        </w:numPr>
        <w:spacing w:before="100" w:beforeAutospacing="1"/>
        <w:jc w:val="both"/>
        <w:rPr>
          <w:rFonts w:ascii="Calibri Light" w:hAnsi="Calibri Light"/>
          <w:color w:val="000000"/>
          <w:kern w:val="24"/>
          <w:sz w:val="22"/>
          <w:szCs w:val="22"/>
        </w:rPr>
      </w:pPr>
      <w:r>
        <w:rPr>
          <w:rFonts w:ascii="Calibri Light" w:hAnsi="Calibri Light"/>
          <w:color w:val="000000"/>
          <w:kern w:val="24"/>
          <w:sz w:val="22"/>
          <w:szCs w:val="22"/>
        </w:rPr>
        <w:t>i</w:t>
      </w:r>
      <w:r w:rsidRPr="00FD26FC">
        <w:rPr>
          <w:rFonts w:ascii="Calibri Light" w:hAnsi="Calibri Light"/>
          <w:color w:val="000000"/>
          <w:kern w:val="24"/>
          <w:sz w:val="22"/>
          <w:szCs w:val="22"/>
        </w:rPr>
        <w:t>l confronto tra le sindromi simil influenzali (senza complicanze alle vie respiratorie) approccia alla significati</w:t>
      </w:r>
      <w:r>
        <w:rPr>
          <w:rFonts w:ascii="Calibri Light" w:hAnsi="Calibri Light"/>
          <w:color w:val="000000"/>
          <w:kern w:val="24"/>
          <w:sz w:val="22"/>
          <w:szCs w:val="22"/>
        </w:rPr>
        <w:t>vità statistica con un maggior</w:t>
      </w:r>
      <w:r w:rsidRPr="00FD26FC">
        <w:rPr>
          <w:rFonts w:ascii="Calibri Light" w:hAnsi="Calibri Light"/>
          <w:color w:val="000000"/>
          <w:kern w:val="24"/>
          <w:sz w:val="22"/>
          <w:szCs w:val="22"/>
        </w:rPr>
        <w:t xml:space="preserve"> numero di ca</w:t>
      </w:r>
      <w:r>
        <w:rPr>
          <w:rFonts w:ascii="Calibri Light" w:hAnsi="Calibri Light"/>
          <w:color w:val="000000"/>
          <w:kern w:val="24"/>
          <w:sz w:val="22"/>
          <w:szCs w:val="22"/>
        </w:rPr>
        <w:t>si tra i pazienti non vaccinati;</w:t>
      </w:r>
    </w:p>
    <w:p w:rsidR="00DD38F3" w:rsidRPr="00FD26FC" w:rsidRDefault="00DD38F3" w:rsidP="00FD26FC">
      <w:pPr>
        <w:pStyle w:val="ListParagraph"/>
        <w:numPr>
          <w:ilvl w:val="0"/>
          <w:numId w:val="9"/>
        </w:numPr>
        <w:spacing w:before="100" w:beforeAutospacing="1"/>
        <w:jc w:val="both"/>
        <w:rPr>
          <w:rFonts w:ascii="Calibri Light" w:hAnsi="Calibri Light"/>
          <w:color w:val="000000"/>
          <w:kern w:val="24"/>
          <w:sz w:val="22"/>
          <w:szCs w:val="22"/>
        </w:rPr>
      </w:pPr>
      <w:r>
        <w:rPr>
          <w:rFonts w:ascii="Calibri Light" w:hAnsi="Calibri Light"/>
          <w:color w:val="000000"/>
          <w:kern w:val="24"/>
          <w:sz w:val="22"/>
          <w:szCs w:val="22"/>
        </w:rPr>
        <w:t>n</w:t>
      </w:r>
      <w:r w:rsidRPr="00FD26FC">
        <w:rPr>
          <w:rFonts w:ascii="Calibri Light" w:hAnsi="Calibri Light"/>
          <w:color w:val="000000"/>
          <w:kern w:val="24"/>
          <w:sz w:val="22"/>
          <w:szCs w:val="22"/>
        </w:rPr>
        <w:t>on ci sono differenze statisticamente signif</w:t>
      </w:r>
      <w:r>
        <w:rPr>
          <w:rFonts w:ascii="Calibri Light" w:hAnsi="Calibri Light"/>
          <w:color w:val="000000"/>
          <w:kern w:val="24"/>
          <w:sz w:val="22"/>
          <w:szCs w:val="22"/>
        </w:rPr>
        <w:t>icative nei due gruppi per quanto riguarda i casi di febbre con c</w:t>
      </w:r>
      <w:r w:rsidRPr="00FD26FC">
        <w:rPr>
          <w:rFonts w:ascii="Calibri Light" w:hAnsi="Calibri Light"/>
          <w:color w:val="000000"/>
          <w:kern w:val="24"/>
          <w:sz w:val="22"/>
          <w:szCs w:val="22"/>
        </w:rPr>
        <w:t xml:space="preserve">omplicanze delle vie respiratorie e il numero di accessi in pronto soccorso </w:t>
      </w:r>
    </w:p>
    <w:p w:rsidR="00DD38F3" w:rsidRPr="00FD26FC" w:rsidRDefault="00DD38F3" w:rsidP="00FD26FC">
      <w:pPr>
        <w:pStyle w:val="ListParagraph"/>
        <w:numPr>
          <w:ilvl w:val="0"/>
          <w:numId w:val="9"/>
        </w:numPr>
        <w:spacing w:before="100" w:beforeAutospacing="1"/>
        <w:jc w:val="both"/>
        <w:rPr>
          <w:rFonts w:ascii="Calibri Light" w:hAnsi="Calibri Light"/>
          <w:color w:val="000000"/>
          <w:kern w:val="24"/>
          <w:sz w:val="22"/>
          <w:szCs w:val="22"/>
        </w:rPr>
      </w:pPr>
      <w:r>
        <w:rPr>
          <w:rFonts w:ascii="Calibri Light" w:hAnsi="Calibri Light"/>
          <w:color w:val="000000"/>
          <w:kern w:val="24"/>
          <w:sz w:val="22"/>
          <w:szCs w:val="22"/>
        </w:rPr>
        <w:t>i</w:t>
      </w:r>
      <w:r w:rsidRPr="00FD26FC">
        <w:rPr>
          <w:rFonts w:ascii="Calibri Light" w:hAnsi="Calibri Light"/>
          <w:color w:val="000000"/>
          <w:kern w:val="24"/>
          <w:sz w:val="22"/>
          <w:szCs w:val="22"/>
        </w:rPr>
        <w:t xml:space="preserve"> decessi sono stati maggiori tra i soggetti non vaccinati (4 in totale, di cui 1 per marasma senile, 2 per infezioni delle vie respiratorie e 1 per un’infezione non meglio precisata) e i soggetti vaccinati (1 per infezione delle vie respiratorie).</w:t>
      </w:r>
    </w:p>
    <w:p w:rsidR="00DD38F3" w:rsidRPr="00FD26FC" w:rsidRDefault="00DD38F3" w:rsidP="00FD26FC">
      <w:pPr>
        <w:spacing w:before="100" w:beforeAutospacing="1" w:line="240" w:lineRule="auto"/>
        <w:jc w:val="both"/>
        <w:rPr>
          <w:rFonts w:ascii="Calibri Light" w:hAnsi="Calibri Light" w:cs="Calibri Light"/>
          <w:color w:val="000000"/>
          <w:kern w:val="24"/>
        </w:rPr>
      </w:pPr>
      <w:r w:rsidRPr="00FD26FC">
        <w:rPr>
          <w:rFonts w:ascii="Calibri Light" w:hAnsi="Calibri Light" w:cs="Calibri Light"/>
          <w:color w:val="000000"/>
          <w:kern w:val="24"/>
        </w:rPr>
        <w:t xml:space="preserve">Conclusioni: </w:t>
      </w:r>
      <w:r>
        <w:rPr>
          <w:rFonts w:ascii="Calibri Light" w:hAnsi="Calibri Light" w:cs="Calibri Light"/>
          <w:color w:val="000000"/>
          <w:kern w:val="24"/>
        </w:rPr>
        <w:t>tenendo conto del campione</w:t>
      </w:r>
      <w:r w:rsidRPr="00FD26FC">
        <w:rPr>
          <w:rFonts w:ascii="Calibri Light" w:hAnsi="Calibri Light" w:cs="Calibri Light"/>
          <w:color w:val="000000"/>
          <w:kern w:val="24"/>
        </w:rPr>
        <w:t xml:space="preserve"> piccolo e con scarsa significatività statistica e </w:t>
      </w:r>
      <w:r>
        <w:rPr>
          <w:rFonts w:ascii="Calibri Light" w:hAnsi="Calibri Light" w:cs="Calibri Light"/>
          <w:color w:val="000000"/>
          <w:kern w:val="24"/>
        </w:rPr>
        <w:t>la mancanza del</w:t>
      </w:r>
      <w:r w:rsidRPr="00FD26FC">
        <w:rPr>
          <w:rFonts w:ascii="Calibri Light" w:hAnsi="Calibri Light" w:cs="Calibri Light"/>
          <w:color w:val="000000"/>
          <w:kern w:val="24"/>
        </w:rPr>
        <w:t xml:space="preserve">l’analisi dei campioni biologici per diagnosticare con precisione la sindrome influenzale, si è </w:t>
      </w:r>
      <w:r>
        <w:rPr>
          <w:rFonts w:ascii="Calibri Light" w:hAnsi="Calibri Light" w:cs="Calibri Light"/>
          <w:color w:val="000000"/>
          <w:kern w:val="24"/>
        </w:rPr>
        <w:t>osservato</w:t>
      </w:r>
      <w:r w:rsidRPr="00FD26FC">
        <w:rPr>
          <w:rFonts w:ascii="Calibri Light" w:hAnsi="Calibri Light" w:cs="Calibri Light"/>
          <w:color w:val="000000"/>
          <w:kern w:val="24"/>
        </w:rPr>
        <w:t xml:space="preserve"> che il vaccino sembra esser sicuro vista l’assenza di reazioni avverse </w:t>
      </w:r>
      <w:r>
        <w:rPr>
          <w:rFonts w:ascii="Calibri Light" w:hAnsi="Calibri Light" w:cs="Calibri Light"/>
          <w:color w:val="000000"/>
          <w:kern w:val="24"/>
        </w:rPr>
        <w:t>dopo la sua somministrazione</w:t>
      </w:r>
      <w:r w:rsidRPr="00FD26FC">
        <w:rPr>
          <w:rFonts w:ascii="Calibri Light" w:hAnsi="Calibri Light" w:cs="Calibri Light"/>
          <w:color w:val="000000"/>
          <w:kern w:val="24"/>
        </w:rPr>
        <w:t>, si ha un numero maggior di sindromi simil influenzali tra i soggetti non vaccinati</w:t>
      </w:r>
      <w:r>
        <w:rPr>
          <w:rFonts w:ascii="Calibri Light" w:hAnsi="Calibri Light" w:cs="Calibri Light"/>
          <w:color w:val="000000"/>
          <w:kern w:val="24"/>
        </w:rPr>
        <w:t xml:space="preserve"> e un maggior numero di decessi. I decessi</w:t>
      </w:r>
      <w:r w:rsidRPr="00FD26FC">
        <w:rPr>
          <w:rFonts w:ascii="Calibri Light" w:hAnsi="Calibri Light" w:cs="Calibri Light"/>
          <w:color w:val="000000"/>
          <w:kern w:val="24"/>
        </w:rPr>
        <w:t xml:space="preserve"> si sono verificati in pazienti con 1 o più patologie croniche che </w:t>
      </w:r>
      <w:r>
        <w:rPr>
          <w:rFonts w:ascii="Calibri Light" w:hAnsi="Calibri Light" w:cs="Calibri Light"/>
          <w:color w:val="000000"/>
          <w:kern w:val="24"/>
        </w:rPr>
        <w:t>espongono quindi ad</w:t>
      </w:r>
      <w:r w:rsidRPr="00FD26FC">
        <w:rPr>
          <w:rFonts w:ascii="Calibri Light" w:hAnsi="Calibri Light" w:cs="Calibri Light"/>
          <w:color w:val="000000"/>
          <w:kern w:val="24"/>
        </w:rPr>
        <w:t xml:space="preserve"> un maggior rischio di complicanze da sindrome influenzale. </w:t>
      </w:r>
    </w:p>
    <w:p w:rsidR="00DD38F3" w:rsidRPr="00FD26FC" w:rsidRDefault="00DD38F3" w:rsidP="00FD26FC">
      <w:pPr>
        <w:spacing w:before="100" w:beforeAutospacing="1" w:line="240" w:lineRule="auto"/>
        <w:jc w:val="both"/>
        <w:rPr>
          <w:rFonts w:ascii="Calibri Light" w:hAnsi="Calibri Light" w:cs="Calibri Light"/>
          <w:color w:val="000000"/>
          <w:kern w:val="24"/>
        </w:rPr>
      </w:pPr>
      <w:r w:rsidRPr="00FD26FC">
        <w:rPr>
          <w:rFonts w:ascii="Calibri Light" w:hAnsi="Calibri Light" w:cs="Calibri Light"/>
          <w:color w:val="000000"/>
          <w:kern w:val="24"/>
        </w:rPr>
        <w:t>Gli obiettivi per la stagione 2017-2018 sono: fare una campagna di informazione a pazienti e parenti più precisa e tempestiva, mettere in atto una puntuale r</w:t>
      </w:r>
      <w:bookmarkStart w:id="0" w:name="_GoBack"/>
      <w:bookmarkEnd w:id="0"/>
      <w:r w:rsidRPr="00FD26FC">
        <w:rPr>
          <w:rFonts w:ascii="Calibri Light" w:hAnsi="Calibri Light" w:cs="Calibri Light"/>
          <w:color w:val="000000"/>
          <w:kern w:val="24"/>
        </w:rPr>
        <w:t>accolta del consenso/non consenso alla vaccinazione e se è possibile estendere l’os</w:t>
      </w:r>
      <w:r>
        <w:rPr>
          <w:rFonts w:ascii="Calibri Light" w:hAnsi="Calibri Light" w:cs="Calibri Light"/>
          <w:color w:val="000000"/>
          <w:kern w:val="24"/>
        </w:rPr>
        <w:t xml:space="preserve">servazione dei dati ad </w:t>
      </w:r>
      <w:r w:rsidRPr="00FD26FC">
        <w:rPr>
          <w:rFonts w:ascii="Calibri Light" w:hAnsi="Calibri Light" w:cs="Calibri Light"/>
          <w:color w:val="000000"/>
          <w:kern w:val="24"/>
        </w:rPr>
        <w:t xml:space="preserve">un campione più ampio avendo a disposizione circa 230-240 pazienti. </w:t>
      </w:r>
    </w:p>
    <w:p w:rsidR="00DD38F3" w:rsidRPr="008D42A8" w:rsidRDefault="00DD38F3" w:rsidP="008D42A8">
      <w:pPr>
        <w:spacing w:before="100" w:beforeAutospacing="1" w:line="240" w:lineRule="auto"/>
        <w:rPr>
          <w:rFonts w:ascii="Calibri Light" w:hAnsi="Calibri Light" w:cs="Calibri Light"/>
          <w:color w:val="000000"/>
          <w:kern w:val="24"/>
          <w:lang w:eastAsia="it-IT"/>
        </w:rPr>
      </w:pPr>
    </w:p>
    <w:p w:rsidR="00DD38F3" w:rsidRPr="00E679CA" w:rsidRDefault="00DD38F3" w:rsidP="00F16C1E">
      <w:pPr>
        <w:spacing w:before="100" w:beforeAutospacing="1" w:line="240" w:lineRule="auto"/>
        <w:rPr>
          <w:rFonts w:ascii="Calibri Light" w:hAnsi="Calibri Light" w:cs="Calibri Light"/>
          <w:color w:val="000000"/>
          <w:kern w:val="24"/>
          <w:lang w:eastAsia="it-IT"/>
        </w:rPr>
      </w:pPr>
    </w:p>
    <w:p w:rsidR="00DD38F3" w:rsidRPr="008B1398" w:rsidRDefault="00DD38F3" w:rsidP="008B1398">
      <w:pPr>
        <w:spacing w:before="100" w:beforeAutospacing="1"/>
        <w:rPr>
          <w:rFonts w:ascii="Calibri Light" w:hAnsi="Calibri Light" w:cs="Calibri Light"/>
          <w:b/>
          <w:bCs/>
        </w:rPr>
      </w:pPr>
    </w:p>
    <w:sectPr w:rsidR="00DD38F3" w:rsidRPr="008B1398" w:rsidSect="000B6D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714"/>
    <w:multiLevelType w:val="hybridMultilevel"/>
    <w:tmpl w:val="917846FC"/>
    <w:lvl w:ilvl="0" w:tplc="B79A11F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C6F3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CBA899AA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8CE6F434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F68C044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2846F1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9626971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181C6540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AC5CE62A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>
    <w:nsid w:val="0D2D2CE2"/>
    <w:multiLevelType w:val="hybridMultilevel"/>
    <w:tmpl w:val="1B3E6D72"/>
    <w:lvl w:ilvl="0" w:tplc="0F46455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3A7C04C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14E01B3A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E1169F6C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7A5CAC4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AA0070A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88EA2334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0956A0E4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F808D00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nsid w:val="32FC36FC"/>
    <w:multiLevelType w:val="hybridMultilevel"/>
    <w:tmpl w:val="53D6BBE4"/>
    <w:lvl w:ilvl="0" w:tplc="CD1E99D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90348D9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A47E09AA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3C529CF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1B4CB78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7E50326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87DC66AE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92FA115E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BE707E46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nsid w:val="3F130721"/>
    <w:multiLevelType w:val="hybridMultilevel"/>
    <w:tmpl w:val="4D145F18"/>
    <w:lvl w:ilvl="0" w:tplc="A7E69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BF1C06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46627B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E82EF3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41AE00E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6F0A64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A3D0E3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86D41B1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BA4A4C6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nsid w:val="452F5076"/>
    <w:multiLevelType w:val="hybridMultilevel"/>
    <w:tmpl w:val="F4B2148C"/>
    <w:lvl w:ilvl="0" w:tplc="8EAE260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DE2A04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B422FA40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EDD006BC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A6BC0F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CB703FBE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BDE693CC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7AD26B9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8A58F87A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nsid w:val="49EF17C6"/>
    <w:multiLevelType w:val="hybridMultilevel"/>
    <w:tmpl w:val="74CE9348"/>
    <w:lvl w:ilvl="0" w:tplc="ACE450E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0E2DB9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54A83B1E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6C264D5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97C042EA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6476A08E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FFC852F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28F80734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AA6806F4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nsid w:val="4BE968A3"/>
    <w:multiLevelType w:val="hybridMultilevel"/>
    <w:tmpl w:val="18ACC044"/>
    <w:lvl w:ilvl="0" w:tplc="863E7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182C9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E34A28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BFC6AD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66C4C22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AFD2A10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41B8B5B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21C733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6840EBC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>
    <w:nsid w:val="699B1C77"/>
    <w:multiLevelType w:val="hybridMultilevel"/>
    <w:tmpl w:val="94449EA0"/>
    <w:lvl w:ilvl="0" w:tplc="E4CE4FB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1B46B9A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2532472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B524BF96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72DE33C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E1A4ECD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55503CFC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1A20916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E2F67412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>
    <w:nsid w:val="6AD23E20"/>
    <w:multiLevelType w:val="hybridMultilevel"/>
    <w:tmpl w:val="3E709F6E"/>
    <w:lvl w:ilvl="0" w:tplc="DD6627C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1CF0791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B8CC1020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952E01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8772A9EC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55B2142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9EEA0DC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3640AF9E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B33C8792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>
    <w:nsid w:val="6CF83E83"/>
    <w:multiLevelType w:val="hybridMultilevel"/>
    <w:tmpl w:val="7B0C194A"/>
    <w:lvl w:ilvl="0" w:tplc="2094205A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34155F4"/>
    <w:multiLevelType w:val="hybridMultilevel"/>
    <w:tmpl w:val="71181F84"/>
    <w:lvl w:ilvl="0" w:tplc="5B2E6EE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434044A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50F645B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A254F17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3B7EA7B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FDCE32A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5016BA5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022A662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7F2C1756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283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622"/>
    <w:rsid w:val="000B2CA8"/>
    <w:rsid w:val="000B6D7C"/>
    <w:rsid w:val="00170657"/>
    <w:rsid w:val="00203CB3"/>
    <w:rsid w:val="0045638F"/>
    <w:rsid w:val="005303CB"/>
    <w:rsid w:val="006A7A56"/>
    <w:rsid w:val="00705784"/>
    <w:rsid w:val="0071426A"/>
    <w:rsid w:val="00770B6C"/>
    <w:rsid w:val="00794DCE"/>
    <w:rsid w:val="007A0AD2"/>
    <w:rsid w:val="007D0ED2"/>
    <w:rsid w:val="008B1398"/>
    <w:rsid w:val="008D42A8"/>
    <w:rsid w:val="009F4D95"/>
    <w:rsid w:val="00CA7CBA"/>
    <w:rsid w:val="00CE013A"/>
    <w:rsid w:val="00DD38F3"/>
    <w:rsid w:val="00E151EF"/>
    <w:rsid w:val="00E63622"/>
    <w:rsid w:val="00E679CA"/>
    <w:rsid w:val="00F16C1E"/>
    <w:rsid w:val="00FA3B84"/>
    <w:rsid w:val="00FD26FC"/>
    <w:rsid w:val="00FE074C"/>
    <w:rsid w:val="00FE0B0C"/>
    <w:rsid w:val="00FE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7C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B1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99"/>
    <w:qFormat/>
    <w:rsid w:val="008B139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68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7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7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1236</Words>
  <Characters>7046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Dott</dc:title>
  <dc:subject/>
  <dc:creator>Francesca Simonato</dc:creator>
  <cp:keywords/>
  <dc:description/>
  <cp:lastModifiedBy>vargium</cp:lastModifiedBy>
  <cp:revision>2</cp:revision>
  <dcterms:created xsi:type="dcterms:W3CDTF">2017-10-26T08:16:00Z</dcterms:created>
  <dcterms:modified xsi:type="dcterms:W3CDTF">2017-10-26T08:16:00Z</dcterms:modified>
</cp:coreProperties>
</file>