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Запустить обновление пакетов (т.к. в прошлом семестре мы уже выполняли установку виртуальной машины, поэтому начали выполнение лабораторной работы не с начала).</w:t>
      </w:r>
    </w:p>
    <w:p>
      <w:pPr>
        <w:numPr>
          <w:ilvl w:val="0"/>
          <w:numId w:val="1001"/>
        </w:numPr>
        <w:pStyle w:val="Compact"/>
      </w:pPr>
      <w:r>
        <w:t xml:space="preserve">Настроить автоматическое обновление, установить tmux и отключить SELinux.</w:t>
      </w:r>
    </w:p>
    <w:p>
      <w:pPr>
        <w:numPr>
          <w:ilvl w:val="0"/>
          <w:numId w:val="1001"/>
        </w:numPr>
        <w:pStyle w:val="Compact"/>
      </w:pPr>
      <w:r>
        <w:t xml:space="preserve">Установить драйвера для вирутальной машины и подключить гостевую ОС.</w:t>
      </w:r>
    </w:p>
    <w:p>
      <w:pPr>
        <w:numPr>
          <w:ilvl w:val="0"/>
          <w:numId w:val="1001"/>
        </w:numPr>
        <w:pStyle w:val="Compact"/>
      </w:pPr>
      <w:r>
        <w:t xml:space="preserve">Установить и проверить имя пользователя и название хоста.</w:t>
      </w:r>
    </w:p>
    <w:p>
      <w:pPr>
        <w:numPr>
          <w:ilvl w:val="0"/>
          <w:numId w:val="1001"/>
        </w:numPr>
        <w:pStyle w:val="Compact"/>
      </w:pPr>
      <w:r>
        <w:t xml:space="preserve">Проверить наличие pandoc и TexLive (при необходимости установить).</w:t>
      </w:r>
    </w:p>
    <w:p>
      <w:pPr>
        <w:numPr>
          <w:ilvl w:val="0"/>
          <w:numId w:val="1001"/>
        </w:numPr>
        <w:pStyle w:val="Compact"/>
      </w:pPr>
      <w:r>
        <w:t xml:space="preserve">Выполнить домашнее задание.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Например, в табл. 3.1 приведено краткое описание стандартных каталогов Unix.</w:t>
      </w:r>
    </w:p>
    <w:p>
      <w:pPr>
        <w:pStyle w:val="BodyText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 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 [1–7].</w:t>
      </w:r>
    </w:p>
    <w:bookmarkEnd w:id="23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прошлом семестре мы уже выполняли установку виртуальной машины, поэтому начали выполнение лабораторной работы не с начала. Запустили обновление пакетов (рис. 4.1).</w:t>
      </w:r>
    </w:p>
    <w:p>
      <w:pPr>
        <w:pStyle w:val="CaptionedFigure"/>
      </w:pPr>
      <w:r>
        <w:drawing>
          <wp:inline>
            <wp:extent cx="3733800" cy="2705734"/>
            <wp:effectExtent b="0" l="0" r="0" t="0"/>
            <wp:docPr descr="Обновление пакетов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пакетов</w:t>
      </w:r>
    </w:p>
    <w:p>
      <w:pPr>
        <w:pStyle w:val="CaptionedFigure"/>
      </w:pPr>
      <w:r>
        <w:drawing>
          <wp:inline>
            <wp:extent cx="3733800" cy="2471369"/>
            <wp:effectExtent b="0" l="0" r="0" t="0"/>
            <wp:docPr descr="Завершения обновления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Завершения обновления</w:t>
      </w:r>
    </w:p>
    <w:p>
      <w:pPr>
        <w:numPr>
          <w:ilvl w:val="0"/>
          <w:numId w:val="1003"/>
        </w:numPr>
        <w:pStyle w:val="Compact"/>
      </w:pPr>
      <w:r>
        <w:t xml:space="preserve">Настраиваем автоматическое обновление, устанавливаем tmux и отключаем SELinux (рис. 4.3 –4.5).</w:t>
      </w:r>
    </w:p>
    <w:p>
      <w:pPr>
        <w:pStyle w:val="CaptionedFigure"/>
      </w:pPr>
      <w:r>
        <w:drawing>
          <wp:inline>
            <wp:extent cx="3733800" cy="2499975"/>
            <wp:effectExtent b="0" l="0" r="0" t="0"/>
            <wp:docPr descr="Автоматическое обновление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Автоматическое обновление</w:t>
      </w:r>
    </w:p>
    <w:p>
      <w:pPr>
        <w:pStyle w:val="CaptionedFigure"/>
      </w:pPr>
      <w:r>
        <w:drawing>
          <wp:inline>
            <wp:extent cx="3733800" cy="2499929"/>
            <wp:effectExtent b="0" l="0" r="0" t="0"/>
            <wp:docPr descr="Запуск таймера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таймера</w:t>
      </w:r>
    </w:p>
    <w:p>
      <w:pPr>
        <w:pStyle w:val="CaptionedFigure"/>
      </w:pPr>
      <w:r>
        <w:drawing>
          <wp:inline>
            <wp:extent cx="3733800" cy="2514711"/>
            <wp:effectExtent b="0" l="0" r="0" t="0"/>
            <wp:docPr descr="Установка tmux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tmux</w:t>
      </w:r>
    </w:p>
    <w:p>
      <w:pPr>
        <w:numPr>
          <w:ilvl w:val="0"/>
          <w:numId w:val="1004"/>
        </w:numPr>
        <w:pStyle w:val="Compact"/>
      </w:pPr>
      <w:r>
        <w:t xml:space="preserve">Устанавливаем драйвера для виртульной машины и подключаем гостевой ОС (рис. 4.6-4.7).</w:t>
      </w:r>
    </w:p>
    <w:p>
      <w:pPr>
        <w:pStyle w:val="CaptionedFigure"/>
      </w:pPr>
      <w:r>
        <w:drawing>
          <wp:inline>
            <wp:extent cx="3733800" cy="2510939"/>
            <wp:effectExtent b="0" l="0" r="0" t="0"/>
            <wp:docPr descr="Установка DKMS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DKMS</w:t>
      </w:r>
    </w:p>
    <w:p>
      <w:pPr>
        <w:pStyle w:val="CaptionedFigure"/>
      </w:pPr>
      <w:r>
        <w:drawing>
          <wp:inline>
            <wp:extent cx="3733800" cy="2066035"/>
            <wp:effectExtent b="0" l="0" r="0" t="0"/>
            <wp:docPr descr="Гостевая ОС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Гостевая ОС</w:t>
      </w:r>
    </w:p>
    <w:p>
      <w:pPr>
        <w:numPr>
          <w:ilvl w:val="0"/>
          <w:numId w:val="1005"/>
        </w:numPr>
        <w:pStyle w:val="Compact"/>
      </w:pPr>
      <w:r>
        <w:t xml:space="preserve">Устанавливаем и проверяем имя пользователя и название хоста (рис. 4.8)</w:t>
      </w:r>
    </w:p>
    <w:p>
      <w:pPr>
        <w:pStyle w:val="CaptionedFigure"/>
      </w:pPr>
      <w:r>
        <w:drawing>
          <wp:inline>
            <wp:extent cx="3733800" cy="2503526"/>
            <wp:effectExtent b="0" l="0" r="0" t="0"/>
            <wp:docPr descr="Данные пользователя и хоста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пользователя и хоста</w:t>
      </w:r>
    </w:p>
    <w:p>
      <w:pPr>
        <w:numPr>
          <w:ilvl w:val="0"/>
          <w:numId w:val="1006"/>
        </w:numPr>
        <w:pStyle w:val="Compact"/>
      </w:pPr>
      <w:r>
        <w:t xml:space="preserve">Проверяем наличие pandoc и TexLive (были установлены установлены в прошлых лабораторных работах, проверка наличия) (рис. 4.9)</w:t>
      </w:r>
    </w:p>
    <w:p>
      <w:pPr>
        <w:pStyle w:val="CaptionedFigure"/>
      </w:pPr>
      <w:r>
        <w:drawing>
          <wp:inline>
            <wp:extent cx="3733800" cy="2573517"/>
            <wp:effectExtent b="0" l="0" r="0" t="0"/>
            <wp:docPr descr="Проверка наличия pandoc и TexLive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pandoc и TexLive</w:t>
      </w:r>
    </w:p>
    <w:p>
      <w:pPr>
        <w:pStyle w:val="BodyText"/>
      </w:pPr>
      <w:r>
        <w:t xml:space="preserve">Домашнее задание</w:t>
      </w:r>
    </w:p>
    <w:p>
      <w:pPr>
        <w:pStyle w:val="BodyText"/>
      </w:pPr>
      <w:r>
        <w:t xml:space="preserve">С помощью команды dmwsg необходимо получить некоторую информации о компьютере.</w:t>
      </w:r>
    </w:p>
    <w:p>
      <w:pPr>
        <w:numPr>
          <w:ilvl w:val="0"/>
          <w:numId w:val="1007"/>
        </w:numPr>
        <w:pStyle w:val="Compact"/>
      </w:pPr>
      <w:r>
        <w:t xml:space="preserve">Версия ядра Linux (рис.4.10).</w:t>
      </w:r>
    </w:p>
    <w:p>
      <w:pPr>
        <w:pStyle w:val="CaptionedFigure"/>
      </w:pPr>
      <w:r>
        <w:drawing>
          <wp:inline>
            <wp:extent cx="3733800" cy="1055329"/>
            <wp:effectExtent b="0" l="0" r="0" t="0"/>
            <wp:docPr descr="Версия ядра Linux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Версия ядра Linux</w:t>
      </w:r>
    </w:p>
    <w:p>
      <w:pPr>
        <w:numPr>
          <w:ilvl w:val="0"/>
          <w:numId w:val="1008"/>
        </w:numPr>
        <w:pStyle w:val="Compact"/>
      </w:pPr>
      <w:r>
        <w:t xml:space="preserve">Частота процессора (рис. 4.11).</w:t>
      </w:r>
    </w:p>
    <w:p>
      <w:pPr>
        <w:pStyle w:val="CaptionedFigure"/>
      </w:pPr>
      <w:r>
        <w:drawing>
          <wp:inline>
            <wp:extent cx="3733800" cy="191673"/>
            <wp:effectExtent b="0" l="0" r="0" t="0"/>
            <wp:docPr descr="Частота процессора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Частота процессора</w:t>
      </w:r>
    </w:p>
    <w:p>
      <w:pPr>
        <w:numPr>
          <w:ilvl w:val="0"/>
          <w:numId w:val="1009"/>
        </w:numPr>
        <w:pStyle w:val="Compact"/>
      </w:pPr>
      <w:r>
        <w:t xml:space="preserve">Модель процессора (рис.4.12).</w:t>
      </w:r>
    </w:p>
    <w:p>
      <w:pPr>
        <w:pStyle w:val="CaptionedFigure"/>
      </w:pPr>
      <w:r>
        <w:drawing>
          <wp:inline>
            <wp:extent cx="3733800" cy="209371"/>
            <wp:effectExtent b="0" l="0" r="0" t="0"/>
            <wp:docPr descr="Модель процессора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процессора</w:t>
      </w:r>
    </w:p>
    <w:p>
      <w:pPr>
        <w:numPr>
          <w:ilvl w:val="0"/>
          <w:numId w:val="1010"/>
        </w:numPr>
        <w:pStyle w:val="Compact"/>
      </w:pPr>
      <w:r>
        <w:t xml:space="preserve">Объем оперативной доступной памяти (рис. 4.13).</w:t>
      </w:r>
    </w:p>
    <w:p>
      <w:pPr>
        <w:pStyle w:val="CaptionedFigure"/>
      </w:pPr>
      <w:r>
        <w:drawing>
          <wp:inline>
            <wp:extent cx="3695700" cy="228600"/>
            <wp:effectExtent b="0" l="0" r="0" t="0"/>
            <wp:docPr descr="Объем оперативной памяти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Объем оперативной памяти</w:t>
      </w:r>
    </w:p>
    <w:p>
      <w:pPr>
        <w:numPr>
          <w:ilvl w:val="0"/>
          <w:numId w:val="1011"/>
        </w:numPr>
        <w:pStyle w:val="Compact"/>
      </w:pPr>
      <w:r>
        <w:t xml:space="preserve">Тип обнаруживаемого гипервизора (рис.4.14).</w:t>
      </w:r>
    </w:p>
    <w:p>
      <w:pPr>
        <w:pStyle w:val="CaptionedFigure"/>
      </w:pPr>
      <w:r>
        <w:drawing>
          <wp:inline>
            <wp:extent cx="3657600" cy="361950"/>
            <wp:effectExtent b="0" l="0" r="0" t="0"/>
            <wp:docPr descr="Тип обнаруживаемого гипервизора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обнаруживаемого гипервизора</w:t>
      </w:r>
    </w:p>
    <w:p>
      <w:pPr>
        <w:numPr>
          <w:ilvl w:val="0"/>
          <w:numId w:val="1012"/>
        </w:numPr>
        <w:pStyle w:val="Compact"/>
      </w:pPr>
      <w:r>
        <w:t xml:space="preserve">Тип файловой системы корневого раздела (рис.4.15).</w:t>
      </w:r>
    </w:p>
    <w:p>
      <w:pPr>
        <w:pStyle w:val="CaptionedFigure"/>
      </w:pPr>
      <w:r>
        <w:drawing>
          <wp:inline>
            <wp:extent cx="3733800" cy="1311411"/>
            <wp:effectExtent b="0" l="0" r="0" t="0"/>
            <wp:docPr descr="Тип файловой системы корневого раздела" title="fig: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файловой системы корневого раздела</w:t>
      </w:r>
    </w:p>
    <w:p>
      <w:pPr>
        <w:numPr>
          <w:ilvl w:val="0"/>
          <w:numId w:val="1013"/>
        </w:numPr>
        <w:pStyle w:val="Compact"/>
      </w:pPr>
      <w:r>
        <w:t xml:space="preserve">Последовательность монтирования файловых систем (рис.4.16).</w:t>
      </w:r>
    </w:p>
    <w:p>
      <w:pPr>
        <w:pStyle w:val="CaptionedFigure"/>
      </w:pPr>
      <w:r>
        <w:drawing>
          <wp:inline>
            <wp:extent cx="3733800" cy="2690366"/>
            <wp:effectExtent b="0" l="0" r="0" t="0"/>
            <wp:docPr descr="Последовательность монтирования файловых систем" title="fig: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Последовательность монтирования файловых систем</w:t>
      </w:r>
    </w:p>
    <w:p>
      <w:pPr>
        <w:pStyle w:val="BodyText"/>
      </w:pPr>
      <w:r>
        <w:t xml:space="preserve">Контрольные вопросы</w:t>
      </w:r>
      <w:r>
        <w:t xml:space="preserve"> </w:t>
      </w:r>
      <w:r>
        <w:t xml:space="preserve">1. Какую информацию содержит учётная запись пользователя? Имя пользователя (user name)</w:t>
      </w:r>
      <w:r>
        <w:t xml:space="preserve"> </w:t>
      </w:r>
      <w:r>
        <w:t xml:space="preserve">Индентификационный номер пользвателя (UID)</w:t>
      </w:r>
      <w:r>
        <w:t xml:space="preserve"> </w:t>
      </w:r>
      <w:r>
        <w:t xml:space="preserve">Индентификационный номер группы (GID)</w:t>
      </w:r>
      <w:r>
        <w:t xml:space="preserve"> </w:t>
      </w:r>
      <w:r>
        <w:t xml:space="preserve">Пароль (password)</w:t>
      </w:r>
      <w:r>
        <w:t xml:space="preserve"> </w:t>
      </w:r>
      <w:r>
        <w:t xml:space="preserve">Полное имя (full name)</w:t>
      </w:r>
      <w:r>
        <w:t xml:space="preserve"> </w:t>
      </w:r>
      <w:r>
        <w:t xml:space="preserve">Домашний каталог (home directory)</w:t>
      </w:r>
      <w:r>
        <w:t xml:space="preserve"> </w:t>
      </w:r>
      <w:r>
        <w:t xml:space="preserve">Начальную оболочку (login shell)</w:t>
      </w:r>
      <w:r>
        <w:t xml:space="preserve"> </w:t>
      </w:r>
      <w:r>
        <w:t xml:space="preserve">2. Укажите команды терминала и приведите примеры:</w:t>
      </w:r>
      <w:r>
        <w:t xml:space="preserve"> </w:t>
      </w:r>
      <w:r>
        <w:t xml:space="preserve">для получения справки по команде –help</w:t>
      </w:r>
    </w:p>
    <w:p>
      <w:pPr>
        <w:pStyle w:val="BodyText"/>
      </w:pPr>
      <w:r>
        <w:t xml:space="preserve">для перемещения по файловой системе -cd</w:t>
      </w:r>
    </w:p>
    <w:p>
      <w:pPr>
        <w:pStyle w:val="BodyText"/>
      </w:pPr>
      <w:r>
        <w:t xml:space="preserve">для просмотра содержимого каталога -ls</w:t>
      </w:r>
    </w:p>
    <w:p>
      <w:pPr>
        <w:pStyle w:val="BodyText"/>
      </w:pPr>
      <w:r>
        <w:t xml:space="preserve">для определения объёма каталога du</w:t>
      </w:r>
    </w:p>
    <w:p>
      <w:pPr>
        <w:pStyle w:val="BodyText"/>
      </w:pPr>
      <w:r>
        <w:t xml:space="preserve">для создания / удаления каталогов / файлов - mkdir -создание, rm -r - удаление</w:t>
      </w:r>
    </w:p>
    <w:p>
      <w:pPr>
        <w:pStyle w:val="BodyText"/>
      </w:pPr>
      <w:r>
        <w:t xml:space="preserve">для задания определённых прав на файл / каталог- touch/rm</w:t>
      </w:r>
    </w:p>
    <w:p>
      <w:pPr>
        <w:pStyle w:val="BodyText"/>
      </w:pPr>
      <w:r>
        <w:t xml:space="preserve">для просмотра истории команд –history</w:t>
      </w:r>
    </w:p>
    <w:p>
      <w:pPr>
        <w:numPr>
          <w:ilvl w:val="0"/>
          <w:numId w:val="101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- порядок, определяющий способ организации, хранения и</w:t>
      </w:r>
      <w:r>
        <w:t xml:space="preserve"> </w:t>
      </w:r>
      <w:r>
        <w:t xml:space="preserve">наименования данных на носителях информации в пк, а также в другом электронном оборудовании: цифровых фотоаппаратах, мобильных телефона и тд. Файловая система определяет формат содержимого и способ физического хранения информации, которую принято группировать в виде файлов. Конкретная файловая система и раздел, набор атрибутов файла. Некоторые файловые системы представляют сервисные возможности, например, разграничение доступа или шифрование файлов.</w:t>
      </w:r>
      <w:r>
        <w:t xml:space="preserve"> </w:t>
      </w:r>
      <w:r>
        <w:t xml:space="preserve">4. Как посмотреть, какие файловые системы подмонтированы в ОС?</w:t>
      </w:r>
      <w:r>
        <w:t xml:space="preserve"> </w:t>
      </w:r>
      <w:r>
        <w:t xml:space="preserve">Df-утилита, показывающая список всех файловых систем по имени устройства, сообщает их размер, занятое и свободное пространство и точки монтирования.</w:t>
      </w:r>
      <w:r>
        <w:t xml:space="preserve"> </w:t>
      </w:r>
      <w:r>
        <w:t xml:space="preserve">При выполнении бещ аргумента, команда mount выведет все подключенные</w:t>
      </w:r>
      <w:r>
        <w:t xml:space="preserve"> </w:t>
      </w:r>
      <w:r>
        <w:t xml:space="preserve">данные.</w:t>
      </w:r>
      <w:r>
        <w:t xml:space="preserve"> </w:t>
      </w:r>
      <w:r>
        <w:t xml:space="preserve">5. Как удалить зависший процесс?</w:t>
      </w:r>
      <w:r>
        <w:t xml:space="preserve"> </w:t>
      </w:r>
      <w:r>
        <w:t xml:space="preserve">С помощью команды killall-killall ().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15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15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15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15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15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15"/>
        </w:numPr>
        <w:pStyle w:val="Compact"/>
      </w:pPr>
      <w:r>
        <w:t xml:space="preserve">Robbins, A. Bash Pocket Reference / A. Robbins. – O’Reilly Media, 2016. – 156 сс.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Головина Мария Игоревна</dc:creator>
  <dc:language>ru-RU</dc:language>
  <cp:keywords/>
  <dcterms:created xsi:type="dcterms:W3CDTF">2025-02-21T11:53:05Z</dcterms:created>
  <dcterms:modified xsi:type="dcterms:W3CDTF">2025-02-21T11:53:05Z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Установка ОС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