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</w:p>
    <w:p>
      <w:pPr>
        <w:pStyle w:val="FirstParagraph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5"/>
        </w:numPr>
        <w:pStyle w:val="Compact"/>
      </w:pPr>
      <w:r>
        <w:t xml:space="preserve">Режим поиска.</w:t>
      </w:r>
    </w:p>
    <w:p>
      <w:pPr>
        <w:pStyle w:val="FirstParagraph"/>
      </w:pPr>
      <w:r>
        <w:t xml:space="preserve">9.1. Переключитесь в режим поиска (C-s) и найдите несколько слов,присутствующих в тексте.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текстдля замены. После того как будут подсвечены результаты поиска, 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numPr>
          <w:ilvl w:val="0"/>
          <w:numId w:val="1006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буфера,его основной режим,изменялся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p>
      <w:pPr>
        <w:pStyle w:val="BodyText"/>
      </w:pPr>
      <w:r>
        <w:t xml:space="preserve">Более подробно об Linux см. в [1–7].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Открыли emacs. Создали файл lab07.sh с помощью комбинации Ctrl-x Ctrl-f (рис 4.1).</w:t>
      </w:r>
    </w:p>
    <w:p>
      <w:pPr>
        <w:pStyle w:val="CaptionedFigure"/>
      </w:pPr>
      <w:r>
        <w:drawing>
          <wp:inline>
            <wp:extent cx="3733800" cy="2616000"/>
            <wp:effectExtent b="0" l="0" r="0" t="0"/>
            <wp:docPr descr="Создание файла lab07.sh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lab07.sh</w:t>
      </w:r>
    </w:p>
    <w:p>
      <w:pPr>
        <w:numPr>
          <w:ilvl w:val="0"/>
          <w:numId w:val="1008"/>
        </w:numPr>
        <w:pStyle w:val="Compact"/>
      </w:pPr>
      <w:r>
        <w:t xml:space="preserve">Набрали нужный текст в файле (рис. 4.2).</w:t>
      </w:r>
    </w:p>
    <w:p>
      <w:pPr>
        <w:pStyle w:val="CaptionedFigure"/>
      </w:pPr>
      <w:r>
        <w:drawing>
          <wp:inline>
            <wp:extent cx="3733800" cy="2028600"/>
            <wp:effectExtent b="0" l="0" r="0" t="0"/>
            <wp:docPr descr="Текст в файле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файле</w:t>
      </w:r>
    </w:p>
    <w:p>
      <w:pPr>
        <w:numPr>
          <w:ilvl w:val="0"/>
          <w:numId w:val="1009"/>
        </w:numPr>
        <w:pStyle w:val="Compact"/>
      </w:pPr>
      <w:r>
        <w:t xml:space="preserve">Сохранили файл с помощью комбинации Ctrl-x Ctrl-s (C-x C-s) (рис. 4.3).</w:t>
      </w:r>
    </w:p>
    <w:p>
      <w:pPr>
        <w:pStyle w:val="CaptionedFigure"/>
      </w:pPr>
      <w:r>
        <w:drawing>
          <wp:inline>
            <wp:extent cx="3733800" cy="2630499"/>
            <wp:effectExtent b="0" l="0" r="0" t="0"/>
            <wp:docPr descr="Сохра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numPr>
          <w:ilvl w:val="0"/>
          <w:numId w:val="1010"/>
        </w:numPr>
        <w:pStyle w:val="Compact"/>
      </w:pPr>
      <w:r>
        <w:t xml:space="preserve">Проделали с текстом стандартные процедуры редактирования, каждое действие должно осуществляться комбинацией клавиш. Вырезали одной командой целую строку (С-k) (рис.4.4)</w:t>
      </w:r>
    </w:p>
    <w:p>
      <w:pPr>
        <w:pStyle w:val="CaptionedFigure"/>
      </w:pPr>
      <w:r>
        <w:drawing>
          <wp:inline>
            <wp:extent cx="3733800" cy="2038229"/>
            <wp:effectExtent b="0" l="0" r="0" t="0"/>
            <wp:docPr descr="Вырезание целой строки одной командой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целой строки одной командой</w:t>
      </w:r>
    </w:p>
    <w:p>
      <w:pPr>
        <w:numPr>
          <w:ilvl w:val="0"/>
          <w:numId w:val="1011"/>
        </w:numPr>
        <w:pStyle w:val="Compact"/>
      </w:pPr>
      <w:r>
        <w:t xml:space="preserve">Вставили вырезанную эту строку в конец файла (C-y) (рис.4.5).</w:t>
      </w:r>
    </w:p>
    <w:p>
      <w:pPr>
        <w:pStyle w:val="CaptionedFigure"/>
      </w:pPr>
      <w:r>
        <w:drawing>
          <wp:inline>
            <wp:extent cx="3733800" cy="2641403"/>
            <wp:effectExtent b="0" l="0" r="0" t="0"/>
            <wp:docPr descr="Вставка вырезанной строки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вырезанной строки</w:t>
      </w:r>
    </w:p>
    <w:p>
      <w:pPr>
        <w:numPr>
          <w:ilvl w:val="0"/>
          <w:numId w:val="1012"/>
        </w:numPr>
        <w:pStyle w:val="Compact"/>
      </w:pPr>
      <w:r>
        <w:t xml:space="preserve">Выделили область текста (C-space). Скопировали область в буфер обмена (M-w). Вставили область в конец файла (рис. 4.6).</w:t>
      </w:r>
    </w:p>
    <w:p>
      <w:pPr>
        <w:pStyle w:val="CaptionedFigure"/>
      </w:pPr>
      <w:r>
        <w:drawing>
          <wp:inline>
            <wp:extent cx="3733800" cy="2033195"/>
            <wp:effectExtent b="0" l="0" r="0" t="0"/>
            <wp:docPr descr="Выделение области и копирование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и копирование</w:t>
      </w:r>
    </w:p>
    <w:p>
      <w:pPr>
        <w:numPr>
          <w:ilvl w:val="0"/>
          <w:numId w:val="1013"/>
        </w:numPr>
        <w:pStyle w:val="Compact"/>
      </w:pPr>
      <w:r>
        <w:t xml:space="preserve">Вновь выделили эту область и на этот раз вырезали её с помощью комбинации С-w (рис. 4.7).</w:t>
      </w:r>
    </w:p>
    <w:p>
      <w:pPr>
        <w:pStyle w:val="CaptionedFigure"/>
      </w:pPr>
      <w:r>
        <w:drawing>
          <wp:inline>
            <wp:extent cx="3733800" cy="2073024"/>
            <wp:effectExtent b="0" l="0" r="0" t="0"/>
            <wp:docPr descr="Вырезание выделенной области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выделенной области</w:t>
      </w:r>
    </w:p>
    <w:p>
      <w:pPr>
        <w:numPr>
          <w:ilvl w:val="0"/>
          <w:numId w:val="1014"/>
        </w:numPr>
        <w:pStyle w:val="Compact"/>
      </w:pPr>
      <w:r>
        <w:t xml:space="preserve">Отменили последнее действие с помощью комбинации C-/ (рис. 4.8).</w:t>
      </w:r>
    </w:p>
    <w:p>
      <w:pPr>
        <w:pStyle w:val="CaptionedFigure"/>
      </w:pPr>
      <w:r>
        <w:drawing>
          <wp:inline>
            <wp:extent cx="3733800" cy="2512355"/>
            <wp:effectExtent b="0" l="0" r="0" t="0"/>
            <wp:docPr descr="Отмена последнего действия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15"/>
        </w:numPr>
        <w:pStyle w:val="Compact"/>
      </w:pPr>
      <w:r>
        <w:t xml:space="preserve">Переместили курсор в начало строки (рис. 4.9).</w:t>
      </w:r>
    </w:p>
    <w:p>
      <w:pPr>
        <w:pStyle w:val="CaptionedFigure"/>
      </w:pPr>
      <w:r>
        <w:drawing>
          <wp:inline>
            <wp:extent cx="3733800" cy="2288269"/>
            <wp:effectExtent b="0" l="0" r="0" t="0"/>
            <wp:docPr descr="Курсор в начале строки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начале строки</w:t>
      </w:r>
    </w:p>
    <w:p>
      <w:pPr>
        <w:numPr>
          <w:ilvl w:val="0"/>
          <w:numId w:val="1016"/>
        </w:numPr>
        <w:pStyle w:val="Compact"/>
      </w:pPr>
      <w:r>
        <w:t xml:space="preserve">Переместили курсор в конец строки (рис. 4.10).</w:t>
      </w:r>
    </w:p>
    <w:p>
      <w:pPr>
        <w:pStyle w:val="CaptionedFigure"/>
      </w:pPr>
      <w:r>
        <w:drawing>
          <wp:inline>
            <wp:extent cx="3733800" cy="2257920"/>
            <wp:effectExtent b="0" l="0" r="0" t="0"/>
            <wp:docPr descr="Курсор в конце строки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строки</w:t>
      </w:r>
    </w:p>
    <w:p>
      <w:pPr>
        <w:numPr>
          <w:ilvl w:val="0"/>
          <w:numId w:val="1017"/>
        </w:numPr>
        <w:pStyle w:val="Compact"/>
      </w:pPr>
      <w:r>
        <w:t xml:space="preserve">Переместили курсор в начало буфера (рис. 4.11).</w:t>
      </w:r>
    </w:p>
    <w:p>
      <w:pPr>
        <w:pStyle w:val="CaptionedFigure"/>
      </w:pPr>
      <w:r>
        <w:drawing>
          <wp:inline>
            <wp:extent cx="3733800" cy="2516121"/>
            <wp:effectExtent b="0" l="0" r="0" t="0"/>
            <wp:docPr descr="Курсор в начале буфер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начале буфера</w:t>
      </w:r>
    </w:p>
    <w:p>
      <w:pPr>
        <w:numPr>
          <w:ilvl w:val="0"/>
          <w:numId w:val="1018"/>
        </w:numPr>
        <w:pStyle w:val="Compact"/>
      </w:pPr>
      <w:r>
        <w:t xml:space="preserve">Переместили курсор в конец буфера (рис.4.12).</w:t>
      </w:r>
    </w:p>
    <w:p>
      <w:pPr>
        <w:pStyle w:val="CaptionedFigure"/>
      </w:pPr>
      <w:r>
        <w:drawing>
          <wp:inline>
            <wp:extent cx="3733800" cy="2175286"/>
            <wp:effectExtent b="0" l="0" r="0" t="0"/>
            <wp:docPr descr="Курсор в конце буфера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буфера</w:t>
      </w:r>
    </w:p>
    <w:p>
      <w:pPr>
        <w:numPr>
          <w:ilvl w:val="0"/>
          <w:numId w:val="1019"/>
        </w:numPr>
        <w:pStyle w:val="Compact"/>
      </w:pPr>
      <w:r>
        <w:t xml:space="preserve">Вывели список активных буферов на экран (рис. 4.13)</w:t>
      </w:r>
    </w:p>
    <w:p>
      <w:pPr>
        <w:pStyle w:val="CaptionedFigure"/>
      </w:pPr>
      <w:r>
        <w:drawing>
          <wp:inline>
            <wp:extent cx="3733800" cy="2595297"/>
            <wp:effectExtent b="0" l="0" r="0" t="0"/>
            <wp:docPr descr="Список активных буферов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numPr>
          <w:ilvl w:val="0"/>
          <w:numId w:val="1020"/>
        </w:numPr>
        <w:pStyle w:val="Compact"/>
      </w:pPr>
      <w:r>
        <w:t xml:space="preserve">Переместились во вновь открытое окно со списком открытых буферов и переключитесь на другой буфер (рис.4.14).</w:t>
      </w:r>
    </w:p>
    <w:p>
      <w:pPr>
        <w:pStyle w:val="CaptionedFigure"/>
      </w:pPr>
      <w:r>
        <w:drawing>
          <wp:inline>
            <wp:extent cx="3733800" cy="3349716"/>
            <wp:effectExtent b="0" l="0" r="0" t="0"/>
            <wp:docPr descr="Переключение на второй буфер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второй буфер</w:t>
      </w:r>
    </w:p>
    <w:p>
      <w:pPr>
        <w:numPr>
          <w:ilvl w:val="0"/>
          <w:numId w:val="1021"/>
        </w:numPr>
        <w:pStyle w:val="Compact"/>
      </w:pPr>
      <w:r>
        <w:t xml:space="preserve">Закрыли окно второго буфера с помощью комбинаций C-x 0 (рис. 4.15).</w:t>
      </w:r>
    </w:p>
    <w:p>
      <w:pPr>
        <w:pStyle w:val="CaptionedFigure"/>
      </w:pPr>
      <w:r>
        <w:drawing>
          <wp:inline>
            <wp:extent cx="3733800" cy="3451114"/>
            <wp:effectExtent b="0" l="0" r="0" t="0"/>
            <wp:docPr descr="Закрытие буфер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буфера</w:t>
      </w:r>
    </w:p>
    <w:p>
      <w:pPr>
        <w:numPr>
          <w:ilvl w:val="0"/>
          <w:numId w:val="1022"/>
        </w:numPr>
        <w:pStyle w:val="Compact"/>
      </w:pPr>
      <w:r>
        <w:t xml:space="preserve">Вновь переключились между буферами, но уже без вывода их списка на экран ( комбинация C-x b) (рис. 4.16).</w:t>
      </w:r>
    </w:p>
    <w:p>
      <w:pPr>
        <w:pStyle w:val="CaptionedFigure"/>
      </w:pPr>
      <w:r>
        <w:drawing>
          <wp:inline>
            <wp:extent cx="3733800" cy="814949"/>
            <wp:effectExtent b="0" l="0" r="0" t="0"/>
            <wp:docPr descr="Переключение без вывода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без вывода</w:t>
      </w:r>
    </w:p>
    <w:p>
      <w:pPr>
        <w:numPr>
          <w:ilvl w:val="0"/>
          <w:numId w:val="1023"/>
        </w:numPr>
        <w:pStyle w:val="Compact"/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и везде открыли файл lab07.sh. ( рис. 4.17).</w:t>
      </w:r>
    </w:p>
    <w:p>
      <w:pPr>
        <w:pStyle w:val="CaptionedFigure"/>
      </w:pPr>
      <w:r>
        <w:drawing>
          <wp:inline>
            <wp:extent cx="3733800" cy="3480456"/>
            <wp:effectExtent b="0" l="0" r="0" t="0"/>
            <wp:docPr descr="Фрейм emacs, разделённый на 4 окна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emacs, разделённый на 4 окна</w:t>
      </w:r>
    </w:p>
    <w:p>
      <w:pPr>
        <w:numPr>
          <w:ilvl w:val="0"/>
          <w:numId w:val="1024"/>
        </w:numPr>
        <w:pStyle w:val="Compact"/>
      </w:pPr>
      <w:r>
        <w:t xml:space="preserve">В каждом из четырёх созданных окон открыли новый буфер (файл) и ввели несколько строк текста (рис. 4.18).</w:t>
      </w:r>
    </w:p>
    <w:p>
      <w:pPr>
        <w:pStyle w:val="CaptionedFigure"/>
      </w:pPr>
      <w:r>
        <w:drawing>
          <wp:inline>
            <wp:extent cx="3733800" cy="3477733"/>
            <wp:effectExtent b="0" l="0" r="0" t="0"/>
            <wp:docPr descr="Текст в 4 буферах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4 буферах</w:t>
      </w:r>
    </w:p>
    <w:p>
      <w:pPr>
        <w:numPr>
          <w:ilvl w:val="0"/>
          <w:numId w:val="1025"/>
        </w:numPr>
        <w:pStyle w:val="Compact"/>
      </w:pPr>
      <w:r>
        <w:t xml:space="preserve">Переключились в режим поиска и нашли слово HELLO в тексте (рис. 4.19).</w:t>
      </w:r>
    </w:p>
    <w:p>
      <w:pPr>
        <w:pStyle w:val="CaptionedFigure"/>
      </w:pPr>
      <w:r>
        <w:drawing>
          <wp:inline>
            <wp:extent cx="3733800" cy="3908518"/>
            <wp:effectExtent b="0" l="0" r="0" t="0"/>
            <wp:docPr descr="Режим поиска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numPr>
          <w:ilvl w:val="0"/>
          <w:numId w:val="1026"/>
        </w:numPr>
        <w:pStyle w:val="Compact"/>
      </w:pPr>
      <w:r>
        <w:t xml:space="preserve">Переключились между результатами поиска, нажимая C-s, нам по очереди подсвечивало каждое слово (рис. 4.20).</w:t>
      </w:r>
    </w:p>
    <w:p>
      <w:pPr>
        <w:pStyle w:val="CaptionedFigure"/>
      </w:pPr>
      <w:r>
        <w:drawing>
          <wp:inline>
            <wp:extent cx="3733800" cy="1985433"/>
            <wp:effectExtent b="0" l="0" r="0" t="0"/>
            <wp:docPr descr="Переключение между результатами" title="fig: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результатами</w:t>
      </w:r>
    </w:p>
    <w:p>
      <w:pPr>
        <w:numPr>
          <w:ilvl w:val="0"/>
          <w:numId w:val="1027"/>
        </w:numPr>
        <w:pStyle w:val="Compact"/>
      </w:pPr>
      <w:r>
        <w:t xml:space="preserve">Вышли из режима поиска, нажав C-g (рис. 4.21).</w:t>
      </w:r>
    </w:p>
    <w:p>
      <w:pPr>
        <w:pStyle w:val="CaptionedFigure"/>
      </w:pPr>
      <w:r>
        <w:drawing>
          <wp:inline>
            <wp:extent cx="3543300" cy="5743575"/>
            <wp:effectExtent b="0" l="0" r="0" t="0"/>
            <wp:docPr descr="Завершение поиска" title="fig: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поиска</w:t>
      </w:r>
    </w:p>
    <w:p>
      <w:pPr>
        <w:numPr>
          <w:ilvl w:val="0"/>
          <w:numId w:val="1028"/>
        </w:numPr>
        <w:pStyle w:val="Compact"/>
      </w:pPr>
      <w:r>
        <w:t xml:space="preserve">Перешли в режим поиска и замены, ввели Hello и заменили его на hi (рис. 4.22).</w:t>
      </w:r>
    </w:p>
    <w:p>
      <w:pPr>
        <w:pStyle w:val="CaptionedFigure"/>
      </w:pPr>
      <w:r>
        <w:drawing>
          <wp:inline>
            <wp:extent cx="3305175" cy="5410200"/>
            <wp:effectExtent b="0" l="0" r="0" t="0"/>
            <wp:docPr descr="Замена слова" title="fig: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numPr>
          <w:ilvl w:val="0"/>
          <w:numId w:val="1029"/>
        </w:numPr>
        <w:pStyle w:val="Compact"/>
      </w:pPr>
      <w:r>
        <w:t xml:space="preserve">Попробовали другой режим поиска. Отличие этого режима оттого, что мы проверяли до этого, это разный вывод результата. Если в первом случаи, поиск показывал результаты прям в тексте, то здесь он выводит их в отдельном окне(рис.4.23).</w:t>
      </w:r>
    </w:p>
    <w:p>
      <w:pPr>
        <w:pStyle w:val="CaptionedFigure"/>
      </w:pPr>
      <w:r>
        <w:drawing>
          <wp:inline>
            <wp:extent cx="3733800" cy="2225513"/>
            <wp:effectExtent b="0" l="0" r="0" t="0"/>
            <wp:docPr descr="Второй режим поиска" title="fig: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режим поиска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30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Elisp.</w:t>
      </w:r>
    </w:p>
    <w:p>
      <w:pPr>
        <w:numPr>
          <w:ilvl w:val="0"/>
          <w:numId w:val="1030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numPr>
          <w:ilvl w:val="0"/>
          <w:numId w:val="1030"/>
        </w:numPr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Если своими словами, то буфер-это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30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Можно открыть больше 10 буферов в одном окне.</w:t>
      </w:r>
    </w:p>
    <w:p>
      <w:pPr>
        <w:numPr>
          <w:ilvl w:val="0"/>
          <w:numId w:val="1030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Только что запущенный Emacs несет один буфер с именем</w:t>
      </w:r>
      <w:r>
        <w:t xml:space="preserve"> </w:t>
      </w:r>
      <w:r>
        <w:t xml:space="preserve">‘</w:t>
      </w:r>
      <w:r>
        <w:t xml:space="preserve">scratch</w:t>
      </w:r>
      <w:r>
        <w:t xml:space="preserve">’</w:t>
      </w:r>
      <w:r>
        <w:t xml:space="preserve">, который может быть использован для вычисления выражений Лиспа в Emacs.</w:t>
      </w:r>
    </w:p>
    <w:p>
      <w:pPr>
        <w:numPr>
          <w:ilvl w:val="0"/>
          <w:numId w:val="1030"/>
        </w:numPr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31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Разделить фрейм на два окна по вертикали (C-x 3),а по горизонтали (C-x 2)</w:t>
      </w:r>
    </w:p>
    <w:p>
      <w:pPr>
        <w:numPr>
          <w:ilvl w:val="0"/>
          <w:numId w:val="1031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В файле Emacs хранятся настройки редактора.</w:t>
      </w:r>
    </w:p>
    <w:p>
      <w:pPr>
        <w:numPr>
          <w:ilvl w:val="0"/>
          <w:numId w:val="1031"/>
        </w:numPr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Кнопка BACKSPACE = функции C-k и ее можно переназначить.</w:t>
      </w:r>
    </w:p>
    <w:p>
      <w:pPr>
        <w:numPr>
          <w:ilvl w:val="0"/>
          <w:numId w:val="1031"/>
        </w:numPr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  <w:r>
        <w:t xml:space="preserve"> </w:t>
      </w:r>
      <w:r>
        <w:t xml:space="preserve">Редактор Emacs мне показался удобнее, так как в нем больше возможностей по сравнению с vi.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2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32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32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32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32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32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32"/>
        </w:numPr>
        <w:pStyle w:val="Compact"/>
      </w:pPr>
      <w:r>
        <w:t xml:space="preserve">Robbins, A. Bash Pocket Reference / A. Robbins. – O’Reilly Media, 2016. – 156 сс.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7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8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9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Головина Мария Игоревна</dc:creator>
  <dc:language>ru-RU</dc:language>
  <cp:keywords/>
  <dcterms:created xsi:type="dcterms:W3CDTF">2025-04-20T06:13:00Z</dcterms:created>
  <dcterms:modified xsi:type="dcterms:W3CDTF">2025-04-20T06:13:00Z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Текстовый редактор emacs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