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Целые числа можно записывать как последовательность цифр или в любом базовом формате типа radix#number, где radix (основание системы счисления) — любое число не более 26. Для большинства команд используются следующие основания систем исчисления: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доллара.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</w:t>
      </w:r>
    </w:p>
    <w:p>
      <w:pPr>
        <w:pStyle w:val="BodyTex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</w:t>
      </w:r>
    </w:p>
    <w:p>
      <w:pPr>
        <w:pStyle w:val="BodyText"/>
      </w:pPr>
      <w:r>
        <w:t xml:space="preserve"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 для объявления переменных.</w:t>
      </w:r>
    </w:p>
    <w:p>
      <w:pPr>
        <w:pStyle w:val="BodyText"/>
      </w:pPr>
      <w:r>
        <w:t xml:space="preserve">Флаги — это опции командной строки, обычно помеченные знаком минус.</w:t>
      </w:r>
    </w:p>
    <w:p>
      <w:pPr>
        <w:pStyle w:val="BodyText"/>
      </w:pPr>
      <w:r>
        <w:t xml:space="preserve">Строка опций option-string — это 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</w:t>
      </w:r>
    </w:p>
    <w:p>
      <w:pPr>
        <w:pStyle w:val="BodyText"/>
      </w:pPr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for, case, if и while.</w:t>
      </w:r>
    </w:p>
    <w:p>
      <w:pPr>
        <w:pStyle w:val="BodyText"/>
      </w:pPr>
      <w:r>
        <w:t xml:space="preserve">Более подробно о Linux см. в [1-7]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 (рис. 4.1).</w:t>
      </w:r>
    </w:p>
    <w:p>
      <w:pPr>
        <w:pStyle w:val="CaptionedFigure"/>
      </w:pPr>
      <w:r>
        <w:drawing>
          <wp:inline>
            <wp:extent cx="3733800" cy="3438207"/>
            <wp:effectExtent b="0" l="0" r="0" t="0"/>
            <wp:docPr descr="Скрипт №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№1</w:t>
      </w:r>
    </w:p>
    <w:p>
      <w:pPr>
        <w:numPr>
          <w:ilvl w:val="0"/>
          <w:numId w:val="1003"/>
        </w:numPr>
        <w:pStyle w:val="Compact"/>
      </w:pPr>
      <w:r>
        <w:t xml:space="preserve">Запустила скрипт №1 (рис. 4.2).</w:t>
      </w:r>
    </w:p>
    <w:p>
      <w:pPr>
        <w:pStyle w:val="CaptionedFigure"/>
      </w:pPr>
      <w:r>
        <w:drawing>
          <wp:inline>
            <wp:extent cx="3733800" cy="4300036"/>
            <wp:effectExtent b="0" l="0" r="0" t="0"/>
            <wp:docPr descr="Запуск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CaptionedFigure"/>
      </w:pPr>
      <w:r>
        <w:drawing>
          <wp:inline>
            <wp:extent cx="3733800" cy="4278429"/>
            <wp:effectExtent b="0" l="0" r="0" t="0"/>
            <wp:docPr descr="Запуск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4"/>
        </w:numPr>
        <w:pStyle w:val="Compact"/>
      </w:pPr>
      <w:r>
        <w:t xml:space="preserve">Реализовала команду man с помощью командного файла (рис. 4.4).</w:t>
      </w:r>
    </w:p>
    <w:p>
      <w:pPr>
        <w:pStyle w:val="CaptionedFigure"/>
      </w:pPr>
      <w:r>
        <w:drawing>
          <wp:inline>
            <wp:extent cx="3733800" cy="2774152"/>
            <wp:effectExtent b="0" l="0" r="0" t="0"/>
            <wp:docPr descr="Скрипт №2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№2</w:t>
      </w:r>
    </w:p>
    <w:p>
      <w:pPr>
        <w:numPr>
          <w:ilvl w:val="0"/>
          <w:numId w:val="1005"/>
        </w:numPr>
        <w:pStyle w:val="Compact"/>
      </w:pPr>
      <w:r>
        <w:t xml:space="preserve">Запустила скрипт №2 (рис. 4.5).</w:t>
      </w:r>
    </w:p>
    <w:p>
      <w:pPr>
        <w:pStyle w:val="CaptionedFigure"/>
      </w:pPr>
      <w:r>
        <w:drawing>
          <wp:inline>
            <wp:extent cx="3733800" cy="1250257"/>
            <wp:effectExtent b="0" l="0" r="0" t="0"/>
            <wp:docPr descr="Запуск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6"/>
        </w:numPr>
        <w:pStyle w:val="Compact"/>
      </w:pPr>
      <w:r>
        <w:t xml:space="preserve">Результат выполнения скрипта №2 (рис. 4.6).</w:t>
      </w:r>
    </w:p>
    <w:p>
      <w:pPr>
        <w:pStyle w:val="CaptionedFigure"/>
      </w:pPr>
      <w:r>
        <w:drawing>
          <wp:inline>
            <wp:extent cx="3733800" cy="3308359"/>
            <wp:effectExtent b="0" l="0" r="0" t="0"/>
            <wp:docPr descr="Результат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7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 (рис. 4.7).</w:t>
      </w:r>
    </w:p>
    <w:p>
      <w:pPr>
        <w:pStyle w:val="CaptionedFigure"/>
      </w:pPr>
      <w:r>
        <w:drawing>
          <wp:inline>
            <wp:extent cx="3733800" cy="2485501"/>
            <wp:effectExtent b="0" l="0" r="0" t="0"/>
            <wp:docPr descr="Скрипт №3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numPr>
          <w:ilvl w:val="0"/>
          <w:numId w:val="1008"/>
        </w:numPr>
        <w:pStyle w:val="Compact"/>
      </w:pPr>
      <w:r>
        <w:t xml:space="preserve">Запустила скрипт №3 (рис. 4.8).</w:t>
      </w:r>
    </w:p>
    <w:p>
      <w:pPr>
        <w:pStyle w:val="CaptionedFigure"/>
      </w:pPr>
      <w:r>
        <w:drawing>
          <wp:inline>
            <wp:extent cx="3733800" cy="3252380"/>
            <wp:effectExtent b="0" l="0" r="0" t="0"/>
            <wp:docPr descr="Запуск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47"/>
    <w:bookmarkStart w:id="5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“</w:t>
      </w:r>
      <w:r>
        <w:t xml:space="preserve">exit</w:t>
      </w:r>
      <w:r>
        <w:t xml:space="preserve">”</w:t>
      </w:r>
      <w:r>
        <w:t xml:space="preserve">].</w:t>
      </w:r>
    </w:p>
    <w:p>
      <w:pPr>
        <w:pStyle w:val="FirstParagraph"/>
      </w:pPr>
      <w:r>
        <w:t xml:space="preserve">$1. 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numPr>
          <w:ilvl w:val="0"/>
          <w:numId w:val="1010"/>
        </w:numPr>
        <w:pStyle w:val="Compact"/>
      </w:pPr>
      <w:r>
        <w:t xml:space="preserve">Как объединить (конкатенация) несколько строк в одну?</w:t>
      </w:r>
    </w:p>
    <w:bookmarkStart w:id="0" w:name="fig:009"/>
    <w:p>
      <w:pPr>
        <w:pStyle w:val="FirstParagraph"/>
      </w:pPr>
      <w:bookmarkStart w:id="51" w:name="fig:009"/>
      <w:r>
        <w:drawing>
          <wp:inline>
            <wp:extent cx="3733800" cy="256178"/>
            <wp:effectExtent b="0" l="0" r="0" t="0"/>
            <wp:docPr descr="Figure 1: " title="fig: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0"/>
    <w:p>
      <w:pPr>
        <w:numPr>
          <w:ilvl w:val="0"/>
          <w:numId w:val="1011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выдает последовательность чисел. Реализовать ее функционал можно командой  for n in {1..5} do done</w:t>
      </w:r>
    </w:p>
    <w:p>
      <w:pPr>
        <w:numPr>
          <w:ilvl w:val="0"/>
          <w:numId w:val="1012"/>
        </w:numPr>
        <w:pStyle w:val="Compact"/>
      </w:pPr>
      <w:r>
        <w:t xml:space="preserve">Какой результатдаствычисление выражения $((10/3))?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13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Например,в zsh после for обязательно вставлять пробел, нумерация массивов в zsh начинается с 1 ( что не особо удобно на самом деле). Если вы собираетесь писать скрипт, который легко будет запускать множество разработчиков, то я рекомендуется Bash. Если скрипты вам не нужны-Zsh (более простая работа с файлами, например).</w:t>
      </w:r>
    </w:p>
    <w:p>
      <w:pPr>
        <w:numPr>
          <w:ilvl w:val="0"/>
          <w:numId w:val="1014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15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</w:t>
      </w:r>
    </w:p>
    <w:p>
      <w:pPr>
        <w:pStyle w:val="FirstParagraph"/>
      </w:pPr>
      <w:r>
        <w:t xml:space="preserve">Bash позволяет очень легко работать с файловой системой без лишних кон струкций (в отличи от обычного языка программирования). Но относительно обычных языков программирования bash очень сжат .Тот же Си имеет гораздо более широкие возможности для разработчика.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16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16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16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16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16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16"/>
        </w:numPr>
        <w:pStyle w:val="Compact"/>
      </w:pPr>
      <w:r>
        <w:t xml:space="preserve">Robbins, A. Bash Pocket Reference / A. Robbins. – O’Reilly Media, 2016. – 156 сс.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Головина Мария Игоревна</dc:creator>
  <dc:language>ru-RU</dc:language>
  <cp:keywords/>
  <dcterms:created xsi:type="dcterms:W3CDTF">2025-05-06T07:38:16Z</dcterms:created>
  <dcterms:modified xsi:type="dcterms:W3CDTF">2025-05-06T07:38:16Z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в командном процессоре ОС UNIX. Расширенное программирование.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