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uarterly-report"/>
    <w:p>
      <w:pPr>
        <w:pStyle w:val="Heading1"/>
      </w:pPr>
      <w:r>
        <w:t xml:space="preserve">Quarterly Report</w:t>
      </w:r>
    </w:p>
    <w:bookmarkStart w:id="20" w:name="revenue-summary"/>
    <w:p>
      <w:pPr>
        <w:pStyle w:val="Heading2"/>
      </w:pPr>
      <w:r>
        <w:t xml:space="preserve">Revenue Summary</w:t>
      </w:r>
    </w:p>
    <w:p>
      <w:pPr>
        <w:pStyle w:val="FirstParagraph"/>
      </w:pPr>
      <w:r>
        <w:t xml:space="preserve">Revenue for the quarter was</w:t>
      </w:r>
      <w:r>
        <w:t xml:space="preserve"> </w:t>
      </w:r>
      <w:r>
        <w:rPr>
          <w:bCs/>
          <w:b/>
        </w:rPr>
        <w:t xml:space="preserve">4,271,000 gourdes</w:t>
      </w:r>
      <w:r>
        <w:t xml:space="preserve">, up from the prior period.</w:t>
      </w:r>
    </w:p>
    <w:p>
      <w:pPr>
        <w:numPr>
          <w:ilvl w:val="0"/>
          <w:numId w:val="1001"/>
        </w:numPr>
        <w:pStyle w:val="Compact"/>
      </w:pPr>
      <w:r>
        <w:t xml:space="preserve">Port-au-Prince led with 1,904,000</w:t>
      </w:r>
    </w:p>
    <w:p>
      <w:pPr>
        <w:numPr>
          <w:ilvl w:val="0"/>
          <w:numId w:val="1001"/>
        </w:numPr>
        <w:pStyle w:val="Compact"/>
      </w:pPr>
      <w:r>
        <w:t xml:space="preserve">Cap-Haitien followed at 1,203,000</w:t>
      </w:r>
    </w:p>
    <w:p>
      <w:pPr>
        <w:numPr>
          <w:ilvl w:val="0"/>
          <w:numId w:val="1001"/>
        </w:numPr>
        <w:pStyle w:val="Compact"/>
      </w:pPr>
      <w:r>
        <w:t xml:space="preserve">Les Cayes contributed 1,164,000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Port-au-Prince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Cap-Haitien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Cayes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The board approved the ZANMI-4417 initiative on 14 March.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2026-08-28T01:13:07Z</dcterms:created>
  <dcterms:modified xsi:type="dcterms:W3CDTF">2026-08-28T01:13:07Z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