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National Innovation Visa Subclass 858: Requirements, Invitation Process and How to Apply</w:t>
      </w:r>
    </w:p>
    <w:p>
      <w:pPr>
        <w:spacing w:after="160"/>
      </w:pPr>
      <w:r>
        <w:t xml:space="preserve">The National Innovation Visa Subclass 858 is a permanent visa for people with an internationally recognised record of exceptional and outstanding achievement. It replaced the Global Talent visa when it launched on 6 December 2024, and it kept the same subclass number. It is built for people at the top of their field, such as researchers, professionals, entrepreneurs, innovators and exceptional athletes or artists, who can show that they would contribute significantly to Australia.</w:t>
      </w:r>
    </w:p>
    <w:p>
      <w:pPr>
        <w:spacing w:after="160"/>
      </w:pPr>
      <w:r>
        <w:t xml:space="preserve">This is not a visa that most skilled workers can use. There is no points test, no occupation list and no simple checklist that guarantees success. You can only apply if the Department of Home Affairs invites you after you lodge an expression of interest, and the evidence you provide has to show real standing in your field. People who understand that early save a lot of time and money.</w:t>
      </w:r>
    </w:p>
    <w:p>
      <w:pPr>
        <w:spacing w:after="160"/>
      </w:pPr>
      <w:r>
        <w:t xml:space="preserve">This page explains how the subclass 858 works, who it is for, how the expression of interest and invitation process operates, what a nominator does, what evidence to gather, what the visa costs and why applications fail. It is written for applicants in Pakistan, India, Bangladesh, Sri Lanka, Europe and Australia. If you would like your profile reviewed by a person, Migration Factor offers a free consultation. You can request one at [INSERT VERIFIED CONSULTATION URL]. Nothing on this page guarantees an invitation or a visa grant, and settings for this visa are changed by the Department from time to time, so please treat this as a planning guide.</w:t>
      </w:r>
    </w:p>
    <w:p>
      <w:pPr>
        <w:pStyle w:val="Heading2"/>
      </w:pPr>
      <w:r>
        <w:t xml:space="preserve">What the National Innovation Visa Is</w:t>
      </w:r>
    </w:p>
    <w:p>
      <w:pPr>
        <w:spacing w:after="160"/>
      </w:pPr>
      <w:r>
        <w:t xml:space="preserve">The subclass 858 is a permanent visa. Holders can live, work and study in Australia, change employers, access Medicare, include eligible family members and later apply for citizenship if they meet the requirements. Practitioner sources note that travel in and out of Australia is possible for five years, after which a resident return visa or citizenship is needed to keep travelling as a resident.</w:t>
      </w:r>
    </w:p>
    <w:p>
      <w:pPr>
        <w:spacing w:after="160"/>
      </w:pPr>
      <w:r>
        <w:t xml:space="preserve">The visa is invitation only. You cannot lodge a visa application first and hope to be assessed later. The sequence is a nomination or referral, an expression of interest, an invitation, and then a visa application assessed against the full criteria.</w:t>
      </w:r>
    </w:p>
    <w:p>
      <w:pPr>
        <w:spacing w:after="160"/>
      </w:pPr>
      <w:r>
        <w:t xml:space="preserve">It sits within the family of skilled and talent visas but works very differently from the subclass 189, 190 or 491. Those visas rank applicants by points. The subclass 858 assesses the quality and recognition of your achievements and the benefit you could bring to Australia.</w:t>
      </w:r>
    </w:p>
    <w:p>
      <w:pPr>
        <w:pStyle w:val="Heading2"/>
      </w:pPr>
      <w:r>
        <w:t xml:space="preserve">Who the Visa Is For</w:t>
      </w:r>
    </w:p>
    <w:p>
      <w:pPr>
        <w:spacing w:after="160"/>
      </w:pPr>
      <w:r>
        <w:t xml:space="preserve">The subclass 858 is for people who can demonstrate exceptional achievement in an eligible field and the potential to contribute significantly to the Australian economy, research or community. Typical profiles include:</w:t>
      </w:r>
    </w:p>
    <w:p>
      <w:pPr>
        <w:pStyle w:val="ListParagraph"/>
        <w:numPr>
          <w:ilvl w:val="0"/>
          <w:numId w:val="2"/>
        </w:numPr>
        <w:spacing w:after="80"/>
      </w:pPr>
      <w:r>
        <w:t xml:space="preserve">Researchers and academics with a strong publication, citation or grant record</w:t>
      </w:r>
    </w:p>
    <w:p>
      <w:pPr>
        <w:pStyle w:val="ListParagraph"/>
        <w:numPr>
          <w:ilvl w:val="0"/>
          <w:numId w:val="2"/>
        </w:numPr>
        <w:spacing w:after="80"/>
      </w:pPr>
      <w:r>
        <w:t xml:space="preserve">Professionals in critical technologies, health, renewables, finance and other priority sectors who have won recognition at the top of their field</w:t>
      </w:r>
    </w:p>
    <w:p>
      <w:pPr>
        <w:pStyle w:val="ListParagraph"/>
        <w:numPr>
          <w:ilvl w:val="0"/>
          <w:numId w:val="2"/>
        </w:numPr>
        <w:spacing w:after="80"/>
      </w:pPr>
      <w:r>
        <w:t xml:space="preserve">Entrepreneurs and innovators who have built or led significant ventures</w:t>
      </w:r>
    </w:p>
    <w:p>
      <w:pPr>
        <w:pStyle w:val="ListParagraph"/>
        <w:numPr>
          <w:ilvl w:val="0"/>
          <w:numId w:val="2"/>
        </w:numPr>
        <w:spacing w:after="80"/>
      </w:pPr>
      <w:r>
        <w:t xml:space="preserve">Founders and inventors with recognised intellectual property</w:t>
      </w:r>
    </w:p>
    <w:p>
      <w:pPr>
        <w:pStyle w:val="ListParagraph"/>
        <w:numPr>
          <w:ilvl w:val="0"/>
          <w:numId w:val="2"/>
        </w:numPr>
        <w:spacing w:after="80"/>
      </w:pPr>
      <w:r>
        <w:t xml:space="preserve">Exceptional athletes, artists and cultural figures with an international reputation</w:t>
      </w:r>
    </w:p>
    <w:p>
      <w:pPr>
        <w:pStyle w:val="ListParagraph"/>
        <w:numPr>
          <w:ilvl w:val="0"/>
          <w:numId w:val="2"/>
        </w:numPr>
        <w:spacing w:after="80"/>
      </w:pPr>
      <w:r>
        <w:t xml:space="preserve">Senior experts whose work is recognised by peak bodies and leading organisations</w:t>
      </w:r>
    </w:p>
    <w:p>
      <w:pPr>
        <w:spacing w:after="160"/>
      </w:pPr>
      <w:r>
        <w:t xml:space="preserve">The visa is often described as being for exceptional talent, global talent, innovators or investors, but those labels can be misleading. It is not an investor visa and no fixed investment or asset threshold is reported as an eligibility requirement. Applicants should not assume that wealth alone qualifies, because the Department assesses achievement and recognition.</w:t>
      </w:r>
    </w:p>
    <w:p>
      <w:pPr>
        <w:spacing w:after="160"/>
      </w:pPr>
      <w:r>
        <w:t xml:space="preserve">Applicants from Pakistan, India, Bangladesh and Sri Lanka are as eligible as anyone else. The criteria do not change by nationality. What matters is whether your record stands up to scrutiny against international standards in your field.</w:t>
      </w:r>
    </w:p>
    <w:p>
      <w:pPr>
        <w:pStyle w:val="Heading2"/>
      </w:pPr>
      <w:r>
        <w:t xml:space="preserve">Eligibility Requirements at a Glance</w:t>
      </w:r>
    </w:p>
    <w:p>
      <w:pPr>
        <w:spacing w:after="160"/>
      </w:pPr>
      <w:r>
        <w:t xml:space="preserve">The main requirements reported for the subclass 858 are:</w:t>
      </w:r>
    </w:p>
    <w:p>
      <w:pPr>
        <w:pStyle w:val="ListParagraph"/>
        <w:numPr>
          <w:ilvl w:val="0"/>
          <w:numId w:val="3"/>
        </w:numPr>
        <w:spacing w:after="80"/>
      </w:pPr>
      <w:r>
        <w:t xml:space="preserve">You are invited to apply after submitting an expression of interest</w:t>
      </w:r>
    </w:p>
    <w:p>
      <w:pPr>
        <w:pStyle w:val="ListParagraph"/>
        <w:numPr>
          <w:ilvl w:val="0"/>
          <w:numId w:val="3"/>
        </w:numPr>
        <w:spacing w:after="80"/>
      </w:pPr>
      <w:r>
        <w:t xml:space="preserve">You lodge a valid visa application within 60 days of the invitation</w:t>
      </w:r>
    </w:p>
    <w:p>
      <w:pPr>
        <w:pStyle w:val="ListParagraph"/>
        <w:numPr>
          <w:ilvl w:val="0"/>
          <w:numId w:val="3"/>
        </w:numPr>
        <w:spacing w:after="80"/>
      </w:pPr>
      <w:r>
        <w:t xml:space="preserve">You have an internationally recognised record of exceptional and outstanding achievement in your field</w:t>
      </w:r>
    </w:p>
    <w:p>
      <w:pPr>
        <w:pStyle w:val="ListParagraph"/>
        <w:numPr>
          <w:ilvl w:val="0"/>
          <w:numId w:val="3"/>
        </w:numPr>
        <w:spacing w:after="80"/>
      </w:pPr>
      <w:r>
        <w:t xml:space="preserve">You have a nominator with a national reputation in your area of talent, or a referral from an Australian Government agency</w:t>
      </w:r>
    </w:p>
    <w:p>
      <w:pPr>
        <w:pStyle w:val="ListParagraph"/>
        <w:numPr>
          <w:ilvl w:val="0"/>
          <w:numId w:val="3"/>
        </w:numPr>
        <w:spacing w:after="80"/>
      </w:pPr>
      <w:r>
        <w:t xml:space="preserve">You can show you would be of significant benefit to Australia</w:t>
      </w:r>
    </w:p>
    <w:p>
      <w:pPr>
        <w:pStyle w:val="ListParagraph"/>
        <w:numPr>
          <w:ilvl w:val="0"/>
          <w:numId w:val="3"/>
        </w:numPr>
        <w:spacing w:after="80"/>
      </w:pPr>
      <w:r>
        <w:t xml:space="preserve">You have functional English, subject to the Department's concessions</w:t>
      </w:r>
    </w:p>
    <w:p>
      <w:pPr>
        <w:pStyle w:val="ListParagraph"/>
        <w:numPr>
          <w:ilvl w:val="0"/>
          <w:numId w:val="3"/>
        </w:numPr>
        <w:spacing w:after="80"/>
      </w:pPr>
      <w:r>
        <w:t xml:space="preserve">You meet health and character requirements, and sign the Australian values statement</w:t>
      </w:r>
    </w:p>
    <w:p>
      <w:pPr>
        <w:pStyle w:val="ListParagraph"/>
        <w:numPr>
          <w:ilvl w:val="0"/>
          <w:numId w:val="3"/>
        </w:numPr>
        <w:spacing w:after="80"/>
      </w:pPr>
      <w:r>
        <w:t xml:space="preserve">You have no outstanding debt to the Australian Government</w:t>
      </w:r>
    </w:p>
    <w:p>
      <w:pPr>
        <w:pStyle w:val="ListParagraph"/>
        <w:numPr>
          <w:ilvl w:val="0"/>
          <w:numId w:val="3"/>
        </w:numPr>
        <w:spacing w:after="80"/>
      </w:pPr>
      <w:r>
        <w:t xml:space="preserve">You are not in immigration clearance when you apply or when the visa is granted</w:t>
      </w:r>
    </w:p>
    <w:p>
      <w:pPr>
        <w:spacing w:after="160"/>
      </w:pPr>
      <w:r>
        <w:t xml:space="preserve">There is no age limit, but practitioner sources report that priority may be given to people aged 18 to 55, and that people outside that range may still qualify if they show exceptional benefit, such as a job offer or a planned research grant. Check the Department's current guidance for how age is treated.</w:t>
      </w:r>
    </w:p>
    <w:p>
      <w:pPr>
        <w:spacing w:after="160"/>
      </w:pPr>
      <w:r>
        <w:t xml:space="preserve">If you are in Australia, you generally need to hold a substantive visa or certain bridging visas when you apply. If you are overseas, you do not need a previous Australian visa. Check the current rules for your circumstances, because they can differ.</w:t>
      </w:r>
    </w:p>
    <w:p>
      <w:pPr>
        <w:pStyle w:val="Heading2"/>
      </w:pPr>
      <w:r>
        <w:t xml:space="preserve">The Expression of Interest</w:t>
      </w:r>
    </w:p>
    <w:p>
      <w:pPr>
        <w:spacing w:after="160"/>
      </w:pPr>
      <w:r>
        <w:t xml:space="preserve">The expression of interest, called an EOI, is the first formal step. It records your field, your achievements and the benefit you would bring to Australia, and it is where the Department decides whether to invite you to apply. It is not a visa application, and it does not guarantee an invitation.</w:t>
      </w:r>
    </w:p>
    <w:p>
      <w:pPr>
        <w:spacing w:after="160"/>
      </w:pPr>
      <w:r>
        <w:t xml:space="preserve">Practitioner reports describe a priority approach to selection. Candidates who hold major international awards or who have been referred by a government agency are reported to be treated as the highest priority, followed by those with strong achievements in sectors the government wants to grow. The EOI is not a first come queue. A later EOI in a higher priority category can be invited ahead of an earlier one in a lower category. The Department sets and changes these priorities, so check its current guidance.</w:t>
      </w:r>
    </w:p>
    <w:p>
      <w:pPr>
        <w:spacing w:after="160"/>
      </w:pPr>
      <w:r>
        <w:t xml:space="preserve">One practitioner reports that between April and June 2026 the Department received just over 2,000 EOIs and issued around 250 invitations, or roughly one for every nine. These figures come from a migration law firm and have not been confirmed against official data, but they give a realistic sense of how selective the process is.</w:t>
      </w:r>
    </w:p>
    <w:p>
      <w:pPr>
        <w:spacing w:after="160"/>
      </w:pPr>
      <w:r>
        <w:t xml:space="preserve">Practical advice for the EOI stage:</w:t>
      </w:r>
    </w:p>
    <w:p>
      <w:pPr>
        <w:pStyle w:val="ListParagraph"/>
        <w:numPr>
          <w:ilvl w:val="0"/>
          <w:numId w:val="4"/>
        </w:numPr>
        <w:spacing w:after="80"/>
      </w:pPr>
      <w:r>
        <w:t xml:space="preserve">Frame your achievements around what the Department is looking for, not just a long list of accomplishments</w:t>
      </w:r>
    </w:p>
    <w:p>
      <w:pPr>
        <w:pStyle w:val="ListParagraph"/>
        <w:numPr>
          <w:ilvl w:val="0"/>
          <w:numId w:val="4"/>
        </w:numPr>
        <w:spacing w:after="80"/>
      </w:pPr>
      <w:r>
        <w:t xml:space="preserve">Show a pattern over time, not a single event, and show standing relative to others in your field</w:t>
      </w:r>
    </w:p>
    <w:p>
      <w:pPr>
        <w:pStyle w:val="ListParagraph"/>
        <w:numPr>
          <w:ilvl w:val="0"/>
          <w:numId w:val="4"/>
        </w:numPr>
        <w:spacing w:after="80"/>
      </w:pPr>
      <w:r>
        <w:t xml:space="preserve">Be accurate. An EOI is a declaration, and you will need evidence for every claim</w:t>
      </w:r>
    </w:p>
    <w:p>
      <w:pPr>
        <w:pStyle w:val="ListParagraph"/>
        <w:numPr>
          <w:ilvl w:val="0"/>
          <w:numId w:val="4"/>
        </w:numPr>
        <w:spacing w:after="80"/>
      </w:pPr>
      <w:r>
        <w:t xml:space="preserve">Do not assume that a strong profile in a broad field fits a priority category, because the Department's focus is on specific sectors and indicators</w:t>
      </w:r>
    </w:p>
    <w:p>
      <w:pPr>
        <w:pStyle w:val="Heading2"/>
      </w:pPr>
      <w:r>
        <w:t xml:space="preserve">Priority Sectors</w:t>
      </w:r>
    </w:p>
    <w:p>
      <w:pPr>
        <w:spacing w:after="160"/>
      </w:pPr>
      <w:r>
        <w:t xml:space="preserve">Reports describe a set of target sectors that attract the most invitations. They include critical technologies, health industries, renewables and low emission technologies, financial services and financial technology, agri food and agricultural technology, defence capabilities and space, education, infrastructure and transport, resources, and sport and the arts. One practitioner reports that critical technologies accounted for the largest share of recent invitations.</w:t>
      </w:r>
    </w:p>
    <w:p>
      <w:pPr>
        <w:spacing w:after="160"/>
      </w:pPr>
      <w:r>
        <w:t xml:space="preserve">The list of sectors and the way priorities are applied are decided by the Department and can change, so confirm the current position on the Home Affairs website before you build your strategy. If your field is outside the sectors the government is targeting, you may still be eligible, but a strong nomination and strong evidence become even more important.</w:t>
      </w:r>
    </w:p>
    <w:p>
      <w:pPr>
        <w:pStyle w:val="Heading2"/>
      </w:pPr>
      <w:r>
        <w:t xml:space="preserve">Nomination and Referral</w:t>
      </w:r>
    </w:p>
    <w:p>
      <w:pPr>
        <w:spacing w:after="160"/>
      </w:pPr>
      <w:r>
        <w:t xml:space="preserve">A nominator is a central part of the process. In general, your nominator must be an Australian citizen, an Australian permanent resident, an eligible New Zealand citizen, an Australian organisation, or an Australian Government agency. A referral from a government agency can serve as an alternative to a nominator in some cases.</w:t>
      </w:r>
    </w:p>
    <w:p>
      <w:pPr>
        <w:spacing w:after="160"/>
      </w:pPr>
      <w:r>
        <w:t xml:space="preserve">The nominator must have a national reputation in the same field as you. A senior colleague who does not have a national profile in your specific area is likely to be a weak nomination. The nominator can be your current employer or supervisor, or someone else who is able to attest to your achievements.</w:t>
      </w:r>
    </w:p>
    <w:p>
      <w:pPr>
        <w:spacing w:after="160"/>
      </w:pPr>
      <w:r>
        <w:t xml:space="preserve">This is often the hardest part for overseas applicants. If you have no connection to Australia, you may need to build professional relationships, collaborate on research or projects, or find organisations that recognise your work. A strong nomination letter explains the nominator's own standing, how they know your work, what you have achieved and why your presence in Australia would benefit the country. It should be specific and supported by documents, not general praise.</w:t>
      </w:r>
    </w:p>
    <w:p>
      <w:pPr>
        <w:pStyle w:val="Heading2"/>
      </w:pPr>
      <w:r>
        <w:t xml:space="preserve">Evidence You Will Need</w:t>
      </w:r>
    </w:p>
    <w:p>
      <w:pPr>
        <w:spacing w:after="160"/>
      </w:pPr>
      <w:r>
        <w:t xml:space="preserve">The application is assessed on the evidence submitted with it, not only on the EOI. Evidence should show an internationally recognised record of achievement in your field. Typical examples include:</w:t>
      </w:r>
    </w:p>
    <w:p>
      <w:pPr>
        <w:pStyle w:val="ListParagraph"/>
        <w:numPr>
          <w:ilvl w:val="0"/>
          <w:numId w:val="5"/>
        </w:numPr>
        <w:spacing w:after="80"/>
      </w:pPr>
      <w:r>
        <w:t xml:space="preserve">Major international awards, prizes or fellowships</w:t>
      </w:r>
    </w:p>
    <w:p>
      <w:pPr>
        <w:pStyle w:val="ListParagraph"/>
        <w:numPr>
          <w:ilvl w:val="0"/>
          <w:numId w:val="5"/>
        </w:numPr>
        <w:spacing w:after="80"/>
      </w:pPr>
      <w:r>
        <w:t xml:space="preserve">Peer reviewed publications, citations and evidence of research influence</w:t>
      </w:r>
    </w:p>
    <w:p>
      <w:pPr>
        <w:pStyle w:val="ListParagraph"/>
        <w:numPr>
          <w:ilvl w:val="0"/>
          <w:numId w:val="5"/>
        </w:numPr>
        <w:spacing w:after="80"/>
      </w:pPr>
      <w:r>
        <w:t xml:space="preserve">National or international research grants</w:t>
      </w:r>
    </w:p>
    <w:p>
      <w:pPr>
        <w:pStyle w:val="ListParagraph"/>
        <w:numPr>
          <w:ilvl w:val="0"/>
          <w:numId w:val="5"/>
        </w:numPr>
        <w:spacing w:after="80"/>
      </w:pPr>
      <w:r>
        <w:t xml:space="preserve">Patents, intellectual property and commercial products</w:t>
      </w:r>
    </w:p>
    <w:p>
      <w:pPr>
        <w:pStyle w:val="ListParagraph"/>
        <w:numPr>
          <w:ilvl w:val="0"/>
          <w:numId w:val="5"/>
        </w:numPr>
        <w:spacing w:after="80"/>
      </w:pPr>
      <w:r>
        <w:t xml:space="preserve">Evidence of leadership in significant projects, organisations or ventures</w:t>
      </w:r>
    </w:p>
    <w:p>
      <w:pPr>
        <w:pStyle w:val="ListParagraph"/>
        <w:numPr>
          <w:ilvl w:val="0"/>
          <w:numId w:val="5"/>
        </w:numPr>
        <w:spacing w:after="80"/>
      </w:pPr>
      <w:r>
        <w:t xml:space="preserve">Invitations to speak as a keynote or expert at major events</w:t>
      </w:r>
    </w:p>
    <w:p>
      <w:pPr>
        <w:pStyle w:val="ListParagraph"/>
        <w:numPr>
          <w:ilvl w:val="0"/>
          <w:numId w:val="5"/>
        </w:numPr>
        <w:spacing w:after="80"/>
      </w:pPr>
      <w:r>
        <w:t xml:space="preserve">Media coverage, independent testimonials and recognition by peak bodies</w:t>
      </w:r>
    </w:p>
    <w:p>
      <w:pPr>
        <w:pStyle w:val="ListParagraph"/>
        <w:numPr>
          <w:ilvl w:val="0"/>
          <w:numId w:val="5"/>
        </w:numPr>
        <w:spacing w:after="80"/>
      </w:pPr>
      <w:r>
        <w:t xml:space="preserve">Evidence of employment, income or funding that reflects your standing</w:t>
      </w:r>
    </w:p>
    <w:p>
      <w:pPr>
        <w:pStyle w:val="ListParagraph"/>
        <w:numPr>
          <w:ilvl w:val="0"/>
          <w:numId w:val="5"/>
        </w:numPr>
        <w:spacing w:after="80"/>
      </w:pPr>
      <w:r>
        <w:t xml:space="preserve">Letters from independent experts who can speak about your impact</w:t>
      </w:r>
    </w:p>
    <w:p>
      <w:pPr>
        <w:pStyle w:val="ListParagraph"/>
        <w:numPr>
          <w:ilvl w:val="0"/>
          <w:numId w:val="5"/>
        </w:numPr>
        <w:spacing w:after="80"/>
      </w:pPr>
      <w:r>
        <w:t xml:space="preserve">Your nominator's statement and supporting documents</w:t>
      </w:r>
    </w:p>
    <w:p>
      <w:pPr>
        <w:spacing w:after="160"/>
      </w:pPr>
      <w:r>
        <w:t xml:space="preserve">The strongest applications present evidence that is independent and verifiable. A pile of certificates without explanation does not work as well as a clear narrative with documents linked to each claim. Assessors want to see why your achievements matter, how they compare with others in your field and what you would do in Australia.</w:t>
      </w:r>
    </w:p>
    <w:p>
      <w:pPr>
        <w:pStyle w:val="Heading2"/>
      </w:pPr>
      <w:r>
        <w:t xml:space="preserve">English Language Requirements</w:t>
      </w:r>
    </w:p>
    <w:p>
      <w:pPr>
        <w:spacing w:after="160"/>
      </w:pPr>
      <w:r>
        <w:t xml:space="preserve">Functional English is generally required, and concessions may apply in some cases, including when a second instalment of the visa application charge is paid. You may be asked to show evidence of English, such as a test result, depending on your circumstances. Check the Department's current guidance on how to demonstrate functional English.</w:t>
      </w:r>
    </w:p>
    <w:p>
      <w:pPr>
        <w:pStyle w:val="Heading2"/>
      </w:pPr>
      <w:r>
        <w:t xml:space="preserve">Documents Checklist</w:t>
      </w:r>
    </w:p>
    <w:p>
      <w:pPr>
        <w:spacing w:after="160"/>
      </w:pPr>
      <w:r>
        <w:t xml:space="preserve">Alongside your achievement evidence, you will need standard application documents. A solid checklist includes:</w:t>
      </w:r>
    </w:p>
    <w:p>
      <w:pPr>
        <w:pStyle w:val="ListParagraph"/>
        <w:numPr>
          <w:ilvl w:val="0"/>
          <w:numId w:val="6"/>
        </w:numPr>
        <w:spacing w:after="80"/>
      </w:pPr>
      <w:r>
        <w:t xml:space="preserve">Passport and identity documents for you and every family member in the application</w:t>
      </w:r>
    </w:p>
    <w:p>
      <w:pPr>
        <w:pStyle w:val="ListParagraph"/>
        <w:numPr>
          <w:ilvl w:val="0"/>
          <w:numId w:val="6"/>
        </w:numPr>
        <w:spacing w:after="80"/>
      </w:pPr>
      <w:r>
        <w:t xml:space="preserve">Your invitation details and EOI reference</w:t>
      </w:r>
    </w:p>
    <w:p>
      <w:pPr>
        <w:pStyle w:val="ListParagraph"/>
        <w:numPr>
          <w:ilvl w:val="0"/>
          <w:numId w:val="6"/>
        </w:numPr>
        <w:spacing w:after="80"/>
      </w:pPr>
      <w:r>
        <w:t xml:space="preserve">The nominator's statement or the government agency referral</w:t>
      </w:r>
    </w:p>
    <w:p>
      <w:pPr>
        <w:pStyle w:val="ListParagraph"/>
        <w:numPr>
          <w:ilvl w:val="0"/>
          <w:numId w:val="6"/>
        </w:numPr>
        <w:spacing w:after="80"/>
      </w:pPr>
      <w:r>
        <w:t xml:space="preserve">Evidence of your achievements, organised by claim</w:t>
      </w:r>
    </w:p>
    <w:p>
      <w:pPr>
        <w:pStyle w:val="ListParagraph"/>
        <w:numPr>
          <w:ilvl w:val="0"/>
          <w:numId w:val="6"/>
        </w:numPr>
        <w:spacing w:after="80"/>
      </w:pPr>
      <w:r>
        <w:t xml:space="preserve">Academic qualifications and employment records</w:t>
      </w:r>
    </w:p>
    <w:p>
      <w:pPr>
        <w:pStyle w:val="ListParagraph"/>
        <w:numPr>
          <w:ilvl w:val="0"/>
          <w:numId w:val="6"/>
        </w:numPr>
        <w:spacing w:after="80"/>
      </w:pPr>
      <w:r>
        <w:t xml:space="preserve">English evidence, if requested</w:t>
      </w:r>
    </w:p>
    <w:p>
      <w:pPr>
        <w:pStyle w:val="ListParagraph"/>
        <w:numPr>
          <w:ilvl w:val="0"/>
          <w:numId w:val="6"/>
        </w:numPr>
        <w:spacing w:after="80"/>
      </w:pPr>
      <w:r>
        <w:t xml:space="preserve">Relationship documents, including marriage certificates and birth certificates for children</w:t>
      </w:r>
    </w:p>
    <w:p>
      <w:pPr>
        <w:pStyle w:val="ListParagraph"/>
        <w:numPr>
          <w:ilvl w:val="0"/>
          <w:numId w:val="6"/>
        </w:numPr>
        <w:spacing w:after="80"/>
      </w:pPr>
      <w:r>
        <w:t xml:space="preserve">Police certificates from each country where you have lived for the required period</w:t>
      </w:r>
    </w:p>
    <w:p>
      <w:pPr>
        <w:pStyle w:val="ListParagraph"/>
        <w:numPr>
          <w:ilvl w:val="0"/>
          <w:numId w:val="6"/>
        </w:numPr>
        <w:spacing w:after="80"/>
      </w:pPr>
      <w:r>
        <w:t xml:space="preserve">Health examination results when requested</w:t>
      </w:r>
    </w:p>
    <w:p>
      <w:pPr>
        <w:pStyle w:val="ListParagraph"/>
        <w:numPr>
          <w:ilvl w:val="0"/>
          <w:numId w:val="6"/>
        </w:numPr>
        <w:spacing w:after="80"/>
      </w:pPr>
      <w:r>
        <w:t xml:space="preserve">The signed Australian values statement</w:t>
      </w:r>
    </w:p>
    <w:p>
      <w:pPr>
        <w:pStyle w:val="ListParagraph"/>
        <w:numPr>
          <w:ilvl w:val="0"/>
          <w:numId w:val="6"/>
        </w:numPr>
        <w:spacing w:after="80"/>
      </w:pPr>
      <w:r>
        <w:t xml:space="preserve">Certified English translations of any document that is not in English</w:t>
      </w:r>
    </w:p>
    <w:p>
      <w:pPr>
        <w:spacing w:after="160"/>
      </w:pPr>
      <w:r>
        <w:t xml:space="preserve">Names, dates and details must match across documents. Mismatches can lead to requests for more information and delays.</w:t>
      </w:r>
    </w:p>
    <w:p>
      <w:pPr>
        <w:pStyle w:val="Heading2"/>
      </w:pPr>
      <w:r>
        <w:t xml:space="preserve">How to Apply Step by Step</w:t>
      </w:r>
    </w:p>
    <w:p>
      <w:pPr>
        <w:spacing w:after="160"/>
      </w:pPr>
      <w:r>
        <w:t xml:space="preserve">The usual sequence for the subclass 858 is below.</w:t>
      </w:r>
    </w:p>
    <w:p>
      <w:pPr>
        <w:pStyle w:val="ListParagraph"/>
        <w:numPr>
          <w:ilvl w:val="0"/>
          <w:numId w:val="7"/>
        </w:numPr>
        <w:spacing w:after="80"/>
      </w:pPr>
      <w:r>
        <w:t xml:space="preserve">Assess whether your record fits the standard of exceptional and outstanding achievement in an eligible field.</w:t>
      </w:r>
    </w:p>
    <w:p>
      <w:pPr>
        <w:pStyle w:val="ListParagraph"/>
        <w:numPr>
          <w:ilvl w:val="0"/>
          <w:numId w:val="7"/>
        </w:numPr>
        <w:spacing w:after="80"/>
      </w:pPr>
      <w:r>
        <w:t xml:space="preserve">Identify a suitable nominator, or find out whether a government agency referral is possible.</w:t>
      </w:r>
    </w:p>
    <w:p>
      <w:pPr>
        <w:pStyle w:val="ListParagraph"/>
        <w:numPr>
          <w:ilvl w:val="0"/>
          <w:numId w:val="7"/>
        </w:numPr>
        <w:spacing w:after="80"/>
      </w:pPr>
      <w:r>
        <w:t xml:space="preserve">Gather and organise your evidence, linking each claim to documents.</w:t>
      </w:r>
    </w:p>
    <w:p>
      <w:pPr>
        <w:pStyle w:val="ListParagraph"/>
        <w:numPr>
          <w:ilvl w:val="0"/>
          <w:numId w:val="7"/>
        </w:numPr>
        <w:spacing w:after="80"/>
      </w:pPr>
      <w:r>
        <w:t xml:space="preserve">Submit an expression of interest to the Department.</w:t>
      </w:r>
    </w:p>
    <w:p>
      <w:pPr>
        <w:pStyle w:val="ListParagraph"/>
        <w:numPr>
          <w:ilvl w:val="0"/>
          <w:numId w:val="7"/>
        </w:numPr>
        <w:spacing w:after="80"/>
      </w:pPr>
      <w:r>
        <w:t xml:space="preserve">Wait for an invitation, and keep your EOI accurate if your circumstances change.</w:t>
      </w:r>
    </w:p>
    <w:p>
      <w:pPr>
        <w:pStyle w:val="ListParagraph"/>
        <w:numPr>
          <w:ilvl w:val="0"/>
          <w:numId w:val="7"/>
        </w:numPr>
        <w:spacing w:after="80"/>
      </w:pPr>
      <w:r>
        <w:t xml:space="preserve">If you are invited, lodge the visa application through ImmiAccount within 60 days. If you miss the deadline you would need a new EOI, with no guarantee of another invitation.</w:t>
      </w:r>
    </w:p>
    <w:p>
      <w:pPr>
        <w:pStyle w:val="ListParagraph"/>
        <w:numPr>
          <w:ilvl w:val="0"/>
          <w:numId w:val="7"/>
        </w:numPr>
        <w:spacing w:after="80"/>
      </w:pPr>
      <w:r>
        <w:t xml:space="preserve">Pay the visa application charge.</w:t>
      </w:r>
    </w:p>
    <w:p>
      <w:pPr>
        <w:pStyle w:val="ListParagraph"/>
        <w:numPr>
          <w:ilvl w:val="0"/>
          <w:numId w:val="7"/>
        </w:numPr>
        <w:spacing w:after="80"/>
      </w:pPr>
      <w:r>
        <w:t xml:space="preserve">Complete health examinations and biometrics if requested, and provide police certificates.</w:t>
      </w:r>
    </w:p>
    <w:p>
      <w:pPr>
        <w:pStyle w:val="ListParagraph"/>
        <w:numPr>
          <w:ilvl w:val="0"/>
          <w:numId w:val="7"/>
        </w:numPr>
        <w:spacing w:after="80"/>
      </w:pPr>
      <w:r>
        <w:t xml:space="preserve">Respond promptly to requests for more information and wait for the decision.</w:t>
      </w:r>
    </w:p>
    <w:p>
      <w:pPr>
        <w:spacing w:after="160"/>
      </w:pPr>
      <w:r>
        <w:t xml:space="preserve">An invitation is not a pre assessment. The Department has said that an invitation does not mean you will be granted the visa, so the application is assessed on its own evidence.</w:t>
      </w:r>
    </w:p>
    <w:p>
      <w:pPr>
        <w:pStyle w:val="Heading2"/>
      </w:pPr>
      <w:r>
        <w:t xml:space="preserve">Visa Costs and Related Expenses</w:t>
      </w:r>
    </w:p>
    <w:p>
      <w:pPr>
        <w:spacing w:after="160"/>
      </w:pPr>
      <w:r>
        <w:t xml:space="preserve">Visa application charges changed on 1 July 2026 for most visa subclasses. For the subclass 858, one practitioner fee page reported a primary applicant charge of about AUD 4,985, with AUD 2,495 for a spouse and AUD 1,250 for a child under 18, but that page pre dates the July 2026 changes and does not state an effective date. Because I could not confirm the current amount from an official source, please use the Department's Visa Pricing Estimator or ImmiAccount to check the exact charge before you pay.</w:t>
      </w:r>
    </w:p>
    <w:p>
      <w:pPr>
        <w:spacing w:after="160"/>
      </w:pPr>
      <w:r>
        <w:t xml:space="preserve">An additional charge can apply in some cases, such as a second instalment for adult applicants who do not demonstrate functional English at the time of grant. Check how that applies to you and your family.</w:t>
      </w:r>
    </w:p>
    <w:p>
      <w:pPr>
        <w:spacing w:after="160"/>
      </w:pPr>
      <w:r>
        <w:t xml:space="preserve">The visa charge is only part of the cost. Budget for:</w:t>
      </w:r>
    </w:p>
    <w:p>
      <w:pPr>
        <w:pStyle w:val="ListParagraph"/>
        <w:numPr>
          <w:ilvl w:val="0"/>
          <w:numId w:val="8"/>
        </w:numPr>
        <w:spacing w:after="80"/>
      </w:pPr>
      <w:r>
        <w:t xml:space="preserve">Preparing your evidence, including certified translations and document copies</w:t>
      </w:r>
    </w:p>
    <w:p>
      <w:pPr>
        <w:pStyle w:val="ListParagraph"/>
        <w:numPr>
          <w:ilvl w:val="0"/>
          <w:numId w:val="8"/>
        </w:numPr>
        <w:spacing w:after="80"/>
      </w:pPr>
      <w:r>
        <w:t xml:space="preserve">Health examinations and police certificates</w:t>
      </w:r>
    </w:p>
    <w:p>
      <w:pPr>
        <w:pStyle w:val="ListParagraph"/>
        <w:numPr>
          <w:ilvl w:val="0"/>
          <w:numId w:val="8"/>
        </w:numPr>
        <w:spacing w:after="80"/>
      </w:pPr>
      <w:r>
        <w:t xml:space="preserve">Fees associated with obtaining independent letters, records or publications</w:t>
      </w:r>
    </w:p>
    <w:p>
      <w:pPr>
        <w:pStyle w:val="ListParagraph"/>
        <w:numPr>
          <w:ilvl w:val="0"/>
          <w:numId w:val="8"/>
        </w:numPr>
        <w:spacing w:after="80"/>
      </w:pPr>
      <w:r>
        <w:t xml:space="preserve">Professional assistance, if you choose to use it</w:t>
      </w:r>
    </w:p>
    <w:p>
      <w:pPr>
        <w:pStyle w:val="ListParagraph"/>
        <w:numPr>
          <w:ilvl w:val="0"/>
          <w:numId w:val="8"/>
        </w:numPr>
        <w:spacing w:after="80"/>
      </w:pPr>
      <w:r>
        <w:t xml:space="preserve">Travel and relocation costs</w:t>
      </w:r>
    </w:p>
    <w:p>
      <w:pPr>
        <w:spacing w:after="160"/>
      </w:pPr>
      <w:r>
        <w:t xml:space="preserve">Charges are not refunded if your application is refused.</w:t>
      </w:r>
    </w:p>
    <w:p>
      <w:pPr>
        <w:pStyle w:val="Heading2"/>
      </w:pPr>
      <w:r>
        <w:t xml:space="preserve">Processing Time Guidance</w:t>
      </w:r>
    </w:p>
    <w:p>
      <w:pPr>
        <w:spacing w:after="160"/>
      </w:pPr>
      <w:r>
        <w:t xml:space="preserve">Processing time depends on your circumstances, the quality of your evidence and the Department's workload. Some practitioner sources reported processing in the range of four to seven months as at mid 2026, but these are indications only. Home Affairs publishes a global processing times tool, and that is the right place to check.</w:t>
      </w:r>
    </w:p>
    <w:p>
      <w:pPr>
        <w:spacing w:after="160"/>
      </w:pPr>
      <w:r>
        <w:t xml:space="preserve">The visa decision is only the last stage. Time is also needed to find a nominator, gather evidence, wait for an invitation and prepare the application. A realistic plan allows for the whole journey, and a well organised application is easier to assess than a scattered one.</w:t>
      </w:r>
    </w:p>
    <w:p>
      <w:pPr>
        <w:pStyle w:val="Heading2"/>
      </w:pPr>
      <w:r>
        <w:t xml:space="preserve">Permanent Residency and Family</w:t>
      </w:r>
    </w:p>
    <w:p>
      <w:pPr>
        <w:spacing w:after="160"/>
      </w:pPr>
      <w:r>
        <w:t xml:space="preserve">The subclass 858 grants permanent residence. Holders can work and study in Australia, change employers freely, access Medicare and apply for citizenship once they meet the residence requirements. Partners and dependent children can be included in the application, and holders may be able to sponsor eligible relatives later, subject to the rules for those visas.</w:t>
      </w:r>
    </w:p>
    <w:p>
      <w:pPr>
        <w:spacing w:after="160"/>
      </w:pPr>
      <w:r>
        <w:t xml:space="preserve">Unlike some skilled visas, there is no requirement to live in a particular state or region, and no job offer or state sponsorship is needed to apply. You will still need to show that you can make a significant contribution, and you should be ready to explain what you plan to do once you arrive.</w:t>
      </w:r>
    </w:p>
    <w:p>
      <w:pPr>
        <w:pStyle w:val="Heading2"/>
      </w:pPr>
      <w:r>
        <w:t xml:space="preserve">The 858 Compared With Other Pathways</w:t>
      </w:r>
    </w:p>
    <w:p>
      <w:pPr>
        <w:spacing w:after="160"/>
      </w:pPr>
      <w:r>
        <w:t xml:space="preserve">If your profile is strong but not exceptional, other pathways may suit you better. A short comparison helps.</w:t>
      </w:r>
    </w:p>
    <w:p>
      <w:pPr>
        <w:pStyle w:val="ListParagraph"/>
        <w:numPr>
          <w:ilvl w:val="0"/>
          <w:numId w:val="9"/>
        </w:numPr>
        <w:spacing w:after="80"/>
      </w:pPr>
      <w:r>
        <w:t xml:space="preserve">**Skilled Independent visa subclass 189.** Points tested and permanent, with invitations going to highly ranked applicants in eligible occupations.</w:t>
      </w:r>
    </w:p>
    <w:p>
      <w:pPr>
        <w:pStyle w:val="ListParagraph"/>
        <w:numPr>
          <w:ilvl w:val="0"/>
          <w:numId w:val="9"/>
        </w:numPr>
        <w:spacing w:after="80"/>
      </w:pPr>
      <w:r>
        <w:t xml:space="preserve">**Skilled Nominated visa subclass 190.** Permanent and needs state nomination.</w:t>
      </w:r>
    </w:p>
    <w:p>
      <w:pPr>
        <w:pStyle w:val="ListParagraph"/>
        <w:numPr>
          <w:ilvl w:val="0"/>
          <w:numId w:val="9"/>
        </w:numPr>
        <w:spacing w:after="80"/>
      </w:pPr>
      <w:r>
        <w:t xml:space="preserve">**Skilled Work Regional visa subclass 491.** Provisional with a regional condition and a pathway to permanent residence.</w:t>
      </w:r>
    </w:p>
    <w:p>
      <w:pPr>
        <w:pStyle w:val="ListParagraph"/>
        <w:numPr>
          <w:ilvl w:val="0"/>
          <w:numId w:val="9"/>
        </w:numPr>
        <w:spacing w:after="80"/>
      </w:pPr>
      <w:r>
        <w:t xml:space="preserve">**Employer sponsored visas.** Based on a job offer from an Australian employer.</w:t>
      </w:r>
    </w:p>
    <w:p>
      <w:pPr>
        <w:pStyle w:val="ListParagraph"/>
        <w:numPr>
          <w:ilvl w:val="0"/>
          <w:numId w:val="9"/>
        </w:numPr>
        <w:spacing w:after="80"/>
      </w:pPr>
      <w:r>
        <w:t xml:space="preserve">**National Innovation visa subclass 858.** Permanent, invitation based, assessed on exceptional achievement and the benefit you could bring.</w:t>
      </w:r>
    </w:p>
    <w:p>
      <w:pPr>
        <w:spacing w:after="160"/>
      </w:pPr>
      <w:r>
        <w:t xml:space="preserve">The right choice depends on your record, your field, your connections and your timeline. Some people explore more than one pathway at the same time.</w:t>
      </w:r>
    </w:p>
    <w:p>
      <w:pPr>
        <w:pStyle w:val="Heading2"/>
      </w:pPr>
      <w:r>
        <w:t xml:space="preserve">Common Reasons Applications Are Unsuccessful</w:t>
      </w:r>
    </w:p>
    <w:p>
      <w:pPr>
        <w:spacing w:after="160"/>
      </w:pPr>
      <w:r>
        <w:t xml:space="preserve">An unsuccessful EOI or visa application usually comes from a limited number of causes.</w:t>
      </w:r>
    </w:p>
    <w:p>
      <w:pPr>
        <w:pStyle w:val="ListParagraph"/>
        <w:numPr>
          <w:ilvl w:val="0"/>
          <w:numId w:val="10"/>
        </w:numPr>
        <w:spacing w:after="80"/>
      </w:pPr>
      <w:r>
        <w:t xml:space="preserve">The record of achievement does not reach the standard of exceptional and outstanding in the field</w:t>
      </w:r>
    </w:p>
    <w:p>
      <w:pPr>
        <w:pStyle w:val="ListParagraph"/>
        <w:numPr>
          <w:ilvl w:val="0"/>
          <w:numId w:val="10"/>
        </w:numPr>
        <w:spacing w:after="80"/>
      </w:pPr>
      <w:r>
        <w:t xml:space="preserve">The nominator does not have a national reputation in the relevant field</w:t>
      </w:r>
    </w:p>
    <w:p>
      <w:pPr>
        <w:pStyle w:val="ListParagraph"/>
        <w:numPr>
          <w:ilvl w:val="0"/>
          <w:numId w:val="10"/>
        </w:numPr>
        <w:spacing w:after="80"/>
      </w:pPr>
      <w:r>
        <w:t xml:space="preserve">The nomination letter is general and not supported by evidence</w:t>
      </w:r>
    </w:p>
    <w:p>
      <w:pPr>
        <w:pStyle w:val="ListParagraph"/>
        <w:numPr>
          <w:ilvl w:val="0"/>
          <w:numId w:val="10"/>
        </w:numPr>
        <w:spacing w:after="80"/>
      </w:pPr>
      <w:r>
        <w:t xml:space="preserve">Evidence is not independent, not verifiable or not linked to the claims</w:t>
      </w:r>
    </w:p>
    <w:p>
      <w:pPr>
        <w:pStyle w:val="ListParagraph"/>
        <w:numPr>
          <w:ilvl w:val="0"/>
          <w:numId w:val="10"/>
        </w:numPr>
        <w:spacing w:after="80"/>
      </w:pPr>
      <w:r>
        <w:t xml:space="preserve">The field or achievements do not match the Department's current priorities</w:t>
      </w:r>
    </w:p>
    <w:p>
      <w:pPr>
        <w:pStyle w:val="ListParagraph"/>
        <w:numPr>
          <w:ilvl w:val="0"/>
          <w:numId w:val="10"/>
        </w:numPr>
        <w:spacing w:after="80"/>
      </w:pPr>
      <w:r>
        <w:t xml:space="preserve">Missing the 60 day deadline after an invitation</w:t>
      </w:r>
    </w:p>
    <w:p>
      <w:pPr>
        <w:pStyle w:val="ListParagraph"/>
        <w:numPr>
          <w:ilvl w:val="0"/>
          <w:numId w:val="10"/>
        </w:numPr>
        <w:spacing w:after="80"/>
      </w:pPr>
      <w:r>
        <w:t xml:space="preserve">A previous visa refusal or cancellation</w:t>
      </w:r>
    </w:p>
    <w:p>
      <w:pPr>
        <w:pStyle w:val="ListParagraph"/>
        <w:numPr>
          <w:ilvl w:val="0"/>
          <w:numId w:val="10"/>
        </w:numPr>
        <w:spacing w:after="80"/>
      </w:pPr>
      <w:r>
        <w:t xml:space="preserve">Health or character concerns that are not resolved</w:t>
      </w:r>
    </w:p>
    <w:p>
      <w:pPr>
        <w:pStyle w:val="ListParagraph"/>
        <w:numPr>
          <w:ilvl w:val="0"/>
          <w:numId w:val="10"/>
        </w:numPr>
        <w:spacing w:after="80"/>
      </w:pPr>
      <w:r>
        <w:t xml:space="preserve">Incomplete or inconsistent documents</w:t>
      </w:r>
    </w:p>
    <w:p>
      <w:pPr>
        <w:pStyle w:val="ListParagraph"/>
        <w:numPr>
          <w:ilvl w:val="0"/>
          <w:numId w:val="10"/>
        </w:numPr>
        <w:spacing w:after="80"/>
      </w:pPr>
      <w:r>
        <w:t xml:space="preserve">False or misleading information, which can have serious long term consequences</w:t>
      </w:r>
    </w:p>
    <w:p>
      <w:pPr>
        <w:spacing w:after="160"/>
      </w:pPr>
      <w:r>
        <w:t xml:space="preserve">Many of these can be addressed before you submit an EOI. A frank assessment of your record, ideally from someone who understands how the Department evaluates talent, can save you from investing in an application that is unlikely to succeed.</w:t>
      </w:r>
    </w:p>
    <w:p>
      <w:pPr>
        <w:pStyle w:val="Heading2"/>
      </w:pPr>
      <w:r>
        <w:t xml:space="preserve">Considerations for Applicants From South Asia and Europe</w:t>
      </w:r>
    </w:p>
    <w:p>
      <w:pPr>
        <w:spacing w:after="160"/>
      </w:pPr>
      <w:r>
        <w:t xml:space="preserve">Applicants from Pakistan, India, Bangladesh and Sri Lanka often face the practical challenge of showing international recognition and finding an Australian nominator with a national reputation in their field. Building recognition through publications, collaborations, awards and professional bodies, and documenting it carefully, is more important than any single document. Where records are in a language other than English, certified translations are needed, and the narrative should explain local awards and institutions to a reader who may not know them.</w:t>
      </w:r>
    </w:p>
    <w:p>
      <w:pPr>
        <w:spacing w:after="160"/>
      </w:pPr>
      <w:r>
        <w:t xml:space="preserve">European applicants commonly have strong international networks and well recognised institutions, but they still need to show exceptional achievement and a credible nomination. For Australian residents, an existing connection to Australian organisations can help when it comes to finding a nominator.</w:t>
      </w:r>
    </w:p>
    <w:p>
      <w:pPr>
        <w:spacing w:after="160"/>
      </w:pPr>
      <w:r>
        <w:t xml:space="preserve">No country has a separate rule set for the subclass 858. The Department assesses everyone on achievement, recognition and benefit to Australia.</w:t>
      </w:r>
    </w:p>
    <w:p>
      <w:pPr>
        <w:pStyle w:val="Heading2"/>
      </w:pPr>
      <w:r>
        <w:t xml:space="preserve">How Professional Help Can Assist</w:t>
      </w:r>
    </w:p>
    <w:p>
      <w:pPr>
        <w:spacing w:after="160"/>
      </w:pPr>
      <w:r>
        <w:t xml:space="preserve">A migration professional cannot change the rules, guarantee an invitation or make the Department assess your record more favourably. What a good adviser can do is give you a frank view of whether your record is likely to meet the standard, help you identify and approach suitable nominators, organise evidence so that claims are clearly supported, check your documents for consistency and advise on alternative pathways if the 858 is not a good fit.</w:t>
      </w:r>
    </w:p>
    <w:p>
      <w:pPr>
        <w:spacing w:after="160"/>
      </w:pPr>
      <w:r>
        <w:t xml:space="preserve">This review is most useful before you invest time in an EOI, because the process is selective and preparation takes effort.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skilled and talent visas. We offer a free consultation where you can talk through your record, your evidence and your options before deciding on your next step. To arrange one, use [INSERT VERIFIED CONSULTATION URL].</w:t>
      </w:r>
    </w:p>
    <w:p>
      <w:pPr>
        <w:pStyle w:val="Heading2"/>
      </w:pPr>
      <w:r>
        <w:t xml:space="preserve">Frequently Asked Questions</w:t>
      </w:r>
    </w:p>
    <w:p>
      <w:pPr>
        <w:pStyle w:val="Heading3"/>
      </w:pPr>
      <w:r>
        <w:t xml:space="preserve">What is the National Innovation Visa Subclass 858?</w:t>
      </w:r>
    </w:p>
    <w:p>
      <w:pPr>
        <w:spacing w:after="160"/>
      </w:pPr>
      <w:r>
        <w:t xml:space="preserve">It is a permanent visa for people with an internationally recognised record of exceptional and outstanding achievement. It replaced the Global Talent visa in December 2024 and is available by invitation after an expression of interest.</w:t>
      </w:r>
    </w:p>
    <w:p>
      <w:pPr>
        <w:pStyle w:val="Heading3"/>
      </w:pPr>
      <w:r>
        <w:t xml:space="preserve">What are the subclass 858 visa requirements?</w:t>
      </w:r>
    </w:p>
    <w:p>
      <w:pPr>
        <w:spacing w:after="160"/>
      </w:pPr>
      <w:r>
        <w:t xml:space="preserve">You need an invitation, a nominator with a national reputation in your field or a government agency referral, a record of exceptional achievement, functional English, and to meet health and character requirements. You must lodge within 60 days of the invitation.</w:t>
      </w:r>
    </w:p>
    <w:p>
      <w:pPr>
        <w:pStyle w:val="Heading3"/>
      </w:pPr>
      <w:r>
        <w:t xml:space="preserve">How does the National Innovation visa invitation process work?</w:t>
      </w:r>
    </w:p>
    <w:p>
      <w:pPr>
        <w:spacing w:after="160"/>
      </w:pPr>
      <w:r>
        <w:t xml:space="preserve">You submit an expression of interest and the Department selects applicants against its priorities. An invitation lets you lodge a visa application, but it is not a pre assessment of your eligibility.</w:t>
      </w:r>
    </w:p>
    <w:p>
      <w:pPr>
        <w:pStyle w:val="Heading3"/>
      </w:pPr>
      <w:r>
        <w:t xml:space="preserve">Who can be a nominator?</w:t>
      </w:r>
    </w:p>
    <w:p>
      <w:pPr>
        <w:spacing w:after="160"/>
      </w:pPr>
      <w:r>
        <w:t xml:space="preserve">An Australian citizen, permanent resident, eligible New Zealand citizen, Australian organisation or Australian Government agency, with a national reputation in your area of talent. A referral from a government agency can be an alternative in some cases.</w:t>
      </w:r>
    </w:p>
    <w:p>
      <w:pPr>
        <w:pStyle w:val="Heading3"/>
      </w:pPr>
      <w:r>
        <w:t xml:space="preserve">Is the National Innovation visa the same as the Global Talent visa?</w:t>
      </w:r>
    </w:p>
    <w:p>
      <w:pPr>
        <w:spacing w:after="160"/>
      </w:pPr>
      <w:r>
        <w:t xml:space="preserve">It replaced the Global Talent visa and kept the subclass 858 number. Older commentary about the Global Talent visa, including income thresholds, may be out of date, so check current guidance.</w:t>
      </w:r>
    </w:p>
    <w:p>
      <w:pPr>
        <w:pStyle w:val="Heading3"/>
      </w:pPr>
      <w:r>
        <w:t xml:space="preserve">Is the 858 visa available to researchers?</w:t>
      </w:r>
    </w:p>
    <w:p>
      <w:pPr>
        <w:spacing w:after="160"/>
      </w:pPr>
      <w:r>
        <w:t xml:space="preserve">Yes. Researchers and academics can apply if they have an internationally recognised record of achievement, such as strong publications, grants and research influence, and a suitable nominator.</w:t>
      </w:r>
    </w:p>
    <w:p>
      <w:pPr>
        <w:pStyle w:val="Heading3"/>
      </w:pPr>
      <w:r>
        <w:t xml:space="preserve">Is the 858 visa for entrepreneurs and investors?</w:t>
      </w:r>
    </w:p>
    <w:p>
      <w:pPr>
        <w:spacing w:after="160"/>
      </w:pPr>
      <w:r>
        <w:t xml:space="preserve">Entrepreneurs and innovators with exceptional achievements can apply. It is not an investor visa and no fixed investment or asset threshold is reported as an eligibility requirement, so money alone does not qualify you.</w:t>
      </w:r>
    </w:p>
    <w:p>
      <w:pPr>
        <w:pStyle w:val="Heading3"/>
      </w:pPr>
      <w:r>
        <w:t xml:space="preserve">How long does the subclass 858 visa take to process?</w:t>
      </w:r>
    </w:p>
    <w:p>
      <w:pPr>
        <w:spacing w:after="160"/>
      </w:pPr>
      <w:r>
        <w:t xml:space="preserve">There is no fixed time. Some practitioners report a few months after lodgement, but Home Affairs publishes a processing times tool that gives an indication only. Finding a nominator and waiting for an invitation add time.</w:t>
      </w:r>
    </w:p>
    <w:p>
      <w:pPr>
        <w:pStyle w:val="Heading3"/>
      </w:pPr>
      <w:r>
        <w:t xml:space="preserve">How much does the National Innovation visa cost?</w:t>
      </w:r>
    </w:p>
    <w:p>
      <w:pPr>
        <w:spacing w:after="160"/>
      </w:pPr>
      <w:r>
        <w:t xml:space="preserve">The exact charge changed for many visas on 1 July 2026, and I could not confirm the current amount from an official source. Check the Visa Pricing Estimator. Charges are not refunded after refusal.</w:t>
      </w:r>
    </w:p>
    <w:p>
      <w:pPr>
        <w:pStyle w:val="Heading3"/>
      </w:pPr>
      <w:r>
        <w:t xml:space="preserve">What evidence is needed for the 858 visa?</w:t>
      </w:r>
    </w:p>
    <w:p>
      <w:pPr>
        <w:spacing w:after="160"/>
      </w:pPr>
      <w:r>
        <w:t xml:space="preserve">Independent, verifiable evidence of exceptional achievement, such as awards, publications, grants, patents, leadership, media recognition and expert letters, together with a strong nominator statement.</w:t>
      </w:r>
    </w:p>
    <w:p>
      <w:pPr>
        <w:pStyle w:val="Heading3"/>
      </w:pPr>
      <w:r>
        <w:t xml:space="preserve">Does the 858 visa give permanent residency?</w:t>
      </w:r>
    </w:p>
    <w:p>
      <w:pPr>
        <w:spacing w:after="160"/>
      </w:pPr>
      <w:r>
        <w:t xml:space="preserve">Yes. It is a permanent visa. Holders can work and study, access Medicare and later apply for citizenship if they meet the requirements.</w:t>
      </w:r>
    </w:p>
    <w:p>
      <w:pPr>
        <w:pStyle w:val="Heading3"/>
      </w:pPr>
      <w:r>
        <w:t xml:space="preserve">Can Pakistani and Indian applicants apply for the 858 visa?</w:t>
      </w:r>
    </w:p>
    <w:p>
      <w:pPr>
        <w:spacing w:after="160"/>
      </w:pPr>
      <w:r>
        <w:t xml:space="preserve">Yes. The same criteria apply to all nationalities. What matters is your record of achievement, your nominator, your evidence and the Department's priorities.</w:t>
      </w:r>
    </w:p>
    <w:p>
      <w:pPr>
        <w:pStyle w:val="Heading3"/>
      </w:pPr>
      <w:r>
        <w:t xml:space="preserve">Why is a National Innovation visa application unsuccessful?</w:t>
      </w:r>
    </w:p>
    <w:p>
      <w:pPr>
        <w:spacing w:after="160"/>
      </w:pPr>
      <w:r>
        <w:t xml:space="preserve">Common causes include a record that does not reach the standard, a weak nominator, evidence that is not independent or linked to claims, missed deadlines, previous refusals and false information.</w:t>
      </w:r>
    </w:p>
    <w:p>
      <w:pPr>
        <w:pStyle w:val="Heading2"/>
      </w:pPr>
      <w:r>
        <w:t xml:space="preserve">Next Step</w:t>
      </w:r>
    </w:p>
    <w:p>
      <w:pPr>
        <w:spacing w:after="160"/>
      </w:pPr>
      <w:r>
        <w:t xml:space="preserve">If you are weighing whether your record fits the National Innovation visa, looking for a nominator or comparing it with other skilled pathways, book a free consultation with Migration Factor at [INSERT VERIFIED CONSULTATION URL]. Please bring your resume, a list of achievements and any awards, publications or grants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2026-10-11T10:23:17.760Z</dcterms:created>
  <dcterms:modified xsi:type="dcterms:W3CDTF">2026-10-11T10:23:17.760Z</dcterms:modified>
</cp:coreProperties>
</file>

<file path=docProps/custom.xml><?xml version="1.0" encoding="utf-8"?>
<Properties xmlns="http://schemas.openxmlformats.org/officeDocument/2006/custom-properties" xmlns:vt="http://schemas.openxmlformats.org/officeDocument/2006/docPropsVTypes"/>
</file>