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Skilled Work Regional Visa Subclass 491: Requirements, Points and Pathway to Permanent Residency</w:t>
      </w:r>
    </w:p>
    <w:p>
      <w:pPr>
        <w:spacing w:after="160"/>
      </w:pPr>
      <w:r>
        <w:t xml:space="preserve">The Skilled Work Regional (Provisional) Visa Subclass 491 is a temporary visa for skilled workers who want to live and work in regional Australia. Home Affairs describes it as a temporary visa for skilled workers who want to live and work in regional parts of the country. It lasts five years, and for many holders it leads to permanent residence through the Permanent Residence (Skilled Regional) visa subclass 191.</w:t>
      </w:r>
    </w:p>
    <w:p>
      <w:pPr>
        <w:spacing w:after="160"/>
      </w:pPr>
      <w:r>
        <w:t xml:space="preserve">The subclass 491 is often misunderstood. People see the extra points and the broader choice of occupations and think it is an easier route to Australia. It can be a useful route, but it comes with a requirement to live, work and study in a designated regional area, and permanent residence is a later step that depends on what you do during the five years. This page explains how it works so that you can decide whether it suits your plans.</w:t>
      </w:r>
    </w:p>
    <w:p>
      <w:pPr>
        <w:spacing w:after="160"/>
      </w:pPr>
      <w:r>
        <w:t xml:space="preserve">It is written for skilled workers in Pakistan, India, Bangladesh, Sri Lanka, Europe and Australia. If you would like your situation reviewed by a person, Migration Factor offers a free consultation. You can request one at [INSERT VERIFIED CONSULTATION URL]. Nothing on this page guarantees an invitation, a nomination or a visa grant, and rules and state settings change, so treat this as a planning guide rather than a final answer for your case.</w:t>
      </w:r>
    </w:p>
    <w:p>
      <w:pPr>
        <w:pStyle w:val="Heading2"/>
      </w:pPr>
      <w:r>
        <w:t xml:space="preserve">What the Subclass 491 Visa Is</w:t>
      </w:r>
    </w:p>
    <w:p>
      <w:pPr>
        <w:spacing w:after="160"/>
      </w:pPr>
      <w:r>
        <w:t xml:space="preserve">The subclass 491 is a points tested provisional visa. Holders can live, work and study in designated regional areas of Australia for up to five years. They can travel in and out of Australia while the visa is valid, and family members included in the application can accompany them.</w:t>
      </w:r>
    </w:p>
    <w:p>
      <w:pPr>
        <w:spacing w:after="160"/>
      </w:pPr>
      <w:r>
        <w:t xml:space="preserve">Two things set it apart from permanent skilled visas such as the subclass 189 and the subclass 190.</w:t>
      </w:r>
    </w:p>
    <w:p>
      <w:pPr>
        <w:pStyle w:val="ListParagraph"/>
        <w:numPr>
          <w:ilvl w:val="0"/>
          <w:numId w:val="2"/>
        </w:numPr>
        <w:spacing w:after="80"/>
      </w:pPr>
      <w:r>
        <w:t xml:space="preserve">It is temporary, so it does not give permanent residence on its own.</w:t>
      </w:r>
    </w:p>
    <w:p>
      <w:pPr>
        <w:pStyle w:val="ListParagraph"/>
        <w:numPr>
          <w:ilvl w:val="0"/>
          <w:numId w:val="2"/>
        </w:numPr>
        <w:spacing w:after="80"/>
      </w:pPr>
      <w:r>
        <w:t xml:space="preserve">It carries a regional requirement. You are expected to live, work and study in a designated regional area while you hold the visa, and time in the wrong location can affect your path to permanent residence.</w:t>
      </w:r>
    </w:p>
    <w:p>
      <w:pPr>
        <w:spacing w:after="160"/>
      </w:pPr>
      <w:r>
        <w:t xml:space="preserve">In return, it gives applicants extra points for nomination or family sponsorship, and it can be a realistic option for people who would struggle to reach a high score for a permanent visa. Many applicants use it as a stepping stone and later apply for the subclass 191.</w:t>
      </w:r>
    </w:p>
    <w:p>
      <w:pPr>
        <w:pStyle w:val="Heading2"/>
      </w:pPr>
      <w:r>
        <w:t xml:space="preserve">Who the Visa Is For</w:t>
      </w:r>
    </w:p>
    <w:p>
      <w:pPr>
        <w:spacing w:after="160"/>
      </w:pPr>
      <w:r>
        <w:t xml:space="preserve">The subclass 491 suits skilled workers who are willing to build a life outside the largest cities. Typical applicants include:</w:t>
      </w:r>
    </w:p>
    <w:p>
      <w:pPr>
        <w:pStyle w:val="ListParagraph"/>
        <w:numPr>
          <w:ilvl w:val="0"/>
          <w:numId w:val="3"/>
        </w:numPr>
        <w:spacing w:after="80"/>
      </w:pPr>
      <w:r>
        <w:t xml:space="preserve">Skilled professionals whose points score is lower than the usual cut off for a permanent skilled visa</w:t>
      </w:r>
    </w:p>
    <w:p>
      <w:pPr>
        <w:pStyle w:val="ListParagraph"/>
        <w:numPr>
          <w:ilvl w:val="0"/>
          <w:numId w:val="3"/>
        </w:numPr>
        <w:spacing w:after="80"/>
      </w:pPr>
      <w:r>
        <w:t xml:space="preserve">Workers whose occupation is in demand in a particular state or regional area</w:t>
      </w:r>
    </w:p>
    <w:p>
      <w:pPr>
        <w:pStyle w:val="ListParagraph"/>
        <w:numPr>
          <w:ilvl w:val="0"/>
          <w:numId w:val="3"/>
        </w:numPr>
        <w:spacing w:after="80"/>
      </w:pPr>
      <w:r>
        <w:t xml:space="preserve">Applicants who have a relative living in a designated regional area who may be able to sponsor them</w:t>
      </w:r>
    </w:p>
    <w:p>
      <w:pPr>
        <w:pStyle w:val="ListParagraph"/>
        <w:numPr>
          <w:ilvl w:val="0"/>
          <w:numId w:val="3"/>
        </w:numPr>
        <w:spacing w:after="80"/>
      </w:pPr>
      <w:r>
        <w:t xml:space="preserve">Skilled workers already living in a regional area of Australia on a temporary visa</w:t>
      </w:r>
    </w:p>
    <w:p>
      <w:pPr>
        <w:pStyle w:val="ListParagraph"/>
        <w:numPr>
          <w:ilvl w:val="0"/>
          <w:numId w:val="3"/>
        </w:numPr>
        <w:spacing w:after="80"/>
      </w:pPr>
      <w:r>
        <w:t xml:space="preserve">Applicants who want permanent residence eventually and accept a regional pathway to reach it</w:t>
      </w:r>
    </w:p>
    <w:p>
      <w:pPr>
        <w:spacing w:after="160"/>
      </w:pPr>
      <w:r>
        <w:t xml:space="preserve">Applicants from Pakistan, India, Bangladesh and Sri Lanka often look at the subclass 491 because the extra points can make a difference. The rules do not change by nationality, so the same points test and conditions apply wherever you live.</w:t>
      </w:r>
    </w:p>
    <w:p>
      <w:pPr>
        <w:pStyle w:val="Heading2"/>
      </w:pPr>
      <w:r>
        <w:t xml:space="preserve">Eligibility Requirements at a Glance</w:t>
      </w:r>
    </w:p>
    <w:p>
      <w:pPr>
        <w:spacing w:after="160"/>
      </w:pPr>
      <w:r>
        <w:t xml:space="preserve">The main requirements for the subclass 491 are:</w:t>
      </w:r>
    </w:p>
    <w:p>
      <w:pPr>
        <w:pStyle w:val="ListParagraph"/>
        <w:numPr>
          <w:ilvl w:val="0"/>
          <w:numId w:val="4"/>
        </w:numPr>
        <w:spacing w:after="80"/>
      </w:pPr>
      <w:r>
        <w:t xml:space="preserve">You are nominated by a state or territory government, or sponsored by an eligible relative who lives in a designated regional area</w:t>
      </w:r>
    </w:p>
    <w:p>
      <w:pPr>
        <w:pStyle w:val="ListParagraph"/>
        <w:numPr>
          <w:ilvl w:val="0"/>
          <w:numId w:val="4"/>
        </w:numPr>
        <w:spacing w:after="80"/>
      </w:pPr>
      <w:r>
        <w:t xml:space="preserve">Your occupation is on the list that applies to your nomination or sponsorship</w:t>
      </w:r>
    </w:p>
    <w:p>
      <w:pPr>
        <w:pStyle w:val="ListParagraph"/>
        <w:numPr>
          <w:ilvl w:val="0"/>
          <w:numId w:val="4"/>
        </w:numPr>
        <w:spacing w:after="80"/>
      </w:pPr>
      <w:r>
        <w:t xml:space="preserve">You hold a positive skills assessment for that occupation</w:t>
      </w:r>
    </w:p>
    <w:p>
      <w:pPr>
        <w:pStyle w:val="ListParagraph"/>
        <w:numPr>
          <w:ilvl w:val="0"/>
          <w:numId w:val="4"/>
        </w:numPr>
        <w:spacing w:after="80"/>
      </w:pPr>
      <w:r>
        <w:t xml:space="preserve">You are under 45 when you are invited to apply</w:t>
      </w:r>
    </w:p>
    <w:p>
      <w:pPr>
        <w:pStyle w:val="ListParagraph"/>
        <w:numPr>
          <w:ilvl w:val="0"/>
          <w:numId w:val="4"/>
        </w:numPr>
        <w:spacing w:after="80"/>
      </w:pPr>
      <w:r>
        <w:t xml:space="preserve">You have at least competent English</w:t>
      </w:r>
    </w:p>
    <w:p>
      <w:pPr>
        <w:pStyle w:val="ListParagraph"/>
        <w:numPr>
          <w:ilvl w:val="0"/>
          <w:numId w:val="4"/>
        </w:numPr>
        <w:spacing w:after="80"/>
      </w:pPr>
      <w:r>
        <w:t xml:space="preserve">You meet the points requirement, which includes 15 points for nomination or sponsorship</w:t>
      </w:r>
    </w:p>
    <w:p>
      <w:pPr>
        <w:pStyle w:val="ListParagraph"/>
        <w:numPr>
          <w:ilvl w:val="0"/>
          <w:numId w:val="4"/>
        </w:numPr>
        <w:spacing w:after="80"/>
      </w:pPr>
      <w:r>
        <w:t xml:space="preserve">You submit an expression of interest in SkillSelect and are invited to apply</w:t>
      </w:r>
    </w:p>
    <w:p>
      <w:pPr>
        <w:pStyle w:val="ListParagraph"/>
        <w:numPr>
          <w:ilvl w:val="0"/>
          <w:numId w:val="4"/>
        </w:numPr>
        <w:spacing w:after="80"/>
      </w:pPr>
      <w:r>
        <w:t xml:space="preserve">You lodge a valid application within the time allowed after the invitation</w:t>
      </w:r>
    </w:p>
    <w:p>
      <w:pPr>
        <w:pStyle w:val="ListParagraph"/>
        <w:numPr>
          <w:ilvl w:val="0"/>
          <w:numId w:val="4"/>
        </w:numPr>
        <w:spacing w:after="80"/>
      </w:pPr>
      <w:r>
        <w:t xml:space="preserve">You meet health and character requirements, as do family members who apply with you</w:t>
      </w:r>
    </w:p>
    <w:p>
      <w:pPr>
        <w:spacing w:after="160"/>
      </w:pPr>
      <w:r>
        <w:t xml:space="preserve">Check the current settings on the Home Affairs website. Some sources describe the minimum score as 65 points including the nomination bonus, but invitation scores are often much higher than the minimum, so treat the minimum as a floor and not a target.</w:t>
      </w:r>
    </w:p>
    <w:p>
      <w:pPr>
        <w:pStyle w:val="Heading2"/>
      </w:pPr>
      <w:r>
        <w:t xml:space="preserve">How the Points Test Works</w:t>
      </w:r>
    </w:p>
    <w:p>
      <w:pPr>
        <w:spacing w:after="160"/>
      </w:pPr>
      <w:r>
        <w:t xml:space="preserve">The points test gives you a score based on age, English ability, skilled employment, qualifications, study in Australia, partner skills and other factors. The subclass 491 adds 15 points for state or territory nomination or for sponsorship by an eligible relative. This is a larger bonus than the one that applies to the subclass 190, and it is the main reason people with moderate scores consider this visa.</w:t>
      </w:r>
    </w:p>
    <w:p>
      <w:pPr>
        <w:spacing w:after="160"/>
      </w:pPr>
      <w:r>
        <w:t xml:space="preserve">Practical points to keep in mind:</w:t>
      </w:r>
    </w:p>
    <w:p>
      <w:pPr>
        <w:pStyle w:val="ListParagraph"/>
        <w:numPr>
          <w:ilvl w:val="0"/>
          <w:numId w:val="5"/>
        </w:numPr>
        <w:spacing w:after="80"/>
      </w:pPr>
      <w:r>
        <w:t xml:space="preserve">Every point you claim must be provable with documents when you lodge</w:t>
      </w:r>
    </w:p>
    <w:p>
      <w:pPr>
        <w:pStyle w:val="ListParagraph"/>
        <w:numPr>
          <w:ilvl w:val="0"/>
          <w:numId w:val="5"/>
        </w:numPr>
        <w:spacing w:after="80"/>
      </w:pPr>
      <w:r>
        <w:t xml:space="preserve">Your age band, English results and work experience can change over time, so keep your EOI updated</w:t>
      </w:r>
    </w:p>
    <w:p>
      <w:pPr>
        <w:pStyle w:val="ListParagraph"/>
        <w:numPr>
          <w:ilvl w:val="0"/>
          <w:numId w:val="5"/>
        </w:numPr>
        <w:spacing w:after="80"/>
      </w:pPr>
      <w:r>
        <w:t xml:space="preserve">A higher English result is often the quickest way to add points</w:t>
      </w:r>
    </w:p>
    <w:p>
      <w:pPr>
        <w:pStyle w:val="ListParagraph"/>
        <w:numPr>
          <w:ilvl w:val="0"/>
          <w:numId w:val="5"/>
        </w:numPr>
        <w:spacing w:after="80"/>
      </w:pPr>
      <w:r>
        <w:t xml:space="preserve">A partner with a positive skills assessment and competent English can add points</w:t>
      </w:r>
    </w:p>
    <w:p>
      <w:pPr>
        <w:pStyle w:val="ListParagraph"/>
        <w:numPr>
          <w:ilvl w:val="0"/>
          <w:numId w:val="5"/>
        </w:numPr>
        <w:spacing w:after="80"/>
      </w:pPr>
      <w:r>
        <w:t xml:space="preserve">Use the Department's points table for accurate values, because online calculators can be out of date</w:t>
      </w:r>
    </w:p>
    <w:p>
      <w:pPr>
        <w:spacing w:after="160"/>
      </w:pPr>
      <w:r>
        <w:t xml:space="preserve">A high score does not guarantee nomination or sponsorship. States and territories choose applicants based on their own priorities, so even a strong score does not replace a strong fit with a state's needs.</w:t>
      </w:r>
    </w:p>
    <w:p>
      <w:pPr>
        <w:pStyle w:val="Heading2"/>
      </w:pPr>
      <w:r>
        <w:t xml:space="preserve">State and Territory Nomination</w:t>
      </w:r>
    </w:p>
    <w:p>
      <w:pPr>
        <w:spacing w:after="160"/>
      </w:pPr>
      <w:r>
        <w:t xml:space="preserve">State nomination is the most common route to the subclass 491. Each state and territory sets its own rules, occupation lists and processes. Many states publish lists with more occupations for the regional visa than for the permanent one, so the subclass 491 can be open to applicants whose occupations are not eligible elsewhere.</w:t>
      </w:r>
    </w:p>
    <w:p>
      <w:pPr>
        <w:spacing w:after="160"/>
      </w:pPr>
      <w:r>
        <w:t xml:space="preserve">Common features include:</w:t>
      </w:r>
    </w:p>
    <w:p>
      <w:pPr>
        <w:pStyle w:val="ListParagraph"/>
        <w:numPr>
          <w:ilvl w:val="0"/>
          <w:numId w:val="6"/>
        </w:numPr>
        <w:spacing w:after="80"/>
      </w:pPr>
      <w:r>
        <w:t xml:space="preserve">A state occupation list that may be broader than the national list</w:t>
      </w:r>
    </w:p>
    <w:p>
      <w:pPr>
        <w:pStyle w:val="ListParagraph"/>
        <w:numPr>
          <w:ilvl w:val="0"/>
          <w:numId w:val="6"/>
        </w:numPr>
        <w:spacing w:after="80"/>
      </w:pPr>
      <w:r>
        <w:t xml:space="preserve">Different rules for applicants living in the state and those overseas</w:t>
      </w:r>
    </w:p>
    <w:p>
      <w:pPr>
        <w:pStyle w:val="ListParagraph"/>
        <w:numPr>
          <w:ilvl w:val="0"/>
          <w:numId w:val="6"/>
        </w:numPr>
        <w:spacing w:after="80"/>
      </w:pPr>
      <w:r>
        <w:t xml:space="preserve">Requirements for work experience, qualifications or a job offer in the state</w:t>
      </w:r>
    </w:p>
    <w:p>
      <w:pPr>
        <w:pStyle w:val="ListParagraph"/>
        <w:numPr>
          <w:ilvl w:val="0"/>
          <w:numId w:val="6"/>
        </w:numPr>
        <w:spacing w:after="80"/>
      </w:pPr>
      <w:r>
        <w:t xml:space="preserve">A registration or application step before the state decides whether to nominate you</w:t>
      </w:r>
    </w:p>
    <w:p>
      <w:pPr>
        <w:pStyle w:val="ListParagraph"/>
        <w:numPr>
          <w:ilvl w:val="0"/>
          <w:numId w:val="6"/>
        </w:numPr>
        <w:spacing w:after="80"/>
      </w:pPr>
      <w:r>
        <w:t xml:space="preserve">Limited places each program year, which can lead states to open and close pathways</w:t>
      </w:r>
    </w:p>
    <w:p>
      <w:pPr>
        <w:pStyle w:val="ListParagraph"/>
        <w:numPr>
          <w:ilvl w:val="0"/>
          <w:numId w:val="6"/>
        </w:numPr>
        <w:spacing w:after="80"/>
      </w:pPr>
      <w:r>
        <w:t xml:space="preserve">Their own nomination fees and deadlines</w:t>
      </w:r>
    </w:p>
    <w:p>
      <w:pPr>
        <w:spacing w:after="160"/>
      </w:pPr>
      <w:r>
        <w:t xml:space="preserve">Because each state has its own priorities, do your research before you choose where to aim. A state may favour applicants who already live there, who have a job offer or who work in industries it needs. State settings can change during the year, so check the official site of the state you are interested in.</w:t>
      </w:r>
    </w:p>
    <w:p>
      <w:pPr>
        <w:pStyle w:val="Heading2"/>
      </w:pPr>
      <w:r>
        <w:t xml:space="preserve">Family Sponsorship</w:t>
      </w:r>
    </w:p>
    <w:p>
      <w:pPr>
        <w:spacing w:after="160"/>
      </w:pPr>
      <w:r>
        <w:t xml:space="preserve">The subclass 491 can also be reached through sponsorship by an eligible relative. The relative must meet the Department's criteria, which include being an Australian citizen, permanent resident or eligible New Zealand citizen, and living in a designated regional area. The relationship must also be one that the Department recognises for this purpose.</w:t>
      </w:r>
    </w:p>
    <w:p>
      <w:pPr>
        <w:spacing w:after="160"/>
      </w:pPr>
      <w:r>
        <w:t xml:space="preserve">Family sponsored applications have their own rules. The occupation lists can be narrower than the state lists, and invitations come from the Department through SkillSelect rounds rather than from a state. Ask the Department's guidance for the current list and relationship requirements, because they affect whether this route is realistic for you.</w:t>
      </w:r>
    </w:p>
    <w:p>
      <w:pPr>
        <w:spacing w:after="160"/>
      </w:pPr>
      <w:r>
        <w:t xml:space="preserve">Sponsorship is a serious commitment. The sponsor is signalling that they support the applicant's move to regional Australia, and they should understand what that means before agreeing.</w:t>
      </w:r>
    </w:p>
    <w:p>
      <w:pPr>
        <w:pStyle w:val="Heading2"/>
      </w:pPr>
      <w:r>
        <w:t xml:space="preserve">Occupation Lists and Skills Assessments</w:t>
      </w:r>
    </w:p>
    <w:p>
      <w:pPr>
        <w:spacing w:after="160"/>
      </w:pPr>
      <w:r>
        <w:t xml:space="preserve">Your occupation must be on the list that applies to your nomination or sponsorship. Occupation lists have changed in recent years, so confirm the current list on the Home Affairs website and the relevant state site. Material that refers to older lists may be out of date.</w:t>
      </w:r>
    </w:p>
    <w:p>
      <w:pPr>
        <w:spacing w:after="160"/>
      </w:pPr>
      <w:r>
        <w:t xml:space="preserve">Each occupation has an assessing authority. Engineers, IT professionals, accountants, trade workers, teachers and health professionals use different bodies, each with its own rules, fees and processing times. A skills assessment checks that your qualifications and experience match the occupation, and the result can affect both your eligibility and your points.</w:t>
      </w:r>
    </w:p>
    <w:p>
      <w:pPr>
        <w:spacing w:after="160"/>
      </w:pPr>
      <w:r>
        <w:t xml:space="preserve">Practical advice for this stage:</w:t>
      </w:r>
    </w:p>
    <w:p>
      <w:pPr>
        <w:pStyle w:val="ListParagraph"/>
        <w:numPr>
          <w:ilvl w:val="0"/>
          <w:numId w:val="7"/>
        </w:numPr>
        <w:spacing w:after="80"/>
      </w:pPr>
      <w:r>
        <w:t xml:space="preserve">Choose the occupation that genuinely matches your duties, not the one that looks easiest</w:t>
      </w:r>
    </w:p>
    <w:p>
      <w:pPr>
        <w:pStyle w:val="ListParagraph"/>
        <w:numPr>
          <w:ilvl w:val="0"/>
          <w:numId w:val="7"/>
        </w:numPr>
        <w:spacing w:after="80"/>
      </w:pPr>
      <w:r>
        <w:t xml:space="preserve">Read the assessing authority's guidelines before you apply</w:t>
      </w:r>
    </w:p>
    <w:p>
      <w:pPr>
        <w:pStyle w:val="ListParagraph"/>
        <w:numPr>
          <w:ilvl w:val="0"/>
          <w:numId w:val="7"/>
        </w:numPr>
        <w:spacing w:after="80"/>
      </w:pPr>
      <w:r>
        <w:t xml:space="preserve">Gather reference letters, payslips, tax records and contracts that agree with each other</w:t>
      </w:r>
    </w:p>
    <w:p>
      <w:pPr>
        <w:pStyle w:val="ListParagraph"/>
        <w:numPr>
          <w:ilvl w:val="0"/>
          <w:numId w:val="7"/>
        </w:numPr>
        <w:spacing w:after="80"/>
      </w:pPr>
      <w:r>
        <w:t xml:space="preserve">Check that your job titles and duties line up with the occupation description</w:t>
      </w:r>
    </w:p>
    <w:p>
      <w:pPr>
        <w:pStyle w:val="ListParagraph"/>
        <w:numPr>
          <w:ilvl w:val="0"/>
          <w:numId w:val="7"/>
        </w:numPr>
        <w:spacing w:after="80"/>
      </w:pPr>
      <w:r>
        <w:t xml:space="preserve">Allow plenty of time, because some assessments take months</w:t>
      </w:r>
    </w:p>
    <w:p>
      <w:pPr>
        <w:spacing w:after="160"/>
      </w:pPr>
      <w:r>
        <w:t xml:space="preserve">Applicants from Pakistan, India, Bangladesh and Sri Lanka should pay particular attention to employment evidence. Assessors compare reference letters with salary records and tax documents, and a clear explanation with supporting evidence helps where records are informal.</w:t>
      </w:r>
    </w:p>
    <w:p>
      <w:pPr>
        <w:pStyle w:val="Heading2"/>
      </w:pPr>
      <w:r>
        <w:t xml:space="preserve">English Language Requirements</w:t>
      </w:r>
    </w:p>
    <w:p>
      <w:pPr>
        <w:spacing w:after="160"/>
      </w:pPr>
      <w:r>
        <w:t xml:space="preserve">You must have at least competent English to be eligible. Approved tests include IELTS, PTE Academic, TOEFL iBT, OET and Cambridge tests. Higher scores earn extra points, so your English result works as a threshold and a source of points.</w:t>
      </w:r>
    </w:p>
    <w:p>
      <w:pPr>
        <w:spacing w:after="160"/>
      </w:pPr>
      <w:r>
        <w:t xml:space="preserve">Some practical suggestions:</w:t>
      </w:r>
    </w:p>
    <w:p>
      <w:pPr>
        <w:pStyle w:val="ListParagraph"/>
        <w:numPr>
          <w:ilvl w:val="0"/>
          <w:numId w:val="8"/>
        </w:numPr>
        <w:spacing w:after="80"/>
      </w:pPr>
      <w:r>
        <w:t xml:space="preserve">Check how long your test result is valid</w:t>
      </w:r>
    </w:p>
    <w:p>
      <w:pPr>
        <w:pStyle w:val="ListParagraph"/>
        <w:numPr>
          <w:ilvl w:val="0"/>
          <w:numId w:val="8"/>
        </w:numPr>
        <w:spacing w:after="80"/>
      </w:pPr>
      <w:r>
        <w:t xml:space="preserve">Book your test early so there is time to resit if needed</w:t>
      </w:r>
    </w:p>
    <w:p>
      <w:pPr>
        <w:pStyle w:val="ListParagraph"/>
        <w:numPr>
          <w:ilvl w:val="0"/>
          <w:numId w:val="8"/>
        </w:numPr>
        <w:spacing w:after="80"/>
      </w:pPr>
      <w:r>
        <w:t xml:space="preserve">Some assessing authorities and states set their own English requirements, so check them as well</w:t>
      </w:r>
    </w:p>
    <w:p>
      <w:pPr>
        <w:pStyle w:val="ListParagraph"/>
        <w:numPr>
          <w:ilvl w:val="0"/>
          <w:numId w:val="8"/>
        </w:numPr>
        <w:spacing w:after="80"/>
      </w:pPr>
      <w:r>
        <w:t xml:space="preserve">Family members aged 18 and over may be asked to show English ability, or an additional charge may apply if functional English is not demonstrated</w:t>
      </w:r>
    </w:p>
    <w:p>
      <w:pPr>
        <w:pStyle w:val="Heading2"/>
      </w:pPr>
      <w:r>
        <w:t xml:space="preserve">Designated Regional Areas and What Regional Living Means</w:t>
      </w:r>
    </w:p>
    <w:p>
      <w:pPr>
        <w:spacing w:after="160"/>
      </w:pPr>
      <w:r>
        <w:t xml:space="preserve">The regional requirement is the defining feature of this visa. Designated regional areas cover much of Australia outside the largest cities. Sydney, Melbourne and Brisbane are generally excluded, while many other cities and towns, including some state capitals, can count as regional. The exact list is set by postcode, so check the Home Affairs list before you plan where to live and work.</w:t>
      </w:r>
    </w:p>
    <w:p>
      <w:pPr>
        <w:spacing w:after="160"/>
      </w:pPr>
      <w:r>
        <w:t xml:space="preserve">Why this matters:</w:t>
      </w:r>
    </w:p>
    <w:p>
      <w:pPr>
        <w:pStyle w:val="ListParagraph"/>
        <w:numPr>
          <w:ilvl w:val="0"/>
          <w:numId w:val="9"/>
        </w:numPr>
        <w:spacing w:after="80"/>
      </w:pPr>
      <w:r>
        <w:t xml:space="preserve">The visa is granted on the basis that you will live, work and study in a designated regional area</w:t>
      </w:r>
    </w:p>
    <w:p>
      <w:pPr>
        <w:pStyle w:val="ListParagraph"/>
        <w:numPr>
          <w:ilvl w:val="0"/>
          <w:numId w:val="9"/>
        </w:numPr>
        <w:spacing w:after="80"/>
      </w:pPr>
      <w:r>
        <w:t xml:space="preserve">Time spent in excluded areas may not count towards your pathway to permanent residence</w:t>
      </w:r>
    </w:p>
    <w:p>
      <w:pPr>
        <w:pStyle w:val="ListParagraph"/>
        <w:numPr>
          <w:ilvl w:val="0"/>
          <w:numId w:val="9"/>
        </w:numPr>
        <w:spacing w:after="80"/>
      </w:pPr>
      <w:r>
        <w:t xml:space="preserve">Moving to a different region can be allowed as long as the new location is also designated regional, but you should confirm before you move</w:t>
      </w:r>
    </w:p>
    <w:p>
      <w:pPr>
        <w:pStyle w:val="ListParagraph"/>
        <w:numPr>
          <w:ilvl w:val="0"/>
          <w:numId w:val="9"/>
        </w:numPr>
        <w:spacing w:after="80"/>
      </w:pPr>
      <w:r>
        <w:t xml:space="preserve">Employers, housing and services can be very different from a major city, so research the area first</w:t>
      </w:r>
    </w:p>
    <w:p>
      <w:pPr>
        <w:spacing w:after="160"/>
      </w:pPr>
      <w:r>
        <w:t xml:space="preserve">Think carefully about whether you and your family are ready for regional life. People who move to a town where they have no job, community or housing prospects often struggle, and a plan that looks good on paper may be hard to sustain for five years.</w:t>
      </w:r>
    </w:p>
    <w:p>
      <w:pPr>
        <w:pStyle w:val="Heading2"/>
      </w:pPr>
      <w:r>
        <w:t xml:space="preserve">Documents Checklist</w:t>
      </w:r>
    </w:p>
    <w:p>
      <w:pPr>
        <w:spacing w:after="160"/>
      </w:pPr>
      <w:r>
        <w:t xml:space="preserve">You will need documents at several stages, from the skills assessment to the nomination to the visa application. A solid checklist includes:</w:t>
      </w:r>
    </w:p>
    <w:p>
      <w:pPr>
        <w:pStyle w:val="ListParagraph"/>
        <w:numPr>
          <w:ilvl w:val="0"/>
          <w:numId w:val="10"/>
        </w:numPr>
        <w:spacing w:after="80"/>
      </w:pPr>
      <w:r>
        <w:t xml:space="preserve">Passport and identity documents for you and every family member in the application</w:t>
      </w:r>
    </w:p>
    <w:p>
      <w:pPr>
        <w:pStyle w:val="ListParagraph"/>
        <w:numPr>
          <w:ilvl w:val="0"/>
          <w:numId w:val="10"/>
        </w:numPr>
        <w:spacing w:after="80"/>
      </w:pPr>
      <w:r>
        <w:t xml:space="preserve">Skills assessment outcome letter</w:t>
      </w:r>
    </w:p>
    <w:p>
      <w:pPr>
        <w:pStyle w:val="ListParagraph"/>
        <w:numPr>
          <w:ilvl w:val="0"/>
          <w:numId w:val="10"/>
        </w:numPr>
        <w:spacing w:after="80"/>
      </w:pPr>
      <w:r>
        <w:t xml:space="preserve">English test results valid at the time of lodgement</w:t>
      </w:r>
    </w:p>
    <w:p>
      <w:pPr>
        <w:pStyle w:val="ListParagraph"/>
        <w:numPr>
          <w:ilvl w:val="0"/>
          <w:numId w:val="10"/>
        </w:numPr>
        <w:spacing w:after="80"/>
      </w:pPr>
      <w:r>
        <w:t xml:space="preserve">Academic transcripts and degree certificates</w:t>
      </w:r>
    </w:p>
    <w:p>
      <w:pPr>
        <w:pStyle w:val="ListParagraph"/>
        <w:numPr>
          <w:ilvl w:val="0"/>
          <w:numId w:val="10"/>
        </w:numPr>
        <w:spacing w:after="80"/>
      </w:pPr>
      <w:r>
        <w:t xml:space="preserve">Employment evidence such as reference letters, contracts, payslips, tax records and bank statements</w:t>
      </w:r>
    </w:p>
    <w:p>
      <w:pPr>
        <w:pStyle w:val="ListParagraph"/>
        <w:numPr>
          <w:ilvl w:val="0"/>
          <w:numId w:val="10"/>
        </w:numPr>
        <w:spacing w:after="80"/>
      </w:pPr>
      <w:r>
        <w:t xml:space="preserve">Evidence of other points claims, such as partner skills or study in Australia</w:t>
      </w:r>
    </w:p>
    <w:p>
      <w:pPr>
        <w:pStyle w:val="ListParagraph"/>
        <w:numPr>
          <w:ilvl w:val="0"/>
          <w:numId w:val="10"/>
        </w:numPr>
        <w:spacing w:after="80"/>
      </w:pPr>
      <w:r>
        <w:t xml:space="preserve">State nomination approval or the sponsorship details and the sponsor's evidence</w:t>
      </w:r>
    </w:p>
    <w:p>
      <w:pPr>
        <w:pStyle w:val="ListParagraph"/>
        <w:numPr>
          <w:ilvl w:val="0"/>
          <w:numId w:val="10"/>
        </w:numPr>
        <w:spacing w:after="80"/>
      </w:pPr>
      <w:r>
        <w:t xml:space="preserve">Your SkillSelect invitation details</w:t>
      </w:r>
    </w:p>
    <w:p>
      <w:pPr>
        <w:pStyle w:val="ListParagraph"/>
        <w:numPr>
          <w:ilvl w:val="0"/>
          <w:numId w:val="10"/>
        </w:numPr>
        <w:spacing w:after="80"/>
      </w:pPr>
      <w:r>
        <w:t xml:space="preserve">Relationship documents, including marriage certificates and birth certificates for children</w:t>
      </w:r>
    </w:p>
    <w:p>
      <w:pPr>
        <w:pStyle w:val="ListParagraph"/>
        <w:numPr>
          <w:ilvl w:val="0"/>
          <w:numId w:val="10"/>
        </w:numPr>
        <w:spacing w:after="80"/>
      </w:pPr>
      <w:r>
        <w:t xml:space="preserve">Police certificates from each country where you have lived for the required period</w:t>
      </w:r>
    </w:p>
    <w:p>
      <w:pPr>
        <w:pStyle w:val="ListParagraph"/>
        <w:numPr>
          <w:ilvl w:val="0"/>
          <w:numId w:val="10"/>
        </w:numPr>
        <w:spacing w:after="80"/>
      </w:pPr>
      <w:r>
        <w:t xml:space="preserve">Health examination results when requested</w:t>
      </w:r>
    </w:p>
    <w:p>
      <w:pPr>
        <w:pStyle w:val="ListParagraph"/>
        <w:numPr>
          <w:ilvl w:val="0"/>
          <w:numId w:val="10"/>
        </w:numPr>
        <w:spacing w:after="80"/>
      </w:pPr>
      <w:r>
        <w:t xml:space="preserve">Certified English translations of any document that is not in English</w:t>
      </w:r>
    </w:p>
    <w:p>
      <w:pPr>
        <w:spacing w:after="160"/>
      </w:pPr>
      <w:r>
        <w:t xml:space="preserve">Names, dates and employment periods must match across documents. A mismatch between your passport, employment letters and assessment can trigger extra questions and delays, so check them before you lodge.</w:t>
      </w:r>
    </w:p>
    <w:p>
      <w:pPr>
        <w:pStyle w:val="Heading2"/>
      </w:pPr>
      <w:r>
        <w:t xml:space="preserve">How to Apply Step by Step</w:t>
      </w:r>
    </w:p>
    <w:p>
      <w:pPr>
        <w:spacing w:after="160"/>
      </w:pPr>
      <w:r>
        <w:t xml:space="preserve">The usual sequence for the subclass 491 is below.</w:t>
      </w:r>
    </w:p>
    <w:p>
      <w:pPr>
        <w:pStyle w:val="ListParagraph"/>
        <w:numPr>
          <w:ilvl w:val="0"/>
          <w:numId w:val="11"/>
        </w:numPr>
        <w:spacing w:after="80"/>
      </w:pPr>
      <w:r>
        <w:t xml:space="preserve">Identify your occupation and confirm which states or sponsors may support it.</w:t>
      </w:r>
    </w:p>
    <w:p>
      <w:pPr>
        <w:pStyle w:val="ListParagraph"/>
        <w:numPr>
          <w:ilvl w:val="0"/>
          <w:numId w:val="11"/>
        </w:numPr>
        <w:spacing w:after="80"/>
      </w:pPr>
      <w:r>
        <w:t xml:space="preserve">Check your points score, including the 15 points for nomination or sponsorship, and see what you can improve.</w:t>
      </w:r>
    </w:p>
    <w:p>
      <w:pPr>
        <w:pStyle w:val="ListParagraph"/>
        <w:numPr>
          <w:ilvl w:val="0"/>
          <w:numId w:val="11"/>
        </w:numPr>
        <w:spacing w:after="80"/>
      </w:pPr>
      <w:r>
        <w:t xml:space="preserve">Apply for a skills assessment with the correct assessing authority.</w:t>
      </w:r>
    </w:p>
    <w:p>
      <w:pPr>
        <w:pStyle w:val="ListParagraph"/>
        <w:numPr>
          <w:ilvl w:val="0"/>
          <w:numId w:val="11"/>
        </w:numPr>
        <w:spacing w:after="80"/>
      </w:pPr>
      <w:r>
        <w:t xml:space="preserve">Sit an approved English test if you do not already have a valid result.</w:t>
      </w:r>
    </w:p>
    <w:p>
      <w:pPr>
        <w:pStyle w:val="ListParagraph"/>
        <w:numPr>
          <w:ilvl w:val="0"/>
          <w:numId w:val="11"/>
        </w:numPr>
        <w:spacing w:after="80"/>
      </w:pPr>
      <w:r>
        <w:t xml:space="preserve">Submit an expression of interest in SkillSelect for the subclass 491.</w:t>
      </w:r>
    </w:p>
    <w:p>
      <w:pPr>
        <w:pStyle w:val="ListParagraph"/>
        <w:numPr>
          <w:ilvl w:val="0"/>
          <w:numId w:val="11"/>
        </w:numPr>
        <w:spacing w:after="80"/>
      </w:pPr>
      <w:r>
        <w:t xml:space="preserve">Follow the state or territory process, or arrange family sponsorship, including any registration or nomination application and fee.</w:t>
      </w:r>
    </w:p>
    <w:p>
      <w:pPr>
        <w:pStyle w:val="ListParagraph"/>
        <w:numPr>
          <w:ilvl w:val="0"/>
          <w:numId w:val="11"/>
        </w:numPr>
        <w:spacing w:after="80"/>
      </w:pPr>
      <w:r>
        <w:t xml:space="preserve">Receive the nomination or sponsorship and the Department's invitation to apply.</w:t>
      </w:r>
    </w:p>
    <w:p>
      <w:pPr>
        <w:pStyle w:val="ListParagraph"/>
        <w:numPr>
          <w:ilvl w:val="0"/>
          <w:numId w:val="11"/>
        </w:numPr>
        <w:spacing w:after="80"/>
      </w:pPr>
      <w:r>
        <w:t xml:space="preserve">Lodge the visa application through ImmiAccount within the time limit.</w:t>
      </w:r>
    </w:p>
    <w:p>
      <w:pPr>
        <w:pStyle w:val="ListParagraph"/>
        <w:numPr>
          <w:ilvl w:val="0"/>
          <w:numId w:val="11"/>
        </w:numPr>
        <w:spacing w:after="80"/>
      </w:pPr>
      <w:r>
        <w:t xml:space="preserve">Pay the visa application charge.</w:t>
      </w:r>
    </w:p>
    <w:p>
      <w:pPr>
        <w:pStyle w:val="ListParagraph"/>
        <w:numPr>
          <w:ilvl w:val="0"/>
          <w:numId w:val="11"/>
        </w:numPr>
        <w:spacing w:after="80"/>
      </w:pPr>
      <w:r>
        <w:t xml:space="preserve">Complete health examinations and biometrics if requested, and provide police certificates.</w:t>
      </w:r>
    </w:p>
    <w:p>
      <w:pPr>
        <w:pStyle w:val="ListParagraph"/>
        <w:numPr>
          <w:ilvl w:val="0"/>
          <w:numId w:val="11"/>
        </w:numPr>
        <w:spacing w:after="80"/>
      </w:pPr>
      <w:r>
        <w:t xml:space="preserve">Respond promptly to requests for more information and wait for the decision.</w:t>
      </w:r>
    </w:p>
    <w:p>
      <w:pPr>
        <w:pStyle w:val="Heading2"/>
      </w:pPr>
      <w:r>
        <w:t xml:space="preserve">Invitation Rounds and Timing</w:t>
      </w:r>
    </w:p>
    <w:p>
      <w:pPr>
        <w:spacing w:after="160"/>
      </w:pPr>
      <w:r>
        <w:t xml:space="preserve">For state or territory nominated applicants, the state decides whether to nominate you and the invitation follows the nomination. For family sponsored applicants, invitations come from the Department through SkillSelect rounds. There is no single national schedule that covers every route, so timing depends on your pathway.</w:t>
      </w:r>
    </w:p>
    <w:p>
      <w:pPr>
        <w:spacing w:after="160"/>
      </w:pPr>
      <w:r>
        <w:t xml:space="preserve">Invitations depend on factors such as points, occupation, state priorities and available places. Two applicants with the same score can have different outcomes. Keep your EOI accurate, watch for state announcements and check the official SkillSelect page for rounds that apply to your pathway.</w:t>
      </w:r>
    </w:p>
    <w:p>
      <w:pPr>
        <w:spacing w:after="160"/>
      </w:pPr>
      <w:r>
        <w:t xml:space="preserve">After an invitation you generally have a limited period to lodge, and the period cannot be extended, so prepare your evidence before the invitation arrives.</w:t>
      </w:r>
    </w:p>
    <w:p>
      <w:pPr>
        <w:pStyle w:val="Heading2"/>
      </w:pPr>
      <w:r>
        <w:t xml:space="preserve">Visa Costs and Related Expenses</w:t>
      </w:r>
    </w:p>
    <w:p>
      <w:pPr>
        <w:spacing w:after="160"/>
      </w:pPr>
      <w:r>
        <w:t xml:space="preserve">The visa application charge changed on 1 July 2026. Migration sources report that the subclass 491 base charge for the primary applicant is now AUD 6,140, up from AUD 4,910, with AUD 3,070 for each additional applicant aged 18 or over and AUD 1,535 for each additional applicant under 18. These figures come from fee tracking sources, so please confirm the exact amounts in the Visa Pricing Estimator before you pay.</w:t>
      </w:r>
    </w:p>
    <w:p>
      <w:pPr>
        <w:spacing w:after="160"/>
      </w:pPr>
      <w:r>
        <w:t xml:space="preserve">The visa charge is only one part of the total cost. Budget also for:</w:t>
      </w:r>
    </w:p>
    <w:p>
      <w:pPr>
        <w:pStyle w:val="ListParagraph"/>
        <w:numPr>
          <w:ilvl w:val="0"/>
          <w:numId w:val="12"/>
        </w:numPr>
        <w:spacing w:after="80"/>
      </w:pPr>
      <w:r>
        <w:t xml:space="preserve">The skills assessment fee</w:t>
      </w:r>
    </w:p>
    <w:p>
      <w:pPr>
        <w:pStyle w:val="ListParagraph"/>
        <w:numPr>
          <w:ilvl w:val="0"/>
          <w:numId w:val="12"/>
        </w:numPr>
        <w:spacing w:after="80"/>
      </w:pPr>
      <w:r>
        <w:t xml:space="preserve">English test fees and possible resits</w:t>
      </w:r>
    </w:p>
    <w:p>
      <w:pPr>
        <w:pStyle w:val="ListParagraph"/>
        <w:numPr>
          <w:ilvl w:val="0"/>
          <w:numId w:val="12"/>
        </w:numPr>
        <w:spacing w:after="80"/>
      </w:pPr>
      <w:r>
        <w:t xml:space="preserve">State nomination fees, which vary by state</w:t>
      </w:r>
    </w:p>
    <w:p>
      <w:pPr>
        <w:pStyle w:val="ListParagraph"/>
        <w:numPr>
          <w:ilvl w:val="0"/>
          <w:numId w:val="12"/>
        </w:numPr>
        <w:spacing w:after="80"/>
      </w:pPr>
      <w:r>
        <w:t xml:space="preserve">Health examinations and police certificates</w:t>
      </w:r>
    </w:p>
    <w:p>
      <w:pPr>
        <w:pStyle w:val="ListParagraph"/>
        <w:numPr>
          <w:ilvl w:val="0"/>
          <w:numId w:val="12"/>
        </w:numPr>
        <w:spacing w:after="80"/>
      </w:pPr>
      <w:r>
        <w:t xml:space="preserve">Certified translations and document preparation</w:t>
      </w:r>
    </w:p>
    <w:p>
      <w:pPr>
        <w:pStyle w:val="ListParagraph"/>
        <w:numPr>
          <w:ilvl w:val="0"/>
          <w:numId w:val="12"/>
        </w:numPr>
        <w:spacing w:after="80"/>
      </w:pPr>
      <w:r>
        <w:t xml:space="preserve">Professional assistance, if you choose to use it</w:t>
      </w:r>
    </w:p>
    <w:p>
      <w:pPr>
        <w:pStyle w:val="ListParagraph"/>
        <w:numPr>
          <w:ilvl w:val="0"/>
          <w:numId w:val="12"/>
        </w:numPr>
        <w:spacing w:after="80"/>
      </w:pPr>
      <w:r>
        <w:t xml:space="preserve">Relocation and the cost of settling in a regional area</w:t>
      </w:r>
    </w:p>
    <w:p>
      <w:pPr>
        <w:spacing w:after="160"/>
      </w:pPr>
      <w:r>
        <w:t xml:space="preserve">Charges are not refunded if your application is refused. Planning the full budget helps you avoid surprises, particularly if your family will move with you.</w:t>
      </w:r>
    </w:p>
    <w:p>
      <w:pPr>
        <w:pStyle w:val="Heading2"/>
      </w:pPr>
      <w:r>
        <w:t xml:space="preserve">Processing Time Guidance</w:t>
      </w:r>
    </w:p>
    <w:p>
      <w:pPr>
        <w:spacing w:after="160"/>
      </w:pPr>
      <w:r>
        <w:t xml:space="preserve">Processing time for the subclass 491 varies, and different websites quote different ranges. Home Affairs publishes a global processing times tool that reflects recently decided applications. It is the right place to check, but it shows how earlier cases were handled, not how yours will be. Processing priorities set by the Department can also affect which applications are decided first.</w:t>
      </w:r>
    </w:p>
    <w:p>
      <w:pPr>
        <w:spacing w:after="160"/>
      </w:pPr>
      <w:r>
        <w:t xml:space="preserve">Remember that the visa decision is only the last step. Skills assessment, waiting for nomination or sponsorship, and the invitation can take many months before the visa application even begins. A realistic plan considers the whole journey.</w:t>
      </w:r>
    </w:p>
    <w:p>
      <w:pPr>
        <w:pStyle w:val="Heading2"/>
      </w:pPr>
      <w:r>
        <w:t xml:space="preserve">Pathway to Permanent Residency Through the Subclass 191</w:t>
      </w:r>
    </w:p>
    <w:p>
      <w:pPr>
        <w:spacing w:after="160"/>
      </w:pPr>
      <w:r>
        <w:t xml:space="preserve">The subclass 191 is the permanent visa that many 491 holders aim for. In general, you need to have held the subclass 491 for at least three years, lived and worked in a designated regional area for that time, and meet health and character requirements. Tax records from the Australian Taxation Office are usually needed to show your history.</w:t>
      </w:r>
    </w:p>
    <w:p>
      <w:pPr>
        <w:spacing w:after="160"/>
      </w:pPr>
      <w:r>
        <w:t xml:space="preserve">Some sources report an income requirement, with a figure of around AUD 53,900 a year, while others describe different rules for different visa holders. Because the conditions have changed over time, please check the current requirements on the Home Affairs website before you rely on any figure. A good habit is to keep payslips, tax returns and records of where you live and work from the first day.</w:t>
      </w:r>
    </w:p>
    <w:p>
      <w:pPr>
        <w:spacing w:after="160"/>
      </w:pPr>
      <w:r>
        <w:t xml:space="preserve">A few practical points follow.</w:t>
      </w:r>
    </w:p>
    <w:p>
      <w:pPr>
        <w:pStyle w:val="ListParagraph"/>
        <w:numPr>
          <w:ilvl w:val="0"/>
          <w:numId w:val="13"/>
        </w:numPr>
        <w:spacing w:after="80"/>
      </w:pPr>
      <w:r>
        <w:t xml:space="preserve">Keep your tax returns up to date and consistent with your work history</w:t>
      </w:r>
    </w:p>
    <w:p>
      <w:pPr>
        <w:pStyle w:val="ListParagraph"/>
        <w:numPr>
          <w:ilvl w:val="0"/>
          <w:numId w:val="13"/>
        </w:numPr>
        <w:spacing w:after="80"/>
      </w:pPr>
      <w:r>
        <w:t xml:space="preserve">Avoid long periods without work or income if you can</w:t>
      </w:r>
    </w:p>
    <w:p>
      <w:pPr>
        <w:pStyle w:val="ListParagraph"/>
        <w:numPr>
          <w:ilvl w:val="0"/>
          <w:numId w:val="13"/>
        </w:numPr>
        <w:spacing w:after="80"/>
      </w:pPr>
      <w:r>
        <w:t xml:space="preserve">Do not assume you can move to a major city without affecting your pathway</w:t>
      </w:r>
    </w:p>
    <w:p>
      <w:pPr>
        <w:pStyle w:val="ListParagraph"/>
        <w:numPr>
          <w:ilvl w:val="0"/>
          <w:numId w:val="13"/>
        </w:numPr>
        <w:spacing w:after="80"/>
      </w:pPr>
      <w:r>
        <w:t xml:space="preserve">Plan ahead for the 191 application, because it is a separate application with its own charge and requirements</w:t>
      </w:r>
    </w:p>
    <w:p>
      <w:pPr>
        <w:spacing w:after="160"/>
      </w:pPr>
      <w:r>
        <w:t xml:space="preserve">The subclass 191 is not automatic. Holders who do not meet the requirements may not be able to transition, so treat the pathway as a goal that needs planning, not a guarantee.</w:t>
      </w:r>
    </w:p>
    <w:p>
      <w:pPr>
        <w:pStyle w:val="Heading2"/>
      </w:pPr>
      <w:r>
        <w:t xml:space="preserve">Subclass 491 Compared With Other Pathways</w:t>
      </w:r>
    </w:p>
    <w:p>
      <w:pPr>
        <w:spacing w:after="160"/>
      </w:pPr>
      <w:r>
        <w:t xml:space="preserve">Many skilled applicants consider several pathways, so a quick comparison helps.</w:t>
      </w:r>
    </w:p>
    <w:p>
      <w:pPr>
        <w:pStyle w:val="ListParagraph"/>
        <w:numPr>
          <w:ilvl w:val="0"/>
          <w:numId w:val="14"/>
        </w:numPr>
        <w:spacing w:after="80"/>
      </w:pPr>
      <w:r>
        <w:t xml:space="preserve">**Skilled Independent visa subclass 189.** Permanent from the start and no nomination needed, but invitations go to highly ranked applicants and competition is strong.</w:t>
      </w:r>
    </w:p>
    <w:p>
      <w:pPr>
        <w:pStyle w:val="ListParagraph"/>
        <w:numPr>
          <w:ilvl w:val="0"/>
          <w:numId w:val="14"/>
        </w:numPr>
        <w:spacing w:after="80"/>
      </w:pPr>
      <w:r>
        <w:t xml:space="preserve">**Skilled Nominated visa subclass 190.** Permanent and requires state nomination, which adds fewer points than the 491 bonus.</w:t>
      </w:r>
    </w:p>
    <w:p>
      <w:pPr>
        <w:pStyle w:val="ListParagraph"/>
        <w:numPr>
          <w:ilvl w:val="0"/>
          <w:numId w:val="14"/>
        </w:numPr>
        <w:spacing w:after="80"/>
      </w:pPr>
      <w:r>
        <w:t xml:space="preserve">**Skilled Work Regional visa subclass 491.** Provisional, with a larger points bonus and a regional condition, leading to permanent residence through the subclass 191.</w:t>
      </w:r>
    </w:p>
    <w:p>
      <w:pPr>
        <w:pStyle w:val="ListParagraph"/>
        <w:numPr>
          <w:ilvl w:val="0"/>
          <w:numId w:val="14"/>
        </w:numPr>
        <w:spacing w:after="80"/>
      </w:pPr>
      <w:r>
        <w:t xml:space="preserve">**Employer sponsored visas.** Based on a job offer rather than on points.</w:t>
      </w:r>
    </w:p>
    <w:p>
      <w:pPr>
        <w:spacing w:after="160"/>
      </w:pPr>
      <w:r>
        <w:t xml:space="preserve">The right choice depends on your points, your occupation, your family situation and how willing you are to live in a regional area for several years. Some applicants submit an EOI for more than one visa so they can be considered under several pathways.</w:t>
      </w:r>
    </w:p>
    <w:p>
      <w:pPr>
        <w:pStyle w:val="Heading2"/>
      </w:pPr>
      <w:r>
        <w:t xml:space="preserve">Common Reasons Applications Are Refused</w:t>
      </w:r>
    </w:p>
    <w:p>
      <w:pPr>
        <w:spacing w:after="160"/>
      </w:pPr>
      <w:r>
        <w:t xml:space="preserve">Refusals and failed applications come from a limited number of causes. Understanding them helps you avoid avoidable mistakes.</w:t>
      </w:r>
    </w:p>
    <w:p>
      <w:pPr>
        <w:pStyle w:val="ListParagraph"/>
        <w:numPr>
          <w:ilvl w:val="0"/>
          <w:numId w:val="15"/>
        </w:numPr>
        <w:spacing w:after="80"/>
      </w:pPr>
      <w:r>
        <w:t xml:space="preserve">Points claimed in the EOI cannot be proven at the time of application</w:t>
      </w:r>
    </w:p>
    <w:p>
      <w:pPr>
        <w:pStyle w:val="ListParagraph"/>
        <w:numPr>
          <w:ilvl w:val="0"/>
          <w:numId w:val="15"/>
        </w:numPr>
        <w:spacing w:after="80"/>
      </w:pPr>
      <w:r>
        <w:t xml:space="preserve">A skills assessment that does not match the nominated occupation, or one that has expired</w:t>
      </w:r>
    </w:p>
    <w:p>
      <w:pPr>
        <w:pStyle w:val="ListParagraph"/>
        <w:numPr>
          <w:ilvl w:val="0"/>
          <w:numId w:val="15"/>
        </w:numPr>
        <w:spacing w:after="80"/>
      </w:pPr>
      <w:r>
        <w:t xml:space="preserve">English test results that do not meet the required level or are no longer valid</w:t>
      </w:r>
    </w:p>
    <w:p>
      <w:pPr>
        <w:pStyle w:val="ListParagraph"/>
        <w:numPr>
          <w:ilvl w:val="0"/>
          <w:numId w:val="15"/>
        </w:numPr>
        <w:spacing w:after="80"/>
      </w:pPr>
      <w:r>
        <w:t xml:space="preserve">Employment evidence that is inconsistent, vague or unverifiable</w:t>
      </w:r>
    </w:p>
    <w:p>
      <w:pPr>
        <w:pStyle w:val="ListParagraph"/>
        <w:numPr>
          <w:ilvl w:val="0"/>
          <w:numId w:val="15"/>
        </w:numPr>
        <w:spacing w:after="80"/>
      </w:pPr>
      <w:r>
        <w:t xml:space="preserve">A nomination or sponsorship that is withdrawn or does not match the application</w:t>
      </w:r>
    </w:p>
    <w:p>
      <w:pPr>
        <w:pStyle w:val="ListParagraph"/>
        <w:numPr>
          <w:ilvl w:val="0"/>
          <w:numId w:val="15"/>
        </w:numPr>
        <w:spacing w:after="80"/>
      </w:pPr>
      <w:r>
        <w:t xml:space="preserve">Being over the age limit when invited</w:t>
      </w:r>
    </w:p>
    <w:p>
      <w:pPr>
        <w:pStyle w:val="ListParagraph"/>
        <w:numPr>
          <w:ilvl w:val="0"/>
          <w:numId w:val="15"/>
        </w:numPr>
        <w:spacing w:after="80"/>
      </w:pPr>
      <w:r>
        <w:t xml:space="preserve">Missing the deadline to lodge after an invitation</w:t>
      </w:r>
    </w:p>
    <w:p>
      <w:pPr>
        <w:pStyle w:val="ListParagraph"/>
        <w:numPr>
          <w:ilvl w:val="0"/>
          <w:numId w:val="15"/>
        </w:numPr>
        <w:spacing w:after="80"/>
      </w:pPr>
      <w:r>
        <w:t xml:space="preserve">Health or character concerns that are not resolved</w:t>
      </w:r>
    </w:p>
    <w:p>
      <w:pPr>
        <w:pStyle w:val="ListParagraph"/>
        <w:numPr>
          <w:ilvl w:val="0"/>
          <w:numId w:val="15"/>
        </w:numPr>
        <w:spacing w:after="80"/>
      </w:pPr>
      <w:r>
        <w:t xml:space="preserve">Incomplete or inconsistent documents, including mismatched names and dates</w:t>
      </w:r>
    </w:p>
    <w:p>
      <w:pPr>
        <w:pStyle w:val="ListParagraph"/>
        <w:numPr>
          <w:ilvl w:val="0"/>
          <w:numId w:val="15"/>
        </w:numPr>
        <w:spacing w:after="80"/>
      </w:pPr>
      <w:r>
        <w:t xml:space="preserve">False or misleading information, which can have serious long term consequences</w:t>
      </w:r>
    </w:p>
    <w:p>
      <w:pPr>
        <w:spacing w:after="160"/>
      </w:pPr>
      <w:r>
        <w:t xml:space="preserve">Many of these are fixable before you lodge. Treat your EOI as a legal declaration, keep an evidence file for every claim and recheck your points before you apply.</w:t>
      </w:r>
    </w:p>
    <w:p>
      <w:pPr>
        <w:pStyle w:val="Heading2"/>
      </w:pPr>
      <w:r>
        <w:t xml:space="preserve">Considerations for Applicants From South Asia and Europe</w:t>
      </w:r>
    </w:p>
    <w:p>
      <w:pPr>
        <w:spacing w:after="160"/>
      </w:pPr>
      <w:r>
        <w:t xml:space="preserve">Pakistani and Indian applicants often face the same practical challenges: documenting years of experience from employers who issue informal letters, obtaining police certificates and attested documents, arranging translations, and managing long lead times for assessments. Start collecting evidence early and describe your roles and dates consistently across every document.</w:t>
      </w:r>
    </w:p>
    <w:p>
      <w:pPr>
        <w:spacing w:after="160"/>
      </w:pPr>
      <w:r>
        <w:t xml:space="preserve">Applicants from Bangladesh and Sri Lanka face similar issues and should check that the assessing authority they plan to use accepts their qualifications and occupation. European applicants commonly have strong English and well recognised qualifications, but they should still check state requirements, because states can prioritise people with a connection to their region.</w:t>
      </w:r>
    </w:p>
    <w:p>
      <w:pPr>
        <w:spacing w:after="160"/>
      </w:pPr>
      <w:r>
        <w:t xml:space="preserve">No country has a separate set of rules for the subclass 491. What matters is your occupation, evidence, points and your willingness to build a life in a regional area.</w:t>
      </w:r>
    </w:p>
    <w:p>
      <w:pPr>
        <w:pStyle w:val="Heading2"/>
      </w:pPr>
      <w:r>
        <w:t xml:space="preserve">How Professional Help Can Assist</w:t>
      </w:r>
    </w:p>
    <w:p>
      <w:pPr>
        <w:spacing w:after="160"/>
      </w:pPr>
      <w:r>
        <w:t xml:space="preserve">A migration professional cannot change the rules, guarantee a nomination or make the Department invite you sooner. What a good adviser can do is help you choose an occupation and assessing body, calculate points honestly, identify which states may suit your profile, compare the subclass 491 with other pathways, plan evidence for the assessment and visa stages, check documents for consistency and advise you on what to do if your circumstances change.</w:t>
      </w:r>
    </w:p>
    <w:p>
      <w:pPr>
        <w:spacing w:after="160"/>
      </w:pPr>
      <w:r>
        <w:t xml:space="preserve">This review is most useful before you pay for assessments, tests and fees, because many of those costs cannot be recovered if your plan does not work. Make sure anyone you pay for immigration advice in Australia is appropriately authorised, and ask to see their registration details.</w:t>
      </w:r>
    </w:p>
    <w:p>
      <w:pPr>
        <w:pStyle w:val="Heading2"/>
      </w:pPr>
      <w:r>
        <w:t xml:space="preserve">Why Consider Migration Factor</w:t>
      </w:r>
    </w:p>
    <w:p>
      <w:pPr>
        <w:spacing w:after="160"/>
      </w:pPr>
      <w:r>
        <w:t xml:space="preserve">Migration Factor provides information and assistance on Australian visa pathways, including skilled migration. We offer a free consultation where you can talk through your occupation, points, documents and options before deciding on your next step. To arrange one, use [INSERT VERIFIED CONSULTATION URL].</w:t>
      </w:r>
    </w:p>
    <w:p>
      <w:pPr>
        <w:pStyle w:val="Heading2"/>
      </w:pPr>
      <w:r>
        <w:t xml:space="preserve">Frequently Asked Questions</w:t>
      </w:r>
    </w:p>
    <w:p>
      <w:pPr>
        <w:pStyle w:val="Heading3"/>
      </w:pPr>
      <w:r>
        <w:t xml:space="preserve">What is the Skilled Work Regional Visa Subclass 491?</w:t>
      </w:r>
    </w:p>
    <w:p>
      <w:pPr>
        <w:spacing w:after="160"/>
      </w:pPr>
      <w:r>
        <w:t xml:space="preserve">It is a five year provisional visa for skilled workers who live, work and study in designated regional areas of Australia. It requires state or territory nomination or sponsorship by an eligible relative.</w:t>
      </w:r>
    </w:p>
    <w:p>
      <w:pPr>
        <w:pStyle w:val="Heading3"/>
      </w:pPr>
      <w:r>
        <w:t xml:space="preserve">What are the subclass 491 visa requirements?</w:t>
      </w:r>
    </w:p>
    <w:p>
      <w:pPr>
        <w:spacing w:after="160"/>
      </w:pPr>
      <w:r>
        <w:t xml:space="preserve">You need nomination or eligible family sponsorship, a positive skills assessment, to be under 45 when invited, competent English, enough points, an invitation through SkillSelect and to meet health and character requirements.</w:t>
      </w:r>
    </w:p>
    <w:p>
      <w:pPr>
        <w:pStyle w:val="Heading3"/>
      </w:pPr>
      <w:r>
        <w:t xml:space="preserve">How does the 491 points test work?</w:t>
      </w:r>
    </w:p>
    <w:p>
      <w:pPr>
        <w:spacing w:after="160"/>
      </w:pPr>
      <w:r>
        <w:t xml:space="preserve">You earn points for age, English, employment, qualifications and other factors, plus 15 points for nomination or sponsorship. Use the Department's points table and prepare evidence for every claim.</w:t>
      </w:r>
    </w:p>
    <w:p>
      <w:pPr>
        <w:pStyle w:val="Heading3"/>
      </w:pPr>
      <w:r>
        <w:t xml:space="preserve">How does state nomination work for the 491 visa?</w:t>
      </w:r>
    </w:p>
    <w:p>
      <w:pPr>
        <w:spacing w:after="160"/>
      </w:pPr>
      <w:r>
        <w:t xml:space="preserve">You follow a state or territory's process, which may include registration and an application. If the state nominates you, you receive an invitation to apply. Each state has its own occupation list, rules and limited places.</w:t>
      </w:r>
    </w:p>
    <w:p>
      <w:pPr>
        <w:pStyle w:val="Heading3"/>
      </w:pPr>
      <w:r>
        <w:t xml:space="preserve">Can a family member sponsor me for the 491 visa?</w:t>
      </w:r>
    </w:p>
    <w:p>
      <w:pPr>
        <w:spacing w:after="160"/>
      </w:pPr>
      <w:r>
        <w:t xml:space="preserve">Yes, if they meet the Department's criteria. In general they must be an eligible relative who is an Australian citizen, permanent resident or eligible New Zealand citizen living in a designated regional area. Check the current relationship and occupation requirements.</w:t>
      </w:r>
    </w:p>
    <w:p>
      <w:pPr>
        <w:pStyle w:val="Heading3"/>
      </w:pPr>
      <w:r>
        <w:t xml:space="preserve">Which occupations are eligible for the 491 visa?</w:t>
      </w:r>
    </w:p>
    <w:p>
      <w:pPr>
        <w:spacing w:after="160"/>
      </w:pPr>
      <w:r>
        <w:t xml:space="preserve">It depends on whether you are state nominated or family sponsored. State lists are often broader than the national lists. Check the current lists on the Home Affairs website and the state you are targeting.</w:t>
      </w:r>
    </w:p>
    <w:p>
      <w:pPr>
        <w:pStyle w:val="Heading3"/>
      </w:pPr>
      <w:r>
        <w:t xml:space="preserve">What are the regional living and work requirements?</w:t>
      </w:r>
    </w:p>
    <w:p>
      <w:pPr>
        <w:spacing w:after="160"/>
      </w:pPr>
      <w:r>
        <w:t xml:space="preserve">You are expected to live, work and study in a designated regional area while you hold the visa. Sydney, Melbourne and Brisbane are generally excluded, but check the official postcode list.</w:t>
      </w:r>
    </w:p>
    <w:p>
      <w:pPr>
        <w:pStyle w:val="Heading3"/>
      </w:pPr>
      <w:r>
        <w:t xml:space="preserve">How long does the subclass 491 visa take to process?</w:t>
      </w:r>
    </w:p>
    <w:p>
      <w:pPr>
        <w:spacing w:after="160"/>
      </w:pPr>
      <w:r>
        <w:t xml:space="preserve">There is no fixed time. Home Affairs publishes a processing times tool that gives an indication only. Skills assessment and waiting for nomination add time before the visa application begins.</w:t>
      </w:r>
    </w:p>
    <w:p>
      <w:pPr>
        <w:pStyle w:val="Heading3"/>
      </w:pPr>
      <w:r>
        <w:t xml:space="preserve">How much does the 491 visa cost?</w:t>
      </w:r>
    </w:p>
    <w:p>
      <w:pPr>
        <w:spacing w:after="160"/>
      </w:pPr>
      <w:r>
        <w:t xml:space="preserve">Sources report that the primary applicant charge is AUD 6,140 from 1 July 2026, with AUD 3,070 for each additional adult and AUD 1,535 for each additional child. Confirm your exact amount in the Visa Pricing Estimator. Skills assessment, English test and state fees are separate.</w:t>
      </w:r>
    </w:p>
    <w:p>
      <w:pPr>
        <w:pStyle w:val="Heading3"/>
      </w:pPr>
      <w:r>
        <w:t xml:space="preserve">Is the 491 visa a pathway to permanent residency?</w:t>
      </w:r>
    </w:p>
    <w:p>
      <w:pPr>
        <w:spacing w:after="160"/>
      </w:pPr>
      <w:r>
        <w:t xml:space="preserve">Yes, for many holders through the subclass 191. In general you need three years on the visa, living and working in a designated regional area, plus meeting other requirements. Check the current criteria, because they can change.</w:t>
      </w:r>
    </w:p>
    <w:p>
      <w:pPr>
        <w:pStyle w:val="Heading3"/>
      </w:pPr>
      <w:r>
        <w:t xml:space="preserve">What documents do I need for the 491 visa?</w:t>
      </w:r>
    </w:p>
    <w:p>
      <w:pPr>
        <w:spacing w:after="160"/>
      </w:pPr>
      <w:r>
        <w:t xml:space="preserve">Typically your passport, skills assessment, English results, qualifications, employment evidence, nomination or sponsorship approval, invitation details, relationship documents, police certificates and health examination results.</w:t>
      </w:r>
    </w:p>
    <w:p>
      <w:pPr>
        <w:pStyle w:val="Heading3"/>
      </w:pPr>
      <w:r>
        <w:t xml:space="preserve">Can Pakistani and Indian applicants apply for the 491 visa?</w:t>
      </w:r>
    </w:p>
    <w:p>
      <w:pPr>
        <w:spacing w:after="160"/>
      </w:pPr>
      <w:r>
        <w:t xml:space="preserve">Yes. The same requirements apply to all nationalities. What matters is your occupation, points, skills assessment, nomination or sponsorship and evidence.</w:t>
      </w:r>
    </w:p>
    <w:p>
      <w:pPr>
        <w:pStyle w:val="Heading3"/>
      </w:pPr>
      <w:r>
        <w:t xml:space="preserve">Why is a 491 visa application refused?</w:t>
      </w:r>
    </w:p>
    <w:p>
      <w:pPr>
        <w:spacing w:after="160"/>
      </w:pPr>
      <w:r>
        <w:t xml:space="preserve">Common causes include unproven points claims, skills assessment problems, inconsistent employment evidence, expired English results, withdrawn nominations, missed deadlines and false information.</w:t>
      </w:r>
    </w:p>
    <w:p>
      <w:pPr>
        <w:pStyle w:val="Heading2"/>
      </w:pPr>
      <w:r>
        <w:t xml:space="preserve">Next Step</w:t>
      </w:r>
    </w:p>
    <w:p>
      <w:pPr>
        <w:spacing w:after="160"/>
      </w:pPr>
      <w:r>
        <w:t xml:space="preserve">If you are comparing the subclass 491 with other skilled visas, working out your points or deciding which state or region to target, book a free consultation with Migration Factor at [INSERT VERIFIED CONSULTATION URL]. Please bring your resume, qualifications, English test results and any skills assessment outcome so the conversation can be specific.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sz w:val="40"/>
      <w:szCs w:val="40"/>
    </w:rPr>
  </w:style>
  <w:style w:type="paragraph" w:styleId="Heading2">
    <w:name w:val="Heading 2"/>
    <w:basedOn w:val="Normal"/>
    <w:next w:val="Normal"/>
    <w:qFormat/>
    <w:pPr>
      <w:spacing w:after="140" w:before="320"/>
      <w:outlineLvl w:val="1"/>
    </w:pPr>
    <w:rPr>
      <w:rFonts w:ascii="Calibri" w:cs="Calibri" w:eastAsia="Calibri" w:hAnsi="Calibri"/>
      <w:b/>
      <w:bCs/>
      <w:sz w:val="30"/>
      <w:szCs w:val="30"/>
    </w:rPr>
  </w:style>
  <w:style w:type="paragraph" w:styleId="Heading3">
    <w:name w:val="Heading 3"/>
    <w:basedOn w:val="Normal"/>
    <w:next w:val="Normal"/>
    <w:qFormat/>
    <w:pPr>
      <w:spacing w:after="100" w:before="240"/>
      <w:outlineLvl w:val="2"/>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2026-10-11T10:19:45.790Z</dcterms:created>
  <dcterms:modified xsi:type="dcterms:W3CDTF">2026-10-11T10:19:45.791Z</dcterms:modified>
</cp:coreProperties>
</file>

<file path=docProps/custom.xml><?xml version="1.0" encoding="utf-8"?>
<Properties xmlns="http://schemas.openxmlformats.org/officeDocument/2006/custom-properties" xmlns:vt="http://schemas.openxmlformats.org/officeDocument/2006/docPropsVTypes"/>
</file>