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 Employer Sponsored Visa: Requirements, Process and Pathways to Permanent Residence</w:t>
      </w:r>
    </w:p>
    <w:p>
      <w:pPr>
        <w:spacing w:after="160"/>
      </w:pPr>
      <w:r>
        <w:t xml:space="preserve">An Australia employer sponsored visa lets an Australian business bring a skilled worker from overseas, or keep a skilled worker who is already in Australia, to fill a role. For many workers it is also a pathway to permanent residence. The employer plays a central role, so the process depends on both the business and the worker, and on rules that have changed a great deal in recent years.</w:t>
      </w:r>
    </w:p>
    <w:p>
      <w:pPr>
        <w:spacing w:after="160"/>
      </w:pPr>
      <w:r>
        <w:t xml:space="preserve">The main employer sponsored visa for temporary work is the Skills in Demand visa, subclass 482, which replaced the earlier Temporary Skill Shortage visa in December 2024. The main permanent option is the Employer Nomination Scheme, subclass 186. There are also regional employer options and labour agreements for particular industries. Each has different requirements for the business, the job and the worker.</w:t>
      </w:r>
    </w:p>
    <w:p>
      <w:pPr>
        <w:spacing w:after="160"/>
      </w:pPr>
      <w:r>
        <w:t xml:space="preserve">This page explains how employer sponsorship works, which visas are involved, what the employer must do, what the worker must show, what the costs are, how labour market testing works, what the employer's obligations are, and how a temporary visa can lead to permanent residence. It is written for workers from Pakistan, India, Bangladesh, Sri Lanka, Europe and other regions, and for Australian employers considering sponsorship.</w:t>
      </w:r>
    </w:p>
    <w:p>
      <w:pPr>
        <w:spacing w:after="160"/>
      </w:pPr>
      <w:r>
        <w:t xml:space="preserve">If you would like your situation reviewed by a person, Migration Factor offers a free consultation. You can request one at [INSERT VERIFIED CONSULTATION URL]. Nothing on this page guarantees a visa, a sponsor or a processing time. Thresholds, fees and rules change often, so confirm the current position with the Department of Home Affairs before you lodge.</w:t>
      </w:r>
    </w:p>
    <w:p>
      <w:pPr>
        <w:pStyle w:val="Heading2"/>
      </w:pPr>
      <w:r>
        <w:t xml:space="preserve">How Employer Sponsorship Works</w:t>
      </w:r>
    </w:p>
    <w:p>
      <w:pPr>
        <w:spacing w:after="160"/>
      </w:pPr>
      <w:r>
        <w:t xml:space="preserve">Employer sponsorship is a three part process. The details differ by visa, but the structure is similar.</w:t>
      </w:r>
    </w:p>
    <w:p>
      <w:pPr>
        <w:pStyle w:val="ListParagraph"/>
        <w:numPr>
          <w:ilvl w:val="0"/>
          <w:numId w:val="2"/>
        </w:numPr>
        <w:spacing w:after="80"/>
      </w:pPr>
      <w:r>
        <w:t xml:space="preserve">The employer becomes an approved sponsor, which shows that the business is lawfully operating and is able to meet its obligations</w:t>
      </w:r>
    </w:p>
    <w:p>
      <w:pPr>
        <w:pStyle w:val="ListParagraph"/>
        <w:numPr>
          <w:ilvl w:val="0"/>
          <w:numId w:val="2"/>
        </w:numPr>
        <w:spacing w:after="80"/>
      </w:pPr>
      <w:r>
        <w:t xml:space="preserve">The employer nominates a position, which shows that the job is genuine, the pay meets the required level and, where required, the position was advertised</w:t>
      </w:r>
    </w:p>
    <w:p>
      <w:pPr>
        <w:pStyle w:val="ListParagraph"/>
        <w:numPr>
          <w:ilvl w:val="0"/>
          <w:numId w:val="2"/>
        </w:numPr>
        <w:spacing w:after="80"/>
      </w:pPr>
      <w:r>
        <w:t xml:space="preserve">The worker applies for the visa, which shows that the worker has the skills, experience, English and character needed for the role</w:t>
      </w:r>
    </w:p>
    <w:p>
      <w:pPr>
        <w:spacing w:after="160"/>
      </w:pPr>
      <w:r>
        <w:t xml:space="preserve">The visa is tied to the sponsor and the nominated role, at least at first. That is why the choice of employer matters, and why a worker should be careful about who sponsors them.</w:t>
      </w:r>
    </w:p>
    <w:p>
      <w:pPr>
        <w:pStyle w:val="Heading2"/>
      </w:pPr>
      <w:r>
        <w:t xml:space="preserve">The Main Employer Sponsored Visas</w:t>
      </w:r>
    </w:p>
    <w:p>
      <w:pPr>
        <w:pStyle w:val="ListParagraph"/>
        <w:numPr>
          <w:ilvl w:val="0"/>
          <w:numId w:val="3"/>
        </w:numPr>
        <w:spacing w:after="80"/>
      </w:pPr>
      <w:r>
        <w:t xml:space="preserve">Skills in Demand visa, subclass 482. A temporary visa, available in several streams, generally for up to four years. It has Specialist Skills, Core Skills and Labour Agreement streams, with a further stream for lower paid critical sectors announced but, according to some sources, not operating</w:t>
      </w:r>
    </w:p>
    <w:p>
      <w:pPr>
        <w:pStyle w:val="ListParagraph"/>
        <w:numPr>
          <w:ilvl w:val="0"/>
          <w:numId w:val="3"/>
        </w:numPr>
        <w:spacing w:after="80"/>
      </w:pPr>
      <w:r>
        <w:t xml:space="preserve">Employer Nomination Scheme, subclass 186. A permanent visa. It can be reached through the Temporary Residence Transition stream, after a period with the sponsoring employer, or through the Direct Entry stream for workers who have not held a 482</w:t>
      </w:r>
    </w:p>
    <w:p>
      <w:pPr>
        <w:pStyle w:val="ListParagraph"/>
        <w:numPr>
          <w:ilvl w:val="0"/>
          <w:numId w:val="3"/>
        </w:numPr>
        <w:spacing w:after="80"/>
      </w:pPr>
      <w:r>
        <w:t xml:space="preserve">Skilled Employer Sponsored Regional visa, subclass 494. A provisional regional option, which has its own eligibility rules and which families should check against the current Department guidance</w:t>
      </w:r>
    </w:p>
    <w:p>
      <w:pPr>
        <w:pStyle w:val="ListParagraph"/>
        <w:numPr>
          <w:ilvl w:val="0"/>
          <w:numId w:val="3"/>
        </w:numPr>
        <w:spacing w:after="80"/>
      </w:pPr>
      <w:r>
        <w:t xml:space="preserve">Labour agreements. Arrangements between the government and employers in particular industries, which can provide for occupations and conditions that are not available under the standard rules</w:t>
      </w:r>
    </w:p>
    <w:p>
      <w:pPr>
        <w:spacing w:after="160"/>
      </w:pPr>
      <w:r>
        <w:t xml:space="preserve">Check the current streams and options on the Department's website, because the system has been reshaped repeatedly and some streams are announced before they start.</w:t>
      </w:r>
    </w:p>
    <w:p>
      <w:pPr>
        <w:pStyle w:val="Heading2"/>
      </w:pPr>
      <w:r>
        <w:t xml:space="preserve">The Skills in Demand Visa Subclass 482 in More Detail</w:t>
      </w:r>
    </w:p>
    <w:p>
      <w:pPr>
        <w:pStyle w:val="Heading3"/>
      </w:pPr>
      <w:r>
        <w:t xml:space="preserve">Streams</w:t>
      </w:r>
    </w:p>
    <w:p>
      <w:pPr>
        <w:pStyle w:val="ListParagraph"/>
        <w:numPr>
          <w:ilvl w:val="0"/>
          <w:numId w:val="4"/>
        </w:numPr>
        <w:spacing w:after="80"/>
      </w:pPr>
      <w:r>
        <w:t xml:space="preserve">Specialist Skills. For highly paid roles. Sources report that it covers most occupation groups, apart from certain groups, with no occupation list required, and that it is associated with faster processing</w:t>
      </w:r>
    </w:p>
    <w:p>
      <w:pPr>
        <w:pStyle w:val="ListParagraph"/>
        <w:numPr>
          <w:ilvl w:val="0"/>
          <w:numId w:val="4"/>
        </w:numPr>
        <w:spacing w:after="80"/>
      </w:pPr>
      <w:r>
        <w:t xml:space="preserve">Core Skills. The most common stream. It requires an occupation on the Core Skills Occupation List</w:t>
      </w:r>
    </w:p>
    <w:p>
      <w:pPr>
        <w:pStyle w:val="ListParagraph"/>
        <w:numPr>
          <w:ilvl w:val="0"/>
          <w:numId w:val="4"/>
        </w:numPr>
        <w:spacing w:after="80"/>
      </w:pPr>
      <w:r>
        <w:t xml:space="preserve">Labour Agreement. For workers sponsored under a labour agreement</w:t>
      </w:r>
    </w:p>
    <w:p>
      <w:pPr>
        <w:pStyle w:val="Heading3"/>
      </w:pPr>
      <w:r>
        <w:t xml:space="preserve">Salary thresholds</w:t>
      </w:r>
    </w:p>
    <w:p>
      <w:pPr>
        <w:spacing w:after="160"/>
      </w:pPr>
      <w:r>
        <w:t xml:space="preserve">The salary the employer offers must meet minimum thresholds, and it must also meet the market rate for the role. Sources report the following thresholds for nominations lodged from 1 July 2026.</w:t>
      </w:r>
    </w:p>
    <w:p>
      <w:pPr>
        <w:pStyle w:val="ListParagraph"/>
        <w:numPr>
          <w:ilvl w:val="0"/>
          <w:numId w:val="5"/>
        </w:numPr>
        <w:spacing w:after="80"/>
      </w:pPr>
      <w:r>
        <w:t xml:space="preserve">Core Skills Income Threshold, about AUD 79,423</w:t>
      </w:r>
    </w:p>
    <w:p>
      <w:pPr>
        <w:pStyle w:val="ListParagraph"/>
        <w:numPr>
          <w:ilvl w:val="0"/>
          <w:numId w:val="5"/>
        </w:numPr>
        <w:spacing w:after="80"/>
      </w:pPr>
      <w:r>
        <w:t xml:space="preserve">Specialist Skills Income Threshold, about AUD 146,576</w:t>
      </w:r>
    </w:p>
    <w:p>
      <w:pPr>
        <w:spacing w:after="160"/>
      </w:pPr>
      <w:r>
        <w:t xml:space="preserve">These thresholds are indexed each 1 July. The salary must be at least the higher of the threshold and the annual market salary rate for the position. The lodgement date decides which threshold applies. These figures come from migration practitioners, so confirm the current amounts with the Department.</w:t>
      </w:r>
    </w:p>
    <w:p>
      <w:pPr>
        <w:pStyle w:val="Heading3"/>
      </w:pPr>
      <w:r>
        <w:t xml:space="preserve">Work experience and English</w:t>
      </w:r>
    </w:p>
    <w:p>
      <w:pPr>
        <w:spacing w:after="160"/>
      </w:pPr>
      <w:r>
        <w:t xml:space="preserve">Sources report that the worker generally needs at least one year of relevant work experience in the last five years, and a minimum level of English, which some sources describe as an IELTS score of 5.0 in each component or equivalent from September 2025. The exact requirement can differ by stream, so check the current rules for yours.</w:t>
      </w:r>
    </w:p>
    <w:p>
      <w:pPr>
        <w:pStyle w:val="Heading3"/>
      </w:pPr>
      <w:r>
        <w:t xml:space="preserve">Duration and mobility</w:t>
      </w:r>
    </w:p>
    <w:p>
      <w:pPr>
        <w:spacing w:after="160"/>
      </w:pPr>
      <w:r>
        <w:t xml:space="preserve">The visa can be granted for up to four years. If a worker's employment with the sponsor ends, sources report that they have up to 180 days at a time, and up to 365 days in total, to find a new sponsor or leave Australia. Other work conditions apply in the meantime, so check the visa conditions before changing jobs.</w:t>
      </w:r>
    </w:p>
    <w:p>
      <w:pPr>
        <w:pStyle w:val="Heading2"/>
      </w:pPr>
      <w:r>
        <w:t xml:space="preserve">The Employer Nomination Scheme Subclass 186</w:t>
      </w:r>
    </w:p>
    <w:p>
      <w:pPr>
        <w:spacing w:after="160"/>
      </w:pPr>
      <w:r>
        <w:t xml:space="preserve">The subclass 186 is the main permanent employer sponsored visa. It has two streams.</w:t>
      </w:r>
    </w:p>
    <w:p>
      <w:pPr>
        <w:pStyle w:val="ListParagraph"/>
        <w:numPr>
          <w:ilvl w:val="0"/>
          <w:numId w:val="6"/>
        </w:numPr>
        <w:spacing w:after="80"/>
      </w:pPr>
      <w:r>
        <w:t xml:space="preserve">Temporary Residence Transition. For workers who have held a 482 and worked for the sponsor in the nominated occupation, generally for at least two years, subject to rules about the sponsor's status during that time</w:t>
      </w:r>
    </w:p>
    <w:p>
      <w:pPr>
        <w:pStyle w:val="ListParagraph"/>
        <w:numPr>
          <w:ilvl w:val="0"/>
          <w:numId w:val="6"/>
        </w:numPr>
        <w:spacing w:after="80"/>
      </w:pPr>
      <w:r>
        <w:t xml:space="preserve">Direct Entry. For workers who have not held a 482. It generally requires a skills assessment, enough work experience in the occupation and an occupation on the relevant list</w:t>
      </w:r>
    </w:p>
    <w:p>
      <w:pPr>
        <w:spacing w:after="160"/>
      </w:pPr>
      <w:r>
        <w:t xml:space="preserve">Applicants for the 186 generally need to meet age, English and health requirements, and the employer must nominate a genuine position. Sources report that the age limit is generally under 45, with some exemptions, and that the English requirement is higher than for the 482. Check the current criteria, because they differ by stream and have changed repeatedly.</w:t>
      </w:r>
    </w:p>
    <w:p>
      <w:pPr>
        <w:pStyle w:val="Heading2"/>
      </w:pPr>
      <w:r>
        <w:t xml:space="preserve">What the Employer Must Show</w:t>
      </w:r>
    </w:p>
    <w:p>
      <w:pPr>
        <w:pStyle w:val="Heading3"/>
      </w:pPr>
      <w:r>
        <w:t xml:space="preserve">Sponsor approval</w:t>
      </w:r>
    </w:p>
    <w:p>
      <w:pPr>
        <w:spacing w:after="160"/>
      </w:pPr>
      <w:r>
        <w:t xml:space="preserve">The business must be an approved sponsor before it can nominate a worker. The Department looks at whether the business is lawfully operating, has a genuine need and meets the requirements for sponsors. Sponsor approval has its own application charge, which sources report at about AUD 420, and approval can last for several years.</w:t>
      </w:r>
    </w:p>
    <w:p>
      <w:pPr>
        <w:pStyle w:val="Heading3"/>
      </w:pPr>
      <w:r>
        <w:t xml:space="preserve">Nomination</w:t>
      </w:r>
    </w:p>
    <w:p>
      <w:pPr>
        <w:spacing w:after="160"/>
      </w:pPr>
      <w:r>
        <w:t xml:space="preserve">The employer nominates a position and must show:</w:t>
      </w:r>
    </w:p>
    <w:p>
      <w:pPr>
        <w:pStyle w:val="ListParagraph"/>
        <w:numPr>
          <w:ilvl w:val="0"/>
          <w:numId w:val="7"/>
        </w:numPr>
        <w:spacing w:after="80"/>
      </w:pPr>
      <w:r>
        <w:t xml:space="preserve">A genuine position that the business needs</w:t>
      </w:r>
    </w:p>
    <w:p>
      <w:pPr>
        <w:pStyle w:val="ListParagraph"/>
        <w:numPr>
          <w:ilvl w:val="0"/>
          <w:numId w:val="7"/>
        </w:numPr>
        <w:spacing w:after="80"/>
      </w:pPr>
      <w:r>
        <w:t xml:space="preserve">That the occupation is eligible for the stream</w:t>
      </w:r>
    </w:p>
    <w:p>
      <w:pPr>
        <w:pStyle w:val="ListParagraph"/>
        <w:numPr>
          <w:ilvl w:val="0"/>
          <w:numId w:val="7"/>
        </w:numPr>
        <w:spacing w:after="80"/>
      </w:pPr>
      <w:r>
        <w:t xml:space="preserve">That the salary meets the threshold and the market rate</w:t>
      </w:r>
    </w:p>
    <w:p>
      <w:pPr>
        <w:pStyle w:val="ListParagraph"/>
        <w:numPr>
          <w:ilvl w:val="0"/>
          <w:numId w:val="7"/>
        </w:numPr>
        <w:spacing w:after="80"/>
      </w:pPr>
      <w:r>
        <w:t xml:space="preserve">That the worker will be paid and treated like an Australian worker in a comparable role</w:t>
      </w:r>
    </w:p>
    <w:p>
      <w:pPr>
        <w:pStyle w:val="ListParagraph"/>
        <w:numPr>
          <w:ilvl w:val="0"/>
          <w:numId w:val="7"/>
        </w:numPr>
        <w:spacing w:after="80"/>
      </w:pPr>
      <w:r>
        <w:t xml:space="preserve">That the position was advertised where labour market testing is required</w:t>
      </w:r>
    </w:p>
    <w:p>
      <w:pPr>
        <w:pStyle w:val="Heading3"/>
      </w:pPr>
      <w:r>
        <w:t xml:space="preserve">Skilling Australians Fund levy</w:t>
      </w:r>
    </w:p>
    <w:p>
      <w:pPr>
        <w:spacing w:after="160"/>
      </w:pPr>
      <w:r>
        <w:t xml:space="preserve">Sponsors pay a levy to the Skilling Australians Fund when they nominate a worker. Sources report about AUD 1,200 per year for small businesses and about AUD 1,800 per year for other businesses. Confirm the current amounts.</w:t>
      </w:r>
    </w:p>
    <w:p>
      <w:pPr>
        <w:pStyle w:val="Heading3"/>
      </w:pPr>
      <w:r>
        <w:t xml:space="preserve">Labour market testing</w:t>
      </w:r>
    </w:p>
    <w:p>
      <w:pPr>
        <w:spacing w:after="160"/>
      </w:pPr>
      <w:r>
        <w:t xml:space="preserve">Labour market testing shows that the employer tried to find an Australian worker for the role first. Where it is required, sources report that the employer must advertise for at least 28 days on at least two national platforms, and that the advertising must be done within a set period before the nomination. Exemptions are limited and include certain trade agreement obligations and very high salaries. Check the current requirements, since advertising errors are a common reason for delay.</w:t>
      </w:r>
    </w:p>
    <w:p>
      <w:pPr>
        <w:pStyle w:val="Heading2"/>
      </w:pPr>
      <w:r>
        <w:t xml:space="preserve">What the Worker Must Show</w:t>
      </w:r>
    </w:p>
    <w:p>
      <w:pPr>
        <w:spacing w:after="160"/>
      </w:pPr>
      <w:r>
        <w:t xml:space="preserve">The worker generally needs to show:</w:t>
      </w:r>
    </w:p>
    <w:p>
      <w:pPr>
        <w:pStyle w:val="ListParagraph"/>
        <w:numPr>
          <w:ilvl w:val="0"/>
          <w:numId w:val="8"/>
        </w:numPr>
        <w:spacing w:after="80"/>
      </w:pPr>
      <w:r>
        <w:t xml:space="preserve">Skills and work experience that suit the nominated role, with evidence such as references, contracts and pay records</w:t>
      </w:r>
    </w:p>
    <w:p>
      <w:pPr>
        <w:pStyle w:val="ListParagraph"/>
        <w:numPr>
          <w:ilvl w:val="0"/>
          <w:numId w:val="8"/>
        </w:numPr>
        <w:spacing w:after="80"/>
      </w:pPr>
      <w:r>
        <w:t xml:space="preserve">Qualifications and, for some occupations, a skills assessment or a licence or registration</w:t>
      </w:r>
    </w:p>
    <w:p>
      <w:pPr>
        <w:pStyle w:val="ListParagraph"/>
        <w:numPr>
          <w:ilvl w:val="0"/>
          <w:numId w:val="8"/>
        </w:numPr>
        <w:spacing w:after="80"/>
      </w:pPr>
      <w:r>
        <w:t xml:space="preserve">English language ability at the required level</w:t>
      </w:r>
    </w:p>
    <w:p>
      <w:pPr>
        <w:pStyle w:val="ListParagraph"/>
        <w:numPr>
          <w:ilvl w:val="0"/>
          <w:numId w:val="8"/>
        </w:numPr>
        <w:spacing w:after="80"/>
      </w:pPr>
      <w:r>
        <w:t xml:space="preserve">That they meet health and character requirements</w:t>
      </w:r>
    </w:p>
    <w:p>
      <w:pPr>
        <w:pStyle w:val="ListParagraph"/>
        <w:numPr>
          <w:ilvl w:val="0"/>
          <w:numId w:val="8"/>
        </w:numPr>
        <w:spacing w:after="80"/>
      </w:pPr>
      <w:r>
        <w:t xml:space="preserve">That the job they are applying for matches the nominated position</w:t>
      </w:r>
    </w:p>
    <w:p>
      <w:pPr>
        <w:pStyle w:val="ListParagraph"/>
        <w:numPr>
          <w:ilvl w:val="0"/>
          <w:numId w:val="8"/>
        </w:numPr>
        <w:spacing w:after="80"/>
      </w:pPr>
      <w:r>
        <w:t xml:space="preserve">For the permanent visa, age and English requirements, and the required period of work with the sponsor</w:t>
      </w:r>
    </w:p>
    <w:p>
      <w:pPr>
        <w:spacing w:after="160"/>
      </w:pPr>
      <w:r>
        <w:t xml:space="preserve">Check each requirement for your occupation, because some occupations have extra rules, such as licensing or registration.</w:t>
      </w:r>
    </w:p>
    <w:p>
      <w:pPr>
        <w:pStyle w:val="Heading2"/>
      </w:pPr>
      <w:r>
        <w:t xml:space="preserve">Costs</w:t>
      </w:r>
    </w:p>
    <w:p>
      <w:pPr>
        <w:spacing w:after="160"/>
      </w:pPr>
      <w:r>
        <w:t xml:space="preserve">Costs fall on the employer and the worker, and some costs may not be passed on.</w:t>
      </w:r>
    </w:p>
    <w:p>
      <w:pPr>
        <w:pStyle w:val="ListParagraph"/>
        <w:numPr>
          <w:ilvl w:val="0"/>
          <w:numId w:val="9"/>
        </w:numPr>
        <w:spacing w:after="80"/>
      </w:pPr>
      <w:r>
        <w:t xml:space="preserve">Visa application charge for the worker, which sources reported at about AUD 3,210 for the primary applicant, AUD 3,210 for an adult dependant and AUD 805 for a child before the 1 July 2026 fee changes. Most visa charges increased in July 2026, so confirm the current amount in the Visa Pricing Estimator</w:t>
      </w:r>
    </w:p>
    <w:p>
      <w:pPr>
        <w:pStyle w:val="ListParagraph"/>
        <w:numPr>
          <w:ilvl w:val="0"/>
          <w:numId w:val="9"/>
        </w:numPr>
        <w:spacing w:after="80"/>
      </w:pPr>
      <w:r>
        <w:t xml:space="preserve">Nomination application charge, reported at about AUD 330</w:t>
      </w:r>
    </w:p>
    <w:p>
      <w:pPr>
        <w:pStyle w:val="ListParagraph"/>
        <w:numPr>
          <w:ilvl w:val="0"/>
          <w:numId w:val="9"/>
        </w:numPr>
        <w:spacing w:after="80"/>
      </w:pPr>
      <w:r>
        <w:t xml:space="preserve">Sponsorship application charge, reported at about AUD 420</w:t>
      </w:r>
    </w:p>
    <w:p>
      <w:pPr>
        <w:pStyle w:val="ListParagraph"/>
        <w:numPr>
          <w:ilvl w:val="0"/>
          <w:numId w:val="9"/>
        </w:numPr>
        <w:spacing w:after="80"/>
      </w:pPr>
      <w:r>
        <w:t xml:space="preserve">Skilling Australians Fund levy, as described above</w:t>
      </w:r>
    </w:p>
    <w:p>
      <w:pPr>
        <w:pStyle w:val="ListParagraph"/>
        <w:numPr>
          <w:ilvl w:val="0"/>
          <w:numId w:val="9"/>
        </w:numPr>
        <w:spacing w:after="80"/>
      </w:pPr>
      <w:r>
        <w:t xml:space="preserve">Skills assessments, English tests and health examinations</w:t>
      </w:r>
    </w:p>
    <w:p>
      <w:pPr>
        <w:pStyle w:val="ListParagraph"/>
        <w:numPr>
          <w:ilvl w:val="0"/>
          <w:numId w:val="9"/>
        </w:numPr>
        <w:spacing w:after="80"/>
      </w:pPr>
      <w:r>
        <w:t xml:space="preserve">Police certificates and translations</w:t>
      </w:r>
    </w:p>
    <w:p>
      <w:pPr>
        <w:pStyle w:val="ListParagraph"/>
        <w:numPr>
          <w:ilvl w:val="0"/>
          <w:numId w:val="9"/>
        </w:numPr>
        <w:spacing w:after="80"/>
      </w:pPr>
      <w:r>
        <w:t xml:space="preserve">Professional fees, if used</w:t>
      </w:r>
    </w:p>
    <w:p>
      <w:pPr>
        <w:spacing w:after="160"/>
      </w:pPr>
      <w:r>
        <w:t xml:space="preserve">An employer cannot generally recover sponsorship costs from the worker, and this is part of the sponsor's obligations. Be cautious of any arrangement in which a worker is asked to pay for a job, a sponsorship or a nomination.</w:t>
      </w:r>
    </w:p>
    <w:p>
      <w:pPr>
        <w:pStyle w:val="Heading2"/>
      </w:pPr>
      <w:r>
        <w:t xml:space="preserve">Processing Time</w:t>
      </w:r>
    </w:p>
    <w:p>
      <w:pPr>
        <w:spacing w:after="160"/>
      </w:pPr>
      <w:r>
        <w:t xml:space="preserve">Processing times differ by stream and by how complete the application is. Practitioner sources report median times of about 7 business days for Specialist Skills and about 21 business days for Core Skills for decision ready applications, while other sources report longer times for some nominations and visas, ranging from weeks to many months. The figures differ and change, so check the Department's processing times tool.</w:t>
      </w:r>
    </w:p>
    <w:p>
      <w:pPr>
        <w:spacing w:after="160"/>
      </w:pPr>
      <w:r>
        <w:t xml:space="preserve">In September 2026, the Minister issued directions about priority processing, and practitioner sources report that these apply to some skilled and employer sponsored applications. Priority affects the order in which files are processed, not the outcome, and the details can change. Check the current direction rather than relying on a blog.</w:t>
      </w:r>
    </w:p>
    <w:p>
      <w:pPr>
        <w:spacing w:after="160"/>
      </w:pPr>
      <w:r>
        <w:t xml:space="preserve">A complete application with accurate job details, correct salary information and consistent evidence is easier to assess. Agents cannot make the Department decide faster.</w:t>
      </w:r>
    </w:p>
    <w:p>
      <w:pPr>
        <w:pStyle w:val="Heading2"/>
      </w:pPr>
      <w:r>
        <w:t xml:space="preserve">Step by Step: How to Apply</w:t>
      </w:r>
    </w:p>
    <w:p>
      <w:pPr>
        <w:pStyle w:val="ListParagraph"/>
        <w:numPr>
          <w:ilvl w:val="0"/>
          <w:numId w:val="10"/>
        </w:numPr>
        <w:spacing w:after="80"/>
      </w:pPr>
      <w:r>
        <w:t xml:space="preserve">Confirm the occupation and the stream, and check that the job and salary fit the thresholds</w:t>
      </w:r>
    </w:p>
    <w:p>
      <w:pPr>
        <w:pStyle w:val="ListParagraph"/>
        <w:numPr>
          <w:ilvl w:val="0"/>
          <w:numId w:val="10"/>
        </w:numPr>
        <w:spacing w:after="80"/>
      </w:pPr>
      <w:r>
        <w:t xml:space="preserve">The employer applies to become an approved sponsor, if not already approved</w:t>
      </w:r>
    </w:p>
    <w:p>
      <w:pPr>
        <w:pStyle w:val="ListParagraph"/>
        <w:numPr>
          <w:ilvl w:val="0"/>
          <w:numId w:val="10"/>
        </w:numPr>
        <w:spacing w:after="80"/>
      </w:pPr>
      <w:r>
        <w:t xml:space="preserve">The employer completes labour market testing, if required, and keeps the evidence</w:t>
      </w:r>
    </w:p>
    <w:p>
      <w:pPr>
        <w:pStyle w:val="ListParagraph"/>
        <w:numPr>
          <w:ilvl w:val="0"/>
          <w:numId w:val="10"/>
        </w:numPr>
        <w:spacing w:after="80"/>
      </w:pPr>
      <w:r>
        <w:t xml:space="preserve">The employer lodges the nomination and pays the charges and the levy</w:t>
      </w:r>
    </w:p>
    <w:p>
      <w:pPr>
        <w:pStyle w:val="ListParagraph"/>
        <w:numPr>
          <w:ilvl w:val="0"/>
          <w:numId w:val="10"/>
        </w:numPr>
        <w:spacing w:after="80"/>
      </w:pPr>
      <w:r>
        <w:t xml:space="preserve">The worker gathers identity, qualification, experience and English evidence</w:t>
      </w:r>
    </w:p>
    <w:p>
      <w:pPr>
        <w:pStyle w:val="ListParagraph"/>
        <w:numPr>
          <w:ilvl w:val="0"/>
          <w:numId w:val="10"/>
        </w:numPr>
        <w:spacing w:after="80"/>
      </w:pPr>
      <w:r>
        <w:t xml:space="preserve">The worker lodges the visa application, with health examinations and police certificates as requested</w:t>
      </w:r>
    </w:p>
    <w:p>
      <w:pPr>
        <w:pStyle w:val="ListParagraph"/>
        <w:numPr>
          <w:ilvl w:val="0"/>
          <w:numId w:val="10"/>
        </w:numPr>
        <w:spacing w:after="80"/>
      </w:pPr>
      <w:r>
        <w:t xml:space="preserve">The Department assesses the nomination and the visa, and may ask for more information</w:t>
      </w:r>
    </w:p>
    <w:p>
      <w:pPr>
        <w:pStyle w:val="ListParagraph"/>
        <w:numPr>
          <w:ilvl w:val="0"/>
          <w:numId w:val="10"/>
        </w:numPr>
        <w:spacing w:after="80"/>
      </w:pPr>
      <w:r>
        <w:t xml:space="preserve">If granted, the worker follows the conditions and the employer meets its sponsor obligations</w:t>
      </w:r>
    </w:p>
    <w:p>
      <w:pPr>
        <w:pStyle w:val="ListParagraph"/>
        <w:numPr>
          <w:ilvl w:val="0"/>
          <w:numId w:val="10"/>
        </w:numPr>
        <w:spacing w:after="80"/>
      </w:pPr>
      <w:r>
        <w:t xml:space="preserve">For permanent residence, the worker and the employer plan the 186 application at the right time</w:t>
      </w:r>
    </w:p>
    <w:p>
      <w:pPr>
        <w:spacing w:after="160"/>
      </w:pPr>
      <w:r>
        <w:t xml:space="preserve">The nomination and the visa application are linked. An error in the nomination, such as the wrong occupation or an inconsistent salary, can cause the visa to fail.</w:t>
      </w:r>
    </w:p>
    <w:p>
      <w:pPr>
        <w:pStyle w:val="Heading2"/>
      </w:pPr>
      <w:r>
        <w:t xml:space="preserve">Documents Checklist</w:t>
      </w:r>
    </w:p>
    <w:p>
      <w:pPr>
        <w:spacing w:after="160"/>
      </w:pPr>
      <w:r>
        <w:t xml:space="preserve">For the worker:</w:t>
      </w:r>
    </w:p>
    <w:p>
      <w:pPr>
        <w:pStyle w:val="ListParagraph"/>
        <w:numPr>
          <w:ilvl w:val="0"/>
          <w:numId w:val="11"/>
        </w:numPr>
        <w:spacing w:after="80"/>
      </w:pPr>
      <w:r>
        <w:t xml:space="preserve">Passport and identity documents</w:t>
      </w:r>
    </w:p>
    <w:p>
      <w:pPr>
        <w:pStyle w:val="ListParagraph"/>
        <w:numPr>
          <w:ilvl w:val="0"/>
          <w:numId w:val="11"/>
        </w:numPr>
        <w:spacing w:after="80"/>
      </w:pPr>
      <w:r>
        <w:t xml:space="preserve">Employment contract or offer letter that matches the nomination</w:t>
      </w:r>
    </w:p>
    <w:p>
      <w:pPr>
        <w:pStyle w:val="ListParagraph"/>
        <w:numPr>
          <w:ilvl w:val="0"/>
          <w:numId w:val="11"/>
        </w:numPr>
        <w:spacing w:after="80"/>
      </w:pPr>
      <w:r>
        <w:t xml:space="preserve">Resume with dates and duties</w:t>
      </w:r>
    </w:p>
    <w:p>
      <w:pPr>
        <w:pStyle w:val="ListParagraph"/>
        <w:numPr>
          <w:ilvl w:val="0"/>
          <w:numId w:val="11"/>
        </w:numPr>
        <w:spacing w:after="80"/>
      </w:pPr>
      <w:r>
        <w:t xml:space="preserve">Qualifications and transcripts, with certified translations if needed</w:t>
      </w:r>
    </w:p>
    <w:p>
      <w:pPr>
        <w:pStyle w:val="ListParagraph"/>
        <w:numPr>
          <w:ilvl w:val="0"/>
          <w:numId w:val="11"/>
        </w:numPr>
        <w:spacing w:after="80"/>
      </w:pPr>
      <w:r>
        <w:t xml:space="preserve">Employment references, payslips and tax records</w:t>
      </w:r>
    </w:p>
    <w:p>
      <w:pPr>
        <w:pStyle w:val="ListParagraph"/>
        <w:numPr>
          <w:ilvl w:val="0"/>
          <w:numId w:val="11"/>
        </w:numPr>
        <w:spacing w:after="80"/>
      </w:pPr>
      <w:r>
        <w:t xml:space="preserve">Skills assessment, licence or registration, where required</w:t>
      </w:r>
    </w:p>
    <w:p>
      <w:pPr>
        <w:pStyle w:val="ListParagraph"/>
        <w:numPr>
          <w:ilvl w:val="0"/>
          <w:numId w:val="11"/>
        </w:numPr>
        <w:spacing w:after="80"/>
      </w:pPr>
      <w:r>
        <w:t xml:space="preserve">English test results or evidence of exemption</w:t>
      </w:r>
    </w:p>
    <w:p>
      <w:pPr>
        <w:pStyle w:val="ListParagraph"/>
        <w:numPr>
          <w:ilvl w:val="0"/>
          <w:numId w:val="11"/>
        </w:numPr>
        <w:spacing w:after="80"/>
      </w:pPr>
      <w:r>
        <w:t xml:space="preserve">Health examination results and police certificates when requested</w:t>
      </w:r>
    </w:p>
    <w:p>
      <w:pPr>
        <w:pStyle w:val="ListParagraph"/>
        <w:numPr>
          <w:ilvl w:val="0"/>
          <w:numId w:val="11"/>
        </w:numPr>
        <w:spacing w:after="80"/>
      </w:pPr>
      <w:r>
        <w:t xml:space="preserve">Evidence of relationship and identity for any family members included</w:t>
      </w:r>
    </w:p>
    <w:p>
      <w:pPr>
        <w:spacing w:after="160"/>
      </w:pPr>
      <w:r>
        <w:t xml:space="preserve">For the employer:</w:t>
      </w:r>
    </w:p>
    <w:p>
      <w:pPr>
        <w:pStyle w:val="ListParagraph"/>
        <w:numPr>
          <w:ilvl w:val="0"/>
          <w:numId w:val="12"/>
        </w:numPr>
        <w:spacing w:after="80"/>
      </w:pPr>
      <w:r>
        <w:t xml:space="preserve">Business registration and evidence that the business is lawfully operating</w:t>
      </w:r>
    </w:p>
    <w:p>
      <w:pPr>
        <w:pStyle w:val="ListParagraph"/>
        <w:numPr>
          <w:ilvl w:val="0"/>
          <w:numId w:val="12"/>
        </w:numPr>
        <w:spacing w:after="80"/>
      </w:pPr>
      <w:r>
        <w:t xml:space="preserve">Financial records, as required</w:t>
      </w:r>
    </w:p>
    <w:p>
      <w:pPr>
        <w:pStyle w:val="ListParagraph"/>
        <w:numPr>
          <w:ilvl w:val="0"/>
          <w:numId w:val="12"/>
        </w:numPr>
        <w:spacing w:after="80"/>
      </w:pPr>
      <w:r>
        <w:t xml:space="preserve">Position description and organisation chart</w:t>
      </w:r>
    </w:p>
    <w:p>
      <w:pPr>
        <w:pStyle w:val="ListParagraph"/>
        <w:numPr>
          <w:ilvl w:val="0"/>
          <w:numId w:val="12"/>
        </w:numPr>
        <w:spacing w:after="80"/>
      </w:pPr>
      <w:r>
        <w:t xml:space="preserve">Evidence of labour market testing, including advertisements</w:t>
      </w:r>
    </w:p>
    <w:p>
      <w:pPr>
        <w:pStyle w:val="ListParagraph"/>
        <w:numPr>
          <w:ilvl w:val="0"/>
          <w:numId w:val="12"/>
        </w:numPr>
        <w:spacing w:after="80"/>
      </w:pPr>
      <w:r>
        <w:t xml:space="preserve">Evidence of the salary and conditions offered</w:t>
      </w:r>
    </w:p>
    <w:p>
      <w:pPr>
        <w:pStyle w:val="ListParagraph"/>
        <w:numPr>
          <w:ilvl w:val="0"/>
          <w:numId w:val="12"/>
        </w:numPr>
        <w:spacing w:after="80"/>
      </w:pPr>
      <w:r>
        <w:t xml:space="preserve">Evidence of training and workforce plans, where required</w:t>
      </w:r>
    </w:p>
    <w:p>
      <w:pPr>
        <w:spacing w:after="160"/>
      </w:pPr>
      <w:r>
        <w:t xml:space="preserve">Names, dates and duties must match across documents. A job title that differs between the contract and the nomination, for example, is a common cause of questions.</w:t>
      </w:r>
    </w:p>
    <w:p>
      <w:pPr>
        <w:pStyle w:val="Heading2"/>
      </w:pPr>
      <w:r>
        <w:t xml:space="preserve">Sponsor Obligations</w:t>
      </w:r>
    </w:p>
    <w:p>
      <w:pPr>
        <w:spacing w:after="160"/>
      </w:pPr>
      <w:r>
        <w:t xml:space="preserve">An approved sponsor takes on obligations that continue after the visa is granted. Sources describe obligations such as:</w:t>
      </w:r>
    </w:p>
    <w:p>
      <w:pPr>
        <w:pStyle w:val="ListParagraph"/>
        <w:numPr>
          <w:ilvl w:val="0"/>
          <w:numId w:val="13"/>
        </w:numPr>
        <w:spacing w:after="80"/>
      </w:pPr>
      <w:r>
        <w:t xml:space="preserve">Paying the worker at least the nominated salary, and treating the worker like an equivalent Australian worker</w:t>
      </w:r>
    </w:p>
    <w:p>
      <w:pPr>
        <w:pStyle w:val="ListParagraph"/>
        <w:numPr>
          <w:ilvl w:val="0"/>
          <w:numId w:val="13"/>
        </w:numPr>
        <w:spacing w:after="80"/>
      </w:pPr>
      <w:r>
        <w:t xml:space="preserve">Keeping records of pay, training and duties</w:t>
      </w:r>
    </w:p>
    <w:p>
      <w:pPr>
        <w:pStyle w:val="ListParagraph"/>
        <w:numPr>
          <w:ilvl w:val="0"/>
          <w:numId w:val="13"/>
        </w:numPr>
        <w:spacing w:after="80"/>
      </w:pPr>
      <w:r>
        <w:t xml:space="preserve">Telling the Department about changes such as a change of location, position or the end of employment, within the required time</w:t>
      </w:r>
    </w:p>
    <w:p>
      <w:pPr>
        <w:pStyle w:val="ListParagraph"/>
        <w:numPr>
          <w:ilvl w:val="0"/>
          <w:numId w:val="13"/>
        </w:numPr>
        <w:spacing w:after="80"/>
      </w:pPr>
      <w:r>
        <w:t xml:space="preserve">Cooperating with monitoring and audits</w:t>
      </w:r>
    </w:p>
    <w:p>
      <w:pPr>
        <w:pStyle w:val="ListParagraph"/>
        <w:numPr>
          <w:ilvl w:val="0"/>
          <w:numId w:val="13"/>
        </w:numPr>
        <w:spacing w:after="80"/>
      </w:pPr>
      <w:r>
        <w:t xml:space="preserve">Not recovering sponsorship costs from the worker</w:t>
      </w:r>
    </w:p>
    <w:p>
      <w:pPr>
        <w:pStyle w:val="ListParagraph"/>
        <w:numPr>
          <w:ilvl w:val="0"/>
          <w:numId w:val="13"/>
        </w:numPr>
        <w:spacing w:after="80"/>
      </w:pPr>
      <w:r>
        <w:t xml:space="preserve">Ensuring that the worker works in the nominated role</w:t>
      </w:r>
    </w:p>
    <w:p>
      <w:pPr>
        <w:spacing w:after="160"/>
      </w:pPr>
      <w:r>
        <w:t xml:space="preserve">Breaches can lead to sanctions, financial penalties and bars on future sponsorship. Workers have a stake in these obligations too, since a sponsor in breach can put the worker's status at risk.</w:t>
      </w:r>
    </w:p>
    <w:p>
      <w:pPr>
        <w:pStyle w:val="Heading2"/>
      </w:pPr>
      <w:r>
        <w:t xml:space="preserve">Finding a Sponsor Safely</w:t>
      </w:r>
    </w:p>
    <w:p>
      <w:pPr>
        <w:spacing w:after="160"/>
      </w:pPr>
      <w:r>
        <w:t xml:space="preserve">Many workers look for sponsored jobs in Australia, and it is a field where scams are common. Be careful with the following.</w:t>
      </w:r>
    </w:p>
    <w:p>
      <w:pPr>
        <w:pStyle w:val="ListParagraph"/>
        <w:numPr>
          <w:ilvl w:val="0"/>
          <w:numId w:val="14"/>
        </w:numPr>
        <w:spacing w:after="80"/>
      </w:pPr>
      <w:r>
        <w:t xml:space="preserve">Anyone who asks you to pay for a job offer, a nomination or a sponsorship</w:t>
      </w:r>
    </w:p>
    <w:p>
      <w:pPr>
        <w:pStyle w:val="ListParagraph"/>
        <w:numPr>
          <w:ilvl w:val="0"/>
          <w:numId w:val="14"/>
        </w:numPr>
        <w:spacing w:after="80"/>
      </w:pPr>
      <w:r>
        <w:t xml:space="preserve">Job offers that arrive without an interview or a clear description of the role</w:t>
      </w:r>
    </w:p>
    <w:p>
      <w:pPr>
        <w:pStyle w:val="ListParagraph"/>
        <w:numPr>
          <w:ilvl w:val="0"/>
          <w:numId w:val="14"/>
        </w:numPr>
        <w:spacing w:after="80"/>
      </w:pPr>
      <w:r>
        <w:t xml:space="preserve">Employers who cannot show that they are approved sponsors</w:t>
      </w:r>
    </w:p>
    <w:p>
      <w:pPr>
        <w:pStyle w:val="ListParagraph"/>
        <w:numPr>
          <w:ilvl w:val="0"/>
          <w:numId w:val="14"/>
        </w:numPr>
        <w:spacing w:after="80"/>
      </w:pPr>
      <w:r>
        <w:t xml:space="preserve">Agents who guarantee a visa or a job</w:t>
      </w:r>
    </w:p>
    <w:p>
      <w:pPr>
        <w:pStyle w:val="ListParagraph"/>
        <w:numPr>
          <w:ilvl w:val="0"/>
          <w:numId w:val="14"/>
        </w:numPr>
        <w:spacing w:after="80"/>
      </w:pPr>
      <w:r>
        <w:t xml:space="preserve">Documents that look inconsistent or unprofessional</w:t>
      </w:r>
    </w:p>
    <w:p>
      <w:pPr>
        <w:spacing w:after="160"/>
      </w:pPr>
      <w:r>
        <w:t xml:space="preserve">Check the employer's business details, ask for the contract in writing and check the Department's guidance on sponsorship before you commit. A genuine sponsor pays its own sponsorship costs.</w:t>
      </w:r>
    </w:p>
    <w:p>
      <w:pPr>
        <w:pStyle w:val="Heading2"/>
      </w:pPr>
      <w:r>
        <w:t xml:space="preserve">From Temporary to Permanent: Planning the Pathway</w:t>
      </w:r>
    </w:p>
    <w:p>
      <w:pPr>
        <w:spacing w:after="160"/>
      </w:pPr>
      <w:r>
        <w:t xml:space="preserve">For many workers, the 482 is a step toward the 186. Planning helps.</w:t>
      </w:r>
    </w:p>
    <w:p>
      <w:pPr>
        <w:pStyle w:val="ListParagraph"/>
        <w:numPr>
          <w:ilvl w:val="0"/>
          <w:numId w:val="15"/>
        </w:numPr>
        <w:spacing w:after="80"/>
      </w:pPr>
      <w:r>
        <w:t xml:space="preserve">Know how long you need to work for the sponsor in the nominated occupation, and keep your records</w:t>
      </w:r>
    </w:p>
    <w:p>
      <w:pPr>
        <w:pStyle w:val="ListParagraph"/>
        <w:numPr>
          <w:ilvl w:val="0"/>
          <w:numId w:val="15"/>
        </w:numPr>
        <w:spacing w:after="80"/>
      </w:pPr>
      <w:r>
        <w:t xml:space="preserve">Check that your sponsor remains an approved sponsor during that time, since sources report that this can affect whether time counts</w:t>
      </w:r>
    </w:p>
    <w:p>
      <w:pPr>
        <w:pStyle w:val="ListParagraph"/>
        <w:numPr>
          <w:ilvl w:val="0"/>
          <w:numId w:val="15"/>
        </w:numPr>
        <w:spacing w:after="80"/>
      </w:pPr>
      <w:r>
        <w:t xml:space="preserve">Watch your age, since the permanent visa generally has an age limit</w:t>
      </w:r>
    </w:p>
    <w:p>
      <w:pPr>
        <w:pStyle w:val="ListParagraph"/>
        <w:numPr>
          <w:ilvl w:val="0"/>
          <w:numId w:val="15"/>
        </w:numPr>
        <w:spacing w:after="80"/>
      </w:pPr>
      <w:r>
        <w:t xml:space="preserve">Prepare for the English requirement of the permanent visa, which can be higher</w:t>
      </w:r>
    </w:p>
    <w:p>
      <w:pPr>
        <w:pStyle w:val="ListParagraph"/>
        <w:numPr>
          <w:ilvl w:val="0"/>
          <w:numId w:val="15"/>
        </w:numPr>
        <w:spacing w:after="80"/>
      </w:pPr>
      <w:r>
        <w:t xml:space="preserve">Keep your skills assessment, licence and evidence of experience current</w:t>
      </w:r>
    </w:p>
    <w:p>
      <w:pPr>
        <w:pStyle w:val="ListParagraph"/>
        <w:numPr>
          <w:ilvl w:val="0"/>
          <w:numId w:val="15"/>
        </w:numPr>
        <w:spacing w:after="80"/>
      </w:pPr>
      <w:r>
        <w:t xml:space="preserve">Talk to your employer early about their willingness to nominate you</w:t>
      </w:r>
    </w:p>
    <w:p>
      <w:pPr>
        <w:spacing w:after="160"/>
      </w:pPr>
      <w:r>
        <w:t xml:space="preserve">A change of employer can affect the pathway, so check the rules before you move. Some workers also use other permanent pathways, such as skilled visas, if employer nomination is not available.</w:t>
      </w:r>
    </w:p>
    <w:p>
      <w:pPr>
        <w:pStyle w:val="Heading2"/>
      </w:pPr>
      <w:r>
        <w:t xml:space="preserve">Common Reasons for Delay or Refusal</w:t>
      </w:r>
    </w:p>
    <w:p>
      <w:pPr>
        <w:pStyle w:val="ListParagraph"/>
        <w:numPr>
          <w:ilvl w:val="0"/>
          <w:numId w:val="16"/>
        </w:numPr>
        <w:spacing w:after="80"/>
      </w:pPr>
      <w:r>
        <w:t xml:space="preserve">The position or occupation does not fit the stream</w:t>
      </w:r>
    </w:p>
    <w:p>
      <w:pPr>
        <w:pStyle w:val="ListParagraph"/>
        <w:numPr>
          <w:ilvl w:val="0"/>
          <w:numId w:val="16"/>
        </w:numPr>
        <w:spacing w:after="80"/>
      </w:pPr>
      <w:r>
        <w:t xml:space="preserve">The salary is below the threshold or the market rate</w:t>
      </w:r>
    </w:p>
    <w:p>
      <w:pPr>
        <w:pStyle w:val="ListParagraph"/>
        <w:numPr>
          <w:ilvl w:val="0"/>
          <w:numId w:val="16"/>
        </w:numPr>
        <w:spacing w:after="80"/>
      </w:pPr>
      <w:r>
        <w:t xml:space="preserve">Labour market testing was missing, late or incorrect</w:t>
      </w:r>
    </w:p>
    <w:p>
      <w:pPr>
        <w:pStyle w:val="ListParagraph"/>
        <w:numPr>
          <w:ilvl w:val="0"/>
          <w:numId w:val="16"/>
        </w:numPr>
        <w:spacing w:after="80"/>
      </w:pPr>
      <w:r>
        <w:t xml:space="preserve">The employer is not an approved sponsor, or has a poor compliance history</w:t>
      </w:r>
    </w:p>
    <w:p>
      <w:pPr>
        <w:pStyle w:val="ListParagraph"/>
        <w:numPr>
          <w:ilvl w:val="0"/>
          <w:numId w:val="16"/>
        </w:numPr>
        <w:spacing w:after="80"/>
      </w:pPr>
      <w:r>
        <w:t xml:space="preserve">The worker's experience or qualifications do not match the nominated role</w:t>
      </w:r>
    </w:p>
    <w:p>
      <w:pPr>
        <w:pStyle w:val="ListParagraph"/>
        <w:numPr>
          <w:ilvl w:val="0"/>
          <w:numId w:val="16"/>
        </w:numPr>
        <w:spacing w:after="80"/>
      </w:pPr>
      <w:r>
        <w:t xml:space="preserve">Inconsistent documents or job details</w:t>
      </w:r>
    </w:p>
    <w:p>
      <w:pPr>
        <w:pStyle w:val="ListParagraph"/>
        <w:numPr>
          <w:ilvl w:val="0"/>
          <w:numId w:val="16"/>
        </w:numPr>
        <w:spacing w:after="80"/>
      </w:pPr>
      <w:r>
        <w:t xml:space="preserve">English, health or character requirements are not met</w:t>
      </w:r>
    </w:p>
    <w:p>
      <w:pPr>
        <w:pStyle w:val="ListParagraph"/>
        <w:numPr>
          <w:ilvl w:val="0"/>
          <w:numId w:val="16"/>
        </w:numPr>
        <w:spacing w:after="80"/>
      </w:pPr>
      <w:r>
        <w:t xml:space="preserve">The sponsor passed on costs that it should not have</w:t>
      </w:r>
    </w:p>
    <w:p>
      <w:pPr>
        <w:pStyle w:val="ListParagraph"/>
        <w:numPr>
          <w:ilvl w:val="0"/>
          <w:numId w:val="16"/>
        </w:numPr>
        <w:spacing w:after="80"/>
      </w:pPr>
      <w:r>
        <w:t xml:space="preserve">Incomplete information, or false or misleading information</w:t>
      </w:r>
    </w:p>
    <w:p>
      <w:pPr>
        <w:spacing w:after="160"/>
      </w:pPr>
      <w:r>
        <w:t xml:space="preserve">Many of these can be addressed before lodging. A review of the nomination and the visa application together is more effective than checking them separately.</w:t>
      </w:r>
    </w:p>
    <w:p>
      <w:pPr>
        <w:pStyle w:val="Heading2"/>
      </w:pPr>
      <w:r>
        <w:t xml:space="preserve">Considerations for Applicants From Pakistan, India, Bangladesh and Sri Lanka</w:t>
      </w:r>
    </w:p>
    <w:p>
      <w:pPr>
        <w:spacing w:after="160"/>
      </w:pPr>
      <w:r>
        <w:t xml:space="preserve">The criteria are the same for every nationality, but a few practical points arise often.</w:t>
      </w:r>
    </w:p>
    <w:p>
      <w:pPr>
        <w:pStyle w:val="ListParagraph"/>
        <w:numPr>
          <w:ilvl w:val="0"/>
          <w:numId w:val="17"/>
        </w:numPr>
        <w:spacing w:after="80"/>
      </w:pPr>
      <w:r>
        <w:t xml:space="preserve">Skills assessments and licences. Some occupations require a skills assessment or registration by an Australian authority, and these can take time. Start early</w:t>
      </w:r>
    </w:p>
    <w:p>
      <w:pPr>
        <w:pStyle w:val="ListParagraph"/>
        <w:numPr>
          <w:ilvl w:val="0"/>
          <w:numId w:val="17"/>
        </w:numPr>
        <w:spacing w:after="80"/>
      </w:pPr>
      <w:r>
        <w:t xml:space="preserve">Evidence of experience. Employment references, tax records and payslips should be consistent and verifiable</w:t>
      </w:r>
    </w:p>
    <w:p>
      <w:pPr>
        <w:pStyle w:val="ListParagraph"/>
        <w:numPr>
          <w:ilvl w:val="0"/>
          <w:numId w:val="17"/>
        </w:numPr>
        <w:spacing w:after="80"/>
      </w:pPr>
      <w:r>
        <w:t xml:space="preserve">Documents and translations. Documents in other languages need certified English translations</w:t>
      </w:r>
    </w:p>
    <w:p>
      <w:pPr>
        <w:pStyle w:val="ListParagraph"/>
        <w:numPr>
          <w:ilvl w:val="0"/>
          <w:numId w:val="17"/>
        </w:numPr>
        <w:spacing w:after="80"/>
      </w:pPr>
      <w:r>
        <w:t xml:space="preserve">English tests. Check that your result meets the requirement for your stream and remains valid</w:t>
      </w:r>
    </w:p>
    <w:p>
      <w:pPr>
        <w:pStyle w:val="ListParagraph"/>
        <w:numPr>
          <w:ilvl w:val="0"/>
          <w:numId w:val="17"/>
        </w:numPr>
        <w:spacing w:after="80"/>
      </w:pPr>
      <w:r>
        <w:t xml:space="preserve">Police certificates and health checks. Plan for the time they take</w:t>
      </w:r>
    </w:p>
    <w:p>
      <w:pPr>
        <w:pStyle w:val="ListParagraph"/>
        <w:numPr>
          <w:ilvl w:val="0"/>
          <w:numId w:val="17"/>
        </w:numPr>
        <w:spacing w:after="80"/>
      </w:pPr>
      <w:r>
        <w:t xml:space="preserve">Job offers. Verify the employer and be careful with agents who ask for payment</w:t>
      </w:r>
    </w:p>
    <w:p>
      <w:pPr>
        <w:pStyle w:val="ListParagraph"/>
        <w:numPr>
          <w:ilvl w:val="0"/>
          <w:numId w:val="17"/>
        </w:numPr>
        <w:spacing w:after="80"/>
      </w:pPr>
      <w:r>
        <w:t xml:space="preserve">Family. Plan whether dependants will join you, and the extra costs</w:t>
      </w:r>
    </w:p>
    <w:p>
      <w:pPr>
        <w:spacing w:after="160"/>
      </w:pPr>
      <w:r>
        <w:t xml:space="preserve">Applicants from Europe and other regions follow the same rules, although some occupations and documents differ.</w:t>
      </w:r>
    </w:p>
    <w:p>
      <w:pPr>
        <w:pStyle w:val="Heading2"/>
      </w:pPr>
      <w:r>
        <w:t xml:space="preserve">How Professional Help Can Assist</w:t>
      </w:r>
    </w:p>
    <w:p>
      <w:pPr>
        <w:spacing w:after="160"/>
      </w:pPr>
      <w:r>
        <w:t xml:space="preserve">A migration professional cannot change the rules, find a sponsor for you, guarantee a visa or make the Department decide faster. What a good adviser can do is help you check which stream fits, review the nomination and your evidence for consistency, explain the salary and advertising requirements, plan the pathway to permanent residence and advise on what to do if your circumstances change.</w:t>
      </w:r>
    </w:p>
    <w:p>
      <w:pPr>
        <w:spacing w:after="160"/>
      </w:pPr>
      <w:r>
        <w:t xml:space="preserve">For employers, a review can help avoid errors in sponsor approval, nomination and compliance. For workers, it can help you assess an offer before you commit.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employer sponsored and skilled visas. We offer a free consultation where you can talk through your occupation, your offer and your options before deciding on your next step. To arrange one, use [INSERT VERIFIED CONSULTATION URL].</w:t>
      </w:r>
    </w:p>
    <w:p>
      <w:pPr>
        <w:pStyle w:val="Heading2"/>
      </w:pPr>
      <w:r>
        <w:t xml:space="preserve">Frequently Asked Questions</w:t>
      </w:r>
    </w:p>
    <w:p>
      <w:pPr>
        <w:pStyle w:val="Heading3"/>
      </w:pPr>
      <w:r>
        <w:t xml:space="preserve">What is an employer sponsored visa in Australia?</w:t>
      </w:r>
    </w:p>
    <w:p>
      <w:pPr>
        <w:spacing w:after="160"/>
      </w:pPr>
      <w:r>
        <w:t xml:space="preserve">It is a visa that allows an Australian business to sponsor a skilled worker. The main options are the temporary Skills in Demand visa subclass 482 and the permanent Employer Nomination Scheme subclass 186.</w:t>
      </w:r>
    </w:p>
    <w:p>
      <w:pPr>
        <w:pStyle w:val="Heading3"/>
      </w:pPr>
      <w:r>
        <w:t xml:space="preserve">What are the employer sponsored visa requirements?</w:t>
      </w:r>
    </w:p>
    <w:p>
      <w:pPr>
        <w:spacing w:after="160"/>
      </w:pPr>
      <w:r>
        <w:t xml:space="preserve">The employer must be an approved sponsor and nominate a genuine position with a salary that meets the threshold and market rate. The worker must have suitable skills, experience, English and meet health and character requirements.</w:t>
      </w:r>
    </w:p>
    <w:p>
      <w:pPr>
        <w:pStyle w:val="Heading3"/>
      </w:pPr>
      <w:r>
        <w:t xml:space="preserve">What is the minimum salary for the 482 visa?</w:t>
      </w:r>
    </w:p>
    <w:p>
      <w:pPr>
        <w:spacing w:after="160"/>
      </w:pPr>
      <w:r>
        <w:t xml:space="preserve">Sources report a Core Skills threshold of about AUD 79,423 and a Specialist Skills threshold of about AUD 146,576 from 1 July 2026, and the salary must also meet the market rate. Confirm the current figures.</w:t>
      </w:r>
    </w:p>
    <w:p>
      <w:pPr>
        <w:pStyle w:val="Heading3"/>
      </w:pPr>
      <w:r>
        <w:t xml:space="preserve">What is labour market testing?</w:t>
      </w:r>
    </w:p>
    <w:p>
      <w:pPr>
        <w:spacing w:after="160"/>
      </w:pPr>
      <w:r>
        <w:t xml:space="preserve">It is advertising a role to show that an Australian worker could not be found. Where required, sources report at least 28 days on at least two national platforms. Confirm the current rules.</w:t>
      </w:r>
    </w:p>
    <w:p>
      <w:pPr>
        <w:pStyle w:val="Heading3"/>
      </w:pPr>
      <w:r>
        <w:t xml:space="preserve">How much does employer sponsorship cost?</w:t>
      </w:r>
    </w:p>
    <w:p>
      <w:pPr>
        <w:spacing w:after="160"/>
      </w:pPr>
      <w:r>
        <w:t xml:space="preserve">Costs include the visa charge, nomination and sponsorship charges, the Skilling Australians Fund levy and other costs such as health checks. Visa charges increased on 1 July 2026, so check the Visa Pricing Estimator.</w:t>
      </w:r>
    </w:p>
    <w:p>
      <w:pPr>
        <w:pStyle w:val="Heading3"/>
      </w:pPr>
      <w:r>
        <w:t xml:space="preserve">Can an employer charge me for sponsorship?</w:t>
      </w:r>
    </w:p>
    <w:p>
      <w:pPr>
        <w:spacing w:after="160"/>
      </w:pPr>
      <w:r>
        <w:t xml:space="preserve">Generally no. Sponsors cannot recover sponsorship costs from the worker. Be careful with anyone who asks you to pay for a job or a sponsorship.</w:t>
      </w:r>
    </w:p>
    <w:p>
      <w:pPr>
        <w:pStyle w:val="Heading3"/>
      </w:pPr>
      <w:r>
        <w:t xml:space="preserve">How long does an employer sponsored visa take?</w:t>
      </w:r>
    </w:p>
    <w:p>
      <w:pPr>
        <w:spacing w:after="160"/>
      </w:pPr>
      <w:r>
        <w:t xml:space="preserve">There is no fixed time. Practitioner sources report medians of weeks for some streams and longer for others. Check the Department's processing times tool.</w:t>
      </w:r>
    </w:p>
    <w:p>
      <w:pPr>
        <w:pStyle w:val="Heading3"/>
      </w:pPr>
      <w:r>
        <w:t xml:space="preserve">Can I get permanent residency through employer sponsorship?</w:t>
      </w:r>
    </w:p>
    <w:p>
      <w:pPr>
        <w:spacing w:after="160"/>
      </w:pPr>
      <w:r>
        <w:t xml:space="preserve">Possibly. After a period working for the sponsor, a 482 holder may be able to apply for the 186 Temporary Residence Transition visa. Direct Entry is another option for some workers.</w:t>
      </w:r>
    </w:p>
    <w:p>
      <w:pPr>
        <w:pStyle w:val="Heading3"/>
      </w:pPr>
      <w:r>
        <w:t xml:space="preserve">What if my employment ends?</w:t>
      </w:r>
    </w:p>
    <w:p>
      <w:pPr>
        <w:spacing w:after="160"/>
      </w:pPr>
      <w:r>
        <w:t xml:space="preserve">Sources report that a worker may have up to 180 days at a time, and up to 365 days in total, to find a new sponsor or leave. Check your visa conditions.</w:t>
      </w:r>
    </w:p>
    <w:p>
      <w:pPr>
        <w:pStyle w:val="Heading3"/>
      </w:pPr>
      <w:r>
        <w:t xml:space="preserve">Can my family come with me?</w:t>
      </w:r>
    </w:p>
    <w:p>
      <w:pPr>
        <w:spacing w:after="160"/>
      </w:pPr>
      <w:r>
        <w:t xml:space="preserve">Eligible family members can usually be included in the application, with additional charges and requirements. Check the current rules.</w:t>
      </w:r>
    </w:p>
    <w:p>
      <w:pPr>
        <w:pStyle w:val="Heading3"/>
      </w:pPr>
      <w:r>
        <w:t xml:space="preserve">Can I get a sponsored job from Pakistan, India, Bangladesh or Sri Lanka?</w:t>
      </w:r>
    </w:p>
    <w:p>
      <w:pPr>
        <w:spacing w:after="160"/>
      </w:pPr>
      <w:r>
        <w:t xml:space="preserve">Yes, applicants from these countries can be sponsored if the employer and the worker meet the requirements. Be careful with scams, and never pay for a job offer.</w:t>
      </w:r>
    </w:p>
    <w:p>
      <w:pPr>
        <w:pStyle w:val="Heading3"/>
      </w:pPr>
      <w:r>
        <w:t xml:space="preserve">Do I need a migration agent?</w:t>
      </w:r>
    </w:p>
    <w:p>
      <w:pPr>
        <w:spacing w:after="160"/>
      </w:pPr>
      <w:r>
        <w:t xml:space="preserve">You do not have to use one, but a review before lodging can help you spot problems. Make sure anyone you pay for immigration advice is appropriately authorised.</w:t>
      </w:r>
    </w:p>
    <w:p>
      <w:pPr>
        <w:pStyle w:val="Heading2"/>
      </w:pPr>
      <w:r>
        <w:t xml:space="preserve">Next Step</w:t>
      </w:r>
    </w:p>
    <w:p>
      <w:pPr>
        <w:spacing w:after="160"/>
      </w:pPr>
      <w:r>
        <w:t xml:space="preserve">If you are an employer considering sponsorship, or a worker assessing an offer or planning the path to permanent residence, book a free consultation with Migration Factor at [INSERT VERIFIED CONSULTATION URL]. Please bring your resume, the job offer and a summary of your qualifications,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2026-10-12T08:18:07.448Z</dcterms:created>
  <dcterms:modified xsi:type="dcterms:W3CDTF">2026-10-12T08:18:07.448Z</dcterms:modified>
</cp:coreProperties>
</file>

<file path=docProps/custom.xml><?xml version="1.0" encoding="utf-8"?>
<Properties xmlns="http://schemas.openxmlformats.org/officeDocument/2006/custom-properties" xmlns:vt="http://schemas.openxmlformats.org/officeDocument/2006/docPropsVTypes"/>
</file>