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jc w:val="left"/>
      </w:pPr>
      <w:r>
        <w:rPr>
          <w:rFonts w:ascii="Arial" w:cs="Arial" w:eastAsia="Arial" w:hAnsi="Arial"/>
          <w:b/>
          <w:bCs/>
          <w:color w:val="1E293B"/>
          <w:sz w:val="56"/>
          <w:szCs w:val="56"/>
        </w:rPr>
        <w:t xml:space="preserve">Product Studio</w:t>
      </w:r>
    </w:p>
    <w:p>
      <w:pPr>
        <w:spacing w:after="400"/>
      </w:pPr>
      <w:r>
        <w:rPr>
          <w:rFonts w:ascii="Arial" w:cs="Arial" w:eastAsia="Arial" w:hAnsi="Arial"/>
          <w:color w:val="475569"/>
          <w:sz w:val="36"/>
          <w:szCs w:val="36"/>
        </w:rPr>
        <w:t xml:space="preserve">Data Graph as Product Definition</w:t>
      </w:r>
    </w:p>
    <w:p>
      <w:pPr>
        <w:spacing w:after="100"/>
      </w:pPr>
      <w:r>
        <w:rPr>
          <w:color w:val="475569"/>
          <w:sz w:val="24"/>
          <w:szCs w:val="24"/>
        </w:rPr>
        <w:t xml:space="preserve">Presentation Walkthrough Script + Prototype Update Plan</w:t>
      </w:r>
    </w:p>
    <w:p>
      <w:pPr>
        <w:spacing w:after="200"/>
      </w:pPr>
    </w:p>
    <w:p>
      <w:r>
        <w:rPr>
          <w:b/>
          <w:bCs/>
          <w:color w:val="475569"/>
          <w:sz w:val="22"/>
          <w:szCs w:val="22"/>
        </w:rPr>
        <w:t xml:space="preserve">Audience: </w:t>
      </w:r>
      <w:r>
        <w:rPr>
          <w:color w:val="475569"/>
          <w:sz w:val="22"/>
          <w:szCs w:val="22"/>
        </w:rPr>
        <w:t xml:space="preserve">William, Shan, Jesse, Zohaib, Mitch, JJ, Ajahne</w:t>
      </w:r>
    </w:p>
    <w:p>
      <w:r>
        <w:rPr>
          <w:b/>
          <w:bCs/>
          <w:color w:val="475569"/>
          <w:sz w:val="22"/>
          <w:szCs w:val="22"/>
        </w:rPr>
        <w:t xml:space="preserve">Format: </w:t>
      </w:r>
      <w:r>
        <w:rPr>
          <w:color w:val="475569"/>
          <w:sz w:val="22"/>
          <w:szCs w:val="22"/>
        </w:rPr>
        <w:t xml:space="preserve">Live prototype walkthrough with narrative script</w:t>
      </w:r>
    </w:p>
    <w:p>
      <w:r>
        <w:rPr>
          <w:b/>
          <w:bCs/>
          <w:color w:val="475569"/>
          <w:sz w:val="22"/>
          <w:szCs w:val="22"/>
        </w:rPr>
        <w:t xml:space="preserve">Duration: </w:t>
      </w:r>
      <w:r>
        <w:rPr>
          <w:color w:val="475569"/>
          <w:sz w:val="22"/>
          <w:szCs w:val="22"/>
        </w:rPr>
        <w:t xml:space="preserve">25-30 minutes + 15 min discussion</w:t>
      </w:r>
    </w:p>
    <w:p>
      <w:r>
        <w:rPr>
          <w:b/>
          <w:bCs/>
          <w:color w:val="475569"/>
          <w:sz w:val="22"/>
          <w:szCs w:val="22"/>
        </w:rPr>
        <w:t xml:space="preserve">Date: </w:t>
      </w:r>
      <w:r>
        <w:rPr>
          <w:color w:val="475569"/>
          <w:sz w:val="22"/>
          <w:szCs w:val="22"/>
        </w:rPr>
        <w:t xml:space="preserve">March 2026</w:t>
      </w:r>
    </w:p>
    <w:p>
      <w:r>
        <w:br w:type="page"/>
      </w:r>
    </w:p>
    <w:p>
      <w:pPr>
        <w:sectPr>
          <w:pgSz w:w="12240" w:h="15840" w:orient="portrait"/>
          <w:pgMar w:top="3600" w:right="1440" w:bottom="1440" w:left="1440" w:header="708" w:footer="708" w:gutter="0"/>
          <w:pgNumType/>
          <w:docGrid w:linePitch="360"/>
        </w:sectPr>
      </w:pPr>
    </w:p>
    <w:p>
      <w:pPr>
        <w:pStyle w:val="Heading1"/>
      </w:pPr>
      <w:r>
        <w:t xml:space="preserve">Part 1: Prototype Update Plan</w:t>
      </w:r>
    </w:p>
    <w:p>
      <w:pPr>
        <w:spacing w:after="120"/>
      </w:pPr>
      <w:r>
        <w:t xml:space="preserve">The current prototype has five steps across two modules (FDE Rater Config + PM Product Definition). Below is the mapping from current state to the data-graph-centric architecture, with specific changes to make before the walkthrough.</w:t>
      </w:r>
    </w:p>
    <w:p>
      <w:pPr>
        <w:pStyle w:val="Heading2"/>
      </w:pPr>
      <w:r>
        <w:t xml:space="preserve">Current V2 Prototype Structure</w:t>
      </w:r>
    </w:p>
    <w:p>
      <w:pPr>
        <w:pStyle w:val="Heading3"/>
      </w:pPr>
      <w:r>
        <w:t xml:space="preserve">FDE: Rater Configuration Module</w:t>
      </w:r>
    </w:p>
    <w:p>
      <w:pPr>
        <w:spacing w:after="120"/>
      </w:pPr>
      <w:r>
        <w:rPr>
          <w:b/>
          <w:bCs/>
        </w:rPr>
        <w:t xml:space="preserve">Tab 1: Rater Connection</w:t>
      </w:r>
      <w:r>
        <w:t xml:space="preserve"> — Upload/connect Excel rater. Parses sheets, shows cardinality stats, array detection callout. </w:t>
      </w:r>
      <w:r>
        <w:rPr>
          <w:i/>
          <w:iCs/>
          <w:color w:val="475569"/>
        </w:rPr>
        <w:t xml:space="preserve">Keep as-is. This step is solid.</w:t>
      </w:r>
    </w:p>
    <w:p>
      <w:pPr>
        <w:spacing w:after="120"/>
      </w:pPr>
      <w:r>
        <w:rPr>
          <w:b/>
          <w:bCs/>
        </w:rPr>
        <w:t xml:space="preserve">Tab 2: Schema Mapping</w:t>
      </w:r>
      <w:r>
        <w:t xml:space="preserve"> — Field-to-Federato-column mapping table with sheet grouping, cardinality badges, scope column. </w:t>
      </w:r>
      <w:r>
        <w:rPr>
          <w:i/>
          <w:iCs/>
          <w:color w:val="475569"/>
        </w:rPr>
        <w:t xml:space="preserve">Keep but reposition: this is now step 2, before Data Sources.</w:t>
      </w:r>
    </w:p>
    <w:p>
      <w:pPr>
        <w:spacing w:after="120"/>
      </w:pPr>
      <w:r>
        <w:rPr>
          <w:b/>
          <w:bCs/>
        </w:rPr>
        <w:t xml:space="preserve">Tab 3: Data Sources</w:t>
      </w:r>
      <w:r>
        <w:t xml:space="preserve"> — Source groups (rater, DB, API, submission, forms) with dependency chains. </w:t>
      </w:r>
      <w:r>
        <w:rPr>
          <w:i/>
          <w:iCs/>
          <w:color w:val="475569"/>
        </w:rPr>
        <w:t xml:space="preserve">Transform into Data Graph: interactive dependency visualization.</w:t>
      </w:r>
    </w:p>
    <w:p>
      <w:pPr>
        <w:spacing w:after="200"/>
      </w:pPr>
    </w:p>
    <w:p>
      <w:pPr>
        <w:pStyle w:val="Heading3"/>
      </w:pPr>
      <w:r>
        <w:t xml:space="preserve">PM: Product Definition Module</w:t>
      </w:r>
    </w:p>
    <w:p>
      <w:pPr>
        <w:spacing w:after="120"/>
      </w:pPr>
      <w:r>
        <w:rPr>
          <w:b/>
          <w:bCs/>
        </w:rPr>
        <w:t xml:space="preserve">Tab 1: Coverages &amp; Options</w:t>
      </w:r>
      <w:r>
        <w:t xml:space="preserve"> — Coverage toggles with Product Config / Field Definitions sub-tabs. </w:t>
      </w:r>
      <w:r>
        <w:rPr>
          <w:i/>
          <w:iCs/>
          <w:color w:val="475569"/>
        </w:rPr>
        <w:t xml:space="preserve">Rename to “Coverages &amp; Rating.” Remove Field Definitions sub-tab (absorbed into graph).</w:t>
      </w:r>
    </w:p>
    <w:p>
      <w:pPr>
        <w:spacing w:after="120"/>
      </w:pPr>
      <w:r>
        <w:rPr>
          <w:b/>
          <w:bCs/>
        </w:rPr>
        <w:t xml:space="preserve">Tab 2: Field Definitions</w:t>
      </w:r>
      <w:r>
        <w:t xml:space="preserve"> — Standalone field config panel. </w:t>
      </w:r>
      <w:r>
        <w:rPr>
          <w:i/>
          <w:iCs/>
          <w:color w:val="475569"/>
        </w:rPr>
        <w:t xml:space="preserve">Remove entirely. Field config lives in the graph; PM sees business controls only.</w:t>
      </w:r>
    </w:p>
    <w:p>
      <w:pPr>
        <w:spacing w:after="120"/>
      </w:pPr>
      <w:r>
        <w:rPr>
          <w:b/>
          <w:bCs/>
        </w:rPr>
        <w:t xml:space="preserve">Tab 3: Workflow Builder</w:t>
      </w:r>
      <w:r>
        <w:t xml:space="preserve"> — Auto-generated steps with field chips, conditions, form triggers. </w:t>
      </w:r>
      <w:r>
        <w:rPr>
          <w:i/>
          <w:iCs/>
          <w:color w:val="475569"/>
        </w:rPr>
        <w:t xml:space="preserve">Keep but add confidence scoring badges + generation reason annotations.</w:t>
      </w:r>
    </w:p>
    <w:p>
      <w:pPr>
        <w:spacing w:after="120"/>
      </w:pPr>
      <w:r>
        <w:rPr>
          <w:b/>
          <w:bCs/>
        </w:rPr>
        <w:t xml:space="preserve">Tab 4: Workflow Preview</w:t>
      </w:r>
      <w:r>
        <w:t xml:space="preserve"> — Live UW-facing preview. </w:t>
      </w:r>
      <w:r>
        <w:rPr>
          <w:i/>
          <w:iCs/>
          <w:color w:val="475569"/>
        </w:rPr>
        <w:t xml:space="preserve">Keep as-is.</w:t>
      </w:r>
    </w:p>
    <w:p>
      <w:pPr>
        <w:spacing w:after="200"/>
      </w:pPr>
    </w:p>
    <w:p>
      <w:pPr>
        <w:pStyle w:val="Heading2"/>
      </w:pPr>
      <w:r>
        <w:t xml:space="preserve">Planned Changes (Priority Order)</w:t>
      </w:r>
    </w:p>
    <w:p>
      <w:pPr>
        <w:spacing w:after="120"/>
      </w:pPr>
      <w:r>
        <w:rPr>
          <w:b/>
          <w:bCs/>
        </w:rPr>
        <w:t xml:space="preserve">1. Reorder FDE tabs: Rater Connection → Schema Mapping → Data Graph</w:t>
      </w:r>
    </w:p>
    <w:p>
      <w:pPr>
        <w:spacing w:after="120"/>
      </w:pPr>
      <w:r>
        <w:t xml:space="preserve">Swap the order of Schema Mapping and Data Sources in RATER_CONFIG_STEPS. Schema mapping provides semantic identity needed for dependency detection. Rename “Data Sources” to “Data Graph.”</w:t>
      </w:r>
    </w:p>
    <w:p>
      <w:pPr>
        <w:spacing w:after="120"/>
      </w:pPr>
      <w:r>
        <w:rPr>
          <w:i/>
          <w:iCs/>
          <w:color w:val="475569"/>
        </w:rPr>
        <w:t xml:space="preserve">Effort: Small — constant reorder + label change. ~30 min.</w:t>
      </w:r>
    </w:p>
    <w:p>
      <w:pPr>
        <w:spacing w:after="120"/>
      </w:pPr>
      <w:r>
        <w:rPr>
          <w:b/>
          <w:bCs/>
        </w:rPr>
        <w:t xml:space="preserve">2. Add confidence scoring to generated workflow steps</w:t>
      </w:r>
    </w:p>
    <w:p>
      <w:pPr>
        <w:spacing w:after="120"/>
      </w:pPr>
      <w:r>
        <w:t xml:space="preserve">Each step in WorkflowBuilderStep gets a green/yellow/red confidence dot based on: fields mapped (green), fields mapped but edges unvalidated (yellow), fields unmapped or step empty (red). Add a readiness percentage bar at the top of the workflow.</w:t>
      </w:r>
    </w:p>
    <w:p>
      <w:pPr>
        <w:spacing w:after="120"/>
      </w:pPr>
      <w:r>
        <w:rPr>
          <w:i/>
          <w:iCs/>
          <w:color w:val="475569"/>
        </w:rPr>
        <w:t xml:space="preserve">Effort: Medium — new scoring logic + visual badges. ~2 hours.</w:t>
      </w:r>
    </w:p>
    <w:p>
      <w:pPr>
        <w:spacing w:after="120"/>
      </w:pPr>
      <w:r>
        <w:rPr>
          <w:b/>
          <w:bCs/>
        </w:rPr>
        <w:t xml:space="preserve">3. Add generation reason annotations to workflow steps</w:t>
      </w:r>
    </w:p>
    <w:p>
      <w:pPr>
        <w:spacing w:after="120"/>
      </w:pPr>
      <w:r>
        <w:t xml:space="preserve">Each generated step shows a collapsed “Why was this generated?” annotation. Clicking reveals: which heuristic produced it (scope grouping, dependency ordering, domain clustering), which graph nodes it consumes, and what widget type was inferred.</w:t>
      </w:r>
    </w:p>
    <w:p>
      <w:pPr>
        <w:spacing w:after="120"/>
      </w:pPr>
      <w:r>
        <w:rPr>
          <w:i/>
          <w:iCs/>
          <w:color w:val="475569"/>
        </w:rPr>
        <w:t xml:space="preserve">Effort: Medium — new annotation component + reason strings per step. ~2 hours.</w:t>
      </w:r>
    </w:p>
    <w:p>
      <w:pPr>
        <w:spacing w:after="120"/>
      </w:pPr>
      <w:r>
        <w:rPr>
          <w:b/>
          <w:bCs/>
        </w:rPr>
        <w:t xml:space="preserve">4. Restructure PM sidebar: Coverages &amp; Rating → Forms &amp; Documents → UW Workflow → Preview</w:t>
      </w:r>
    </w:p>
    <w:p>
      <w:pPr>
        <w:spacing w:after="120"/>
      </w:pPr>
      <w:r>
        <w:t xml:space="preserve">Replace PRODUCT_DEF_STEPS with four tabs. Remove Field Definitions. Add Forms &amp; Documents tab (form library, attachment rules, merge field mapping — can be placeholder cards for demo). Rename “Coverages &amp; Options” to “Coverages &amp; Rating.”</w:t>
      </w:r>
    </w:p>
    <w:p>
      <w:pPr>
        <w:spacing w:after="120"/>
      </w:pPr>
      <w:r>
        <w:rPr>
          <w:i/>
          <w:iCs/>
          <w:color w:val="475569"/>
        </w:rPr>
        <w:t xml:space="preserve">Effort: Medium — sidebar restructure + new placeholder tab. ~2 hours.</w:t>
      </w:r>
    </w:p>
    <w:p>
      <w:pPr>
        <w:spacing w:after="120"/>
      </w:pPr>
      <w:r>
        <w:rPr>
          <w:b/>
          <w:bCs/>
        </w:rPr>
        <w:t xml:space="preserve">5. Transform Data Sources into Data Graph visualization</w:t>
      </w:r>
    </w:p>
    <w:p>
      <w:pPr>
        <w:spacing w:after="120"/>
      </w:pPr>
      <w:r>
        <w:t xml:space="preserve">Replace the current source-groups card layout with an interactive graph showing nodes (fields) grouped by data source, edges (dependencies) as connecting lines, and scope coloring. This is the centerpiece of the demo. Could be built as a simplified version of the architecture diagram’s graph tab.</w:t>
      </w:r>
    </w:p>
    <w:p>
      <w:pPr>
        <w:spacing w:after="120"/>
      </w:pPr>
      <w:r>
        <w:rPr>
          <w:i/>
          <w:iCs/>
          <w:color w:val="475569"/>
        </w:rPr>
        <w:t xml:space="preserve">Effort: Large — new interactive visualization component. ~4-6 hours.</w:t>
      </w:r>
    </w:p>
    <w:p>
      <w:pPr>
        <w:spacing w:after="120"/>
      </w:pPr>
      <w:r>
        <w:rPr>
          <w:b/>
          <w:bCs/>
        </w:rPr>
        <w:t xml:space="preserve">6. Add live regeneration when PM toggles coverages</w:t>
      </w:r>
    </w:p>
    <w:p>
      <w:pPr>
        <w:spacing w:after="120"/>
      </w:pPr>
      <w:r>
        <w:t xml:space="preserve">When the PM enables/disables a coverage in the Coverages &amp; Rating tab, the workflow in the UW Workflow tab should visibly update (steps appear/disappear, confidence changes). Currently the workflow is static. This demonstrates the progressive generation model.</w:t>
      </w:r>
    </w:p>
    <w:p>
      <w:pPr>
        <w:spacing w:after="120"/>
      </w:pPr>
      <w:r>
        <w:rPr>
          <w:i/>
          <w:iCs/>
          <w:color w:val="475569"/>
        </w:rPr>
        <w:t xml:space="preserve">Effort: Medium — wire coverage state changes to workflow step regeneration. ~2 hours.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20"/>
              <w:left w:type="dxa" w:w="200"/>
              <w:bottom w:type="dxa" w:w="120"/>
              <w:right w:type="dxa" w:w="200"/>
            </w:tcMar>
          </w:tcPr>
          <w:p>
            <w:r>
              <w:rPr>
                <w:b/>
                <w:bCs/>
                <w:color w:val="92400E"/>
                <w:sz w:val="22"/>
                <w:szCs w:val="22"/>
              </w:rPr>
              <w:t xml:space="preserve">Recommended demo-ready scope</w:t>
            </w:r>
          </w:p>
          <w:p>
            <w:pPr>
              <w:spacing w:before="60"/>
            </w:pPr>
            <w:r>
              <w:rPr>
                <w:color w:val="78350F"/>
                <w:sz w:val="20"/>
                <w:szCs w:val="20"/>
              </w:rPr>
              <w:t xml:space="preserve">Changes 1-4 are achievable before a walkthrough and demonstrate the core concepts. Change 5 (graph visualization) is the highest-impact visual but requires the most work — a simplified version (nodes as cards with connecting lines, not a full force-directed graph) is sufficient. Change 6 is the “aha moment” for progressive generation.</w:t>
            </w:r>
          </w:p>
        </w:tc>
      </w:tr>
    </w:tbl>
    <w:p>
      <w:r>
        <w:br w:type="page"/>
      </w:r>
    </w:p>
    <w:p>
      <w:pPr>
        <w:pStyle w:val="Heading1"/>
      </w:pPr>
      <w:r>
        <w:t xml:space="preserve">Part 2: Presentation Walkthrough Script</w:t>
      </w:r>
    </w:p>
    <w:p>
      <w:pPr>
        <w:spacing w:after="120"/>
      </w:pPr>
      <w:r>
        <w:t xml:space="preserve">This is a beat-by-beat script for walking through the live prototype. The left column is what you do in the browser; the right column is what you say. Adapt the language to your voice — the key is hitting each insight at the right moment.</w:t>
      </w:r>
    </w:p>
    <w:p>
      <w:pPr>
        <w:spacing w:after="200"/>
      </w:pPr>
    </w:p>
    <w:p>
      <w:pPr>
        <w:pStyle w:val="Heading2"/>
      </w:pPr>
      <w:r>
        <w:t xml:space="preserve">Before You Start</w:t>
      </w:r>
    </w:p>
    <w:p>
      <w:pPr>
        <w:spacing w:after="120"/>
      </w:pPr>
      <w:r>
        <w:t xml:space="preserve">Open two browser tabs: (1) the deployed prototype at migsroman.github.io/product-studio and (2) the architecture diagram at data-graph-architecture-v2.html. Start on the prototype. Have the v2 paradigm toggle selected and Habitational GL as the LOB.</w:t>
      </w:r>
    </w:p>
    <w:p>
      <w:pPr>
        <w:spacing w:after="200"/>
      </w:pPr>
    </w:p>
    <w:p>
      <w:pPr>
        <w:pStyle w:val="Heading2"/>
      </w:pPr>
      <w:r>
        <w:t xml:space="preserve">Act 1: The Problem (3 min)</w:t>
      </w:r>
    </w:p>
    <w:p>
      <w:pPr>
        <w:spacing w:after="120"/>
      </w:pPr>
      <w:r>
        <w:rPr>
          <w:i/>
          <w:iCs/>
          <w:color w:val="475569"/>
        </w:rPr>
        <w:t xml:space="preserve">Goal: Get everyone nodding about the pain before showing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0:00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Show current Federato rater config (your screenshots from earlier)</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Today, when an FDE sets up a rater, they manually create each widget in each step. The Rater Factors step has 16 widgets — 8 title labels and 8 UI components — all added one by one. Each widget implicitly depends on location data, industry class, crime score — but those dependencies are invisible.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Pause on the Location Inputs table screenshot</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This table has 10 location columns. But nothing in the system connects ‘num_locations’ to ‘this table has 10 slots.’ The FDE knows it because they read the Excel file. The system doesn’t.</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1:30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Show the quote template screenshot (merge fields)</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Same problem on the forms side. This quote template has merge fields like {{effective_date}} and {{per_project_aggregate_cap}}. But there’s no connection between the rater field that produces that value and the template slot that consumes it. Disconnected Items show up as warnings with no resolution path.</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2:30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Transition statement</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The team has been frustrated because we can’t figure out the end-to-end flow from rater to generated workflow. We’ve been treating field definitions, workflow steps, and form configuration as three separate problems. They’re not. They’re three views of the same thing.</w:t>
            </w:r>
          </w:p>
        </w:tc>
      </w:tr>
    </w:tbl>
    <w:p>
      <w:pPr>
        <w:spacing w:after="200"/>
      </w:pPr>
    </w:p>
    <w:p>
      <w:pPr>
        <w:pStyle w:val="Heading2"/>
      </w:pPr>
      <w:r>
        <w:t xml:space="preserve">Act 2: The Thesis (4 min)</w:t>
      </w:r>
    </w:p>
    <w:p>
      <w:pPr>
        <w:spacing w:after="120"/>
      </w:pPr>
      <w:r>
        <w:rPr>
          <w:i/>
          <w:iCs/>
          <w:color w:val="475569"/>
        </w:rPr>
        <w:t xml:space="preserve">Goal: Introduce the data graph concept. This is the “aha”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3:00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Switch to architecture diagram → “Revised V2 Split” tab</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Here’s the proposal. The dependency graph IS the product definition. Field definitions and workflow steps aren’t two separate things — they’re two views of the same graph. The sequential workflow is a generated projection of that graph, not a separately configured artifact.</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4:00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Point to the FDE side (blue) and PM side (green)</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Two personas, one graph. The FDE builds the graph: connects the rater, maps fields to our schema, validates dependency edges. The PM shapes the graph: toggles coverages, configures forms, sets eligibility. The system generates the workflow from the graph after every change.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5:00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Point to the reordered tabs and the GRAPH arrow between sides</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Key change from our earlier prototype: Schema Mapping comes before the Data Graph, not after. Because schema mapping gives each rater field semantic identity — ‘this cell is a zip code, not just a text field.’ Without that, the system can’t auto-detect that zip codes trigger geo lookups.</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6:00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Point to the five PM facets (new tab structure)</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And on the PM side — ‘Product Config’ was too narrow. The PM’s entire experience is the product definition. Five facets: Coverages &amp; Rating, Forms &amp; Documents, Eligibility, UW Workflow, and Preview. Forms are first-class — attachment rules are edges in the graph, merge fields resolve to graph nodes.</w:t>
            </w:r>
          </w:p>
        </w:tc>
      </w:tr>
    </w:tbl>
    <w:p>
      <w:pPr>
        <w:spacing w:after="200"/>
      </w:pPr>
    </w:p>
    <w:p>
      <w:pPr>
        <w:pStyle w:val="Heading2"/>
      </w:pPr>
      <w:r>
        <w:t xml:space="preserve">Act 3: The Prototype — FDE Flow (5 min)</w:t>
      </w:r>
    </w:p>
    <w:p>
      <w:pPr>
        <w:spacing w:after="120"/>
      </w:pPr>
      <w:r>
        <w:rPr>
          <w:i/>
          <w:iCs/>
          <w:color w:val="475569"/>
        </w:rPr>
        <w:t xml:space="preserve">Goal: Walk through the FDE’s three tabs live. Show cardinality detection and scope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7:00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Prototype → V2 toggle → Rater Configuration → Connect Rater. Click “Connect.”</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Step one: FDE connects the rater. The system parses the Ascendex GL workbook and immediately detects: 5 sheets, 35 fields, 2 repeating arrays with 10 location slots each, 1 lookup table. Notice the ‘Repeating Schedules’ stat card — the system found array cardinality automatically.</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8:00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Scroll to the Repeating Data callout card</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This callout shows the two array sheets: Inputs_Loc with 9 fields times 10 locations, and RateFactors with 8 factors times 10 locations. Both driven by num_locations. The system detected this from the workbook structure — the FDE didn’t configure it.</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9:00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“Schema Mapping” tab. Scroll through sheet groups.</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Step two: schema mapping. Each rater field gets mapped to a Federato column. See the cardinality badges on the sheet headers — ‘Repeating · up to 10 locations × 9 fields.’ And the scope column showing which fields are per-location versus account-level.</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10:00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“Data Sources” tab (or “Data Graph” if renamed).</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Step three: the dependency graph. This is where it all connects. Every data source is a node group. The edges show: num_locations drives the location array, zip_code triggers a geo API lookup, crime_score conditions the Habitability coverage. This is the source of truth that generates the workflow.</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11:00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Point out dependency chains at the bottom of Data Sources</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[William specifically:] You said Schema Sense should be a graph, not a table. This is that graph. It shows the full dependency chain from raw rater fields through API enrichment to coverage conditions to form triggers.</w:t>
            </w:r>
          </w:p>
        </w:tc>
      </w:tr>
    </w:tbl>
    <w:p>
      <w:pPr>
        <w:spacing w:after="200"/>
      </w:pPr>
    </w:p>
    <w:p>
      <w:pPr>
        <w:pStyle w:val="Heading2"/>
      </w:pPr>
      <w:r>
        <w:t xml:space="preserve">Act 4: The Prototype — PM Flow (5 min)</w:t>
      </w:r>
    </w:p>
    <w:p>
      <w:pPr>
        <w:spacing w:after="120"/>
      </w:pPr>
      <w:r>
        <w:rPr>
          <w:i/>
          <w:iCs/>
          <w:color w:val="475569"/>
        </w:rPr>
        <w:t xml:space="preserve">Goal: Walk through the PM’s product definition. Show scope-aware coverages and generated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12:00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Switch to Product Definition module → Coverages &amp; Rating tab</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Now the PM’s view. Notice: no field definitions, no raw schema. The PM sees business controls. Coverages grouped by scope — account-level at the top, per-location at the bottom with the sky-blue border.</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13:00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Scroll to the per-location coverages section</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Habitability and Assault &amp; Battery are per-location with a note: ‘varies by crime score — auto-excluded when score is 80 or above.’ The PM sees the business rule. The graph holds the conditional edge. The workflow will show this as a conditional annotation.</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14:00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Scroll to Risk Factors section</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All 8 risk factors are per-location. We discovered this from the actual Ascendex workbook — every factor has rows indexed Location 1 through 10. Years in Operation, Claim History, Endorsement Factor — all evaluated per location, not just Premises Condition.</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15:00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“Workflow Builder” tab</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This is the generated workflow. The system traversed the graph and produced these steps. Notice the sky-blue ‘repeating · per location’ badges on Locations, Exposures, and Review Rating. The field chips inside each step show scope coloring — per-location fields have the map icon.</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16:00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Hover over the Review Rating step to show all 8 risk factor fields</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Review Rating consumes all 8 risk factors, all per-location. The UW fills these in a table — 8 columns times N locations. The system inferred this from the graph: per-location scope plus dropdown field type equals table widget.</w:t>
            </w:r>
          </w:p>
        </w:tc>
      </w:tr>
    </w:tbl>
    <w:p>
      <w:pPr>
        <w:spacing w:after="200"/>
      </w:pPr>
    </w:p>
    <w:p>
      <w:pPr>
        <w:pStyle w:val="Heading2"/>
      </w:pPr>
      <w:r>
        <w:t xml:space="preserve">Act 5: Progressive Generation (5 min)</w:t>
      </w:r>
    </w:p>
    <w:p>
      <w:pPr>
        <w:spacing w:after="120"/>
      </w:pPr>
      <w:r>
        <w:rPr>
          <w:i/>
          <w:iCs/>
          <w:color w:val="475569"/>
        </w:rPr>
        <w:t xml:space="preserve">Goal: This is the key architectural insight. Show that generation is continuous, not 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17:00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Switch to architecture diagram → “Progressive Generation” tab</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Critical design decision: the workflow generates continuously, not behind a gate. Click through these four stages with me.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17:30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“Rater connected, zero mapping” stage</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Stage 1: the rater is connected but nothing is mapped. The system already generates a skeleton — 5 placeholder steps, all red. 12% readiness. The FDE can see: ‘here are 5 groups the system found, now let me tell it what they mean.’</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18:30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“Schema mapping complete” stage</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Stage 2: all fields mapped. Steps turn yellow. Rate Factors and Premium Review are already green — they’re self-contained. The FDE’s next job is clear: validate the dependency edges.</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19:30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“Graph edges validated” stage</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Stage 3: FDE validates edges. Six of seven steps are green. The only red? Forms. That’s the PM’s job. Notice: the FDE never built a single workflow step or widget. They mapped fields and validated edges. The system did the rest.</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20:30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Click “PM configures product + forms” stage</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Stage 4: PM toggles coverages, connects form templates, adds a custom Additional Insureds step. All green. 100% readiness. Ready to publish.</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21:00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Point to the confidence scoring model below the simulator</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The publish gate: explore anytime, publish only when green. Yellow and red steps are visible and interactive — useful for planning and feedback. But the product can’t go from Draft to Under Filing until every step is green.</w:t>
            </w:r>
          </w:p>
        </w:tc>
      </w:tr>
    </w:tbl>
    <w:p>
      <w:pPr>
        <w:spacing w:after="200"/>
      </w:pPr>
    </w:p>
    <w:p>
      <w:pPr>
        <w:pStyle w:val="Heading2"/>
      </w:pPr>
      <w:r>
        <w:t xml:space="preserve">Act 6: The Loop (3 min)</w:t>
      </w:r>
    </w:p>
    <w:p>
      <w:pPr>
        <w:spacing w:after="120"/>
      </w:pPr>
      <w:r>
        <w:rPr>
          <w:i/>
          <w:iCs/>
          <w:color w:val="475569"/>
        </w:rPr>
        <w:t xml:space="preserve">Goal: Show that this is a feedback loop, not a waterfall. Both personas work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22:00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Switch to “The Loop” tab. Show the graph-centered diagram.</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This is the working model. Not a waterfall. Four actors — Rater Parser, Schema Mapper, Product Configurator, Workflow Generator — all reading from and writing to the same graph. The workflow regenerates after every graph mutation.</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23:00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Scroll to the “Real Iteration Loop” scenario</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Here’s a real scenario: FDE uploads the rater, maps fields, validates edges. Each action updates the graph and regenerates the workflow. The PM doesn’t wait — they see the workflow evolving from step one. They give feedback while the FDE is still working.</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24:00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Point to the last few rows — PM toggling coverages, connecting forms</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The PM toggles Habitability ON, A&amp;B ON, HNOA OFF. The graph updates. The workflow regenerates. The PM connects 4 forms with visual attachment rules. Forms step turns green. 100% readiness. Nobody waited for anybody.</w:t>
            </w:r>
          </w:p>
        </w:tc>
      </w:tr>
    </w:tbl>
    <w:p>
      <w:pPr>
        <w:spacing w:after="200"/>
      </w:pPr>
    </w:p>
    <w:p>
      <w:pPr>
        <w:pStyle w:val="Heading2"/>
      </w:pPr>
      <w:r>
        <w:t xml:space="preserve">Act 7: The Ask (2 min)</w:t>
      </w:r>
    </w:p>
    <w:p>
      <w:pPr>
        <w:spacing w:after="120"/>
      </w:pPr>
      <w:r>
        <w:rPr>
          <w:i/>
          <w:iCs/>
          <w:color w:val="475569"/>
        </w:rPr>
        <w:t xml:space="preserve">Goal: Close with what you need from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Timing</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Show / Do</w:t>
            </w:r>
          </w:p>
        </w:tc>
        <w:tc>
          <w:tcPr>
            <w:tcW w:type="dxa" w:w="50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b/>
                <w:bCs/>
                <w:color w:val="FFFFFF"/>
                <w:sz w:val="18"/>
                <w:szCs w:val="18"/>
              </w:rPr>
              <w:t xml:space="preserve">Say (narrative)</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25:00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Close the prototype. Speak directly.</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Three things I need from this room. One: does the data graph model match William’s consolidation thesis? Is this the right abstraction for the one-to-one linkage between rater and workflow? Two: does progressive generation with confidence scoring feel right as the interaction model, versus gated steps? Three: can Jesse and the team validate that the seven generation heuristics — risk unit detection, scope partitioning, semantic clustering, dependency ordering, form triggers, widget inference, merge field binding — map to how we’d actually implement this?</w:t>
            </w:r>
          </w:p>
        </w:tc>
      </w:tr>
      <w:tr>
        <w:tc>
          <w:tcPr>
            <w:tcW w:type="dxa" w:w="11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color w:val="475569"/>
                <w:sz w:val="18"/>
                <w:szCs w:val="18"/>
              </w:rPr>
              <w:t xml:space="preserve">27:00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bCs/>
                <w:sz w:val="18"/>
                <w:szCs w:val="18"/>
              </w:rPr>
              <w:t xml:space="preserve">Open for discussion</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i/>
                <w:iCs/>
                <w:color w:val="475569"/>
                <w:sz w:val="18"/>
                <w:szCs w:val="18"/>
              </w:rPr>
              <w:t xml:space="preserve">[Let the room respond. William and Shan will likely drive the discussion. Jesse will have implementation questions. Zohaib will have UX questions about the graph visualization.]</w:t>
            </w:r>
          </w:p>
        </w:tc>
      </w:tr>
    </w:tbl>
    <w:p>
      <w:r>
        <w:br w:type="page"/>
      </w:r>
    </w:p>
    <w:p>
      <w:pPr>
        <w:pStyle w:val="Heading1"/>
      </w:pPr>
      <w:r>
        <w:t xml:space="preserve">Part 3: What to Show vs. What to Skip</w:t>
      </w:r>
    </w:p>
    <w:p>
      <w:pPr>
        <w:pStyle w:val="Heading2"/>
      </w:pPr>
      <w:r>
        <w:t xml:space="preserve">Show These (High Signal)</w:t>
      </w:r>
    </w:p>
    <w:p>
      <w:pPr>
        <w:spacing w:after="120"/>
      </w:pPr>
      <w:r>
        <w:rPr>
          <w:b/>
          <w:bCs/>
        </w:rPr>
        <w:t xml:space="preserve">The cardinality discovery</w:t>
      </w:r>
      <w:r>
        <w:t xml:space="preserve"> — all 8 risk factors are per-location. This came from actually reading the customer’s workbook. It’s concrete, surprising, and proves the value of the scope metadata model. William and Shan will appreciate that this came from real data, not theory.</w:t>
      </w:r>
    </w:p>
    <w:p>
      <w:pPr>
        <w:spacing w:after="120"/>
      </w:pPr>
      <w:r>
        <w:rPr>
          <w:b/>
          <w:bCs/>
        </w:rPr>
        <w:t xml:space="preserve">The scope-aware workflow steps</w:t>
      </w:r>
      <w:r>
        <w:t xml:space="preserve"> — sky-blue badges, per-location field chips, repeating step indicators. This is the most visually clear proof that the data model works. Non-technical stakeholders can see the difference.</w:t>
      </w:r>
    </w:p>
    <w:p>
      <w:pPr>
        <w:spacing w:after="120"/>
      </w:pPr>
      <w:r>
        <w:rPr>
          <w:b/>
          <w:bCs/>
        </w:rPr>
        <w:t xml:space="preserve">The progressive generation simulator</w:t>
      </w:r>
      <w:r>
        <w:t xml:space="preserve"> — click through four stages, watch confidence scores change. This is the strongest argument for “loops beat waterfalls.” Shows both personas contributing to the same live artifact.</w:t>
      </w:r>
    </w:p>
    <w:p>
      <w:pPr>
        <w:spacing w:after="120"/>
      </w:pPr>
      <w:r>
        <w:rPr>
          <w:b/>
          <w:bCs/>
        </w:rPr>
        <w:t xml:space="preserve">The forms-as-graph-nodes concept</w:t>
      </w:r>
      <w:r>
        <w:t xml:space="preserve"> — form templates with merge fields that resolve to graph nodes, attachment rules as visual edges. Connects to Shan’s interest in the contract + rating two-bucket model.</w:t>
      </w:r>
    </w:p>
    <w:p>
      <w:pPr>
        <w:spacing w:after="120"/>
      </w:pPr>
      <w:r>
        <w:rPr>
          <w:b/>
          <w:bCs/>
        </w:rPr>
        <w:t xml:space="preserve">The generic P&amp;C algorithm</w:t>
      </w:r>
      <w:r>
        <w:t xml:space="preserve"> — briefly mention that the same seven heuristics produce both a Vehicle Schedule for Commercial Auto and a Locations step for GL. Shows this isn’t a one-off. Jesse will want to hear this.</w:t>
      </w:r>
    </w:p>
    <w:p>
      <w:pPr>
        <w:spacing w:after="200"/>
      </w:pPr>
    </w:p>
    <w:p>
      <w:pPr>
        <w:pStyle w:val="Heading2"/>
      </w:pPr>
      <w:r>
        <w:t xml:space="preserve">Skip These (Low Signal for This Audience)</w:t>
      </w:r>
    </w:p>
    <w:p>
      <w:pPr>
        <w:spacing w:after="120"/>
      </w:pPr>
      <w:r>
        <w:rPr>
          <w:b/>
          <w:bCs/>
        </w:rPr>
        <w:t xml:space="preserve">Field-level detail in schema mapping</w:t>
      </w:r>
      <w:r>
        <w:t xml:space="preserve"> — don’t linger on individual cell references or core_column_id mappings. The audience cares about the model, not the data.</w:t>
      </w:r>
    </w:p>
    <w:p>
      <w:pPr>
        <w:spacing w:after="120"/>
      </w:pPr>
      <w:r>
        <w:rPr>
          <w:b/>
          <w:bCs/>
        </w:rPr>
        <w:t xml:space="preserve">The v1 paradigm toggle</w:t>
      </w:r>
      <w:r>
        <w:t xml:space="preserve"> — don’t show the combined v1 module. It’s legacy context that dilutes the message. Stay on v2.</w:t>
      </w:r>
    </w:p>
    <w:p>
      <w:pPr>
        <w:spacing w:after="120"/>
      </w:pPr>
      <w:r>
        <w:rPr>
          <w:b/>
          <w:bCs/>
        </w:rPr>
        <w:t xml:space="preserve">The full P&amp;C Domain Model tab</w:t>
      </w:r>
      <w:r>
        <w:t xml:space="preserve"> — it’s useful reference material but too detailed for a live walkthrough. If Jesse asks “how does this generalize?”, you can switch to it. Otherwise skip.</w:t>
      </w:r>
    </w:p>
    <w:p>
      <w:pPr>
        <w:spacing w:after="120"/>
      </w:pPr>
      <w:r>
        <w:rPr>
          <w:b/>
          <w:bCs/>
        </w:rPr>
        <w:t xml:space="preserve">Coverage toggle details</w:t>
      </w:r>
      <w:r>
        <w:t xml:space="preserve"> — don’t demo toggling individual coverages on/off. The audience understands toggles. Focus on scope grouping and what the toggle does to the graph.</w:t>
      </w:r>
    </w:p>
    <w:p>
      <w:pPr>
        <w:spacing w:after="120"/>
      </w:pPr>
      <w:r>
        <w:rPr>
          <w:b/>
          <w:bCs/>
        </w:rPr>
        <w:t xml:space="preserve">The original v1 architecture diagram</w:t>
      </w:r>
      <w:r>
        <w:t xml:space="preserve"> — the v2 diagram supersedes it. Don’t show the old waterfall model.</w:t>
      </w:r>
    </w:p>
    <w:p>
      <w:pPr>
        <w:spacing w:after="200"/>
      </w:pPr>
    </w:p>
    <w:p>
      <w:pPr>
        <w:pStyle w:val="Heading2"/>
      </w:pPr>
      <w:r>
        <w:t xml:space="preserve">If You’re Short on Time (15-Minute Cut)</w:t>
      </w:r>
    </w:p>
    <w:p>
      <w:pPr>
        <w:spacing w:after="120"/>
      </w:pPr>
      <w:r>
        <w:t xml:space="preserve">Cut Acts 1 and 6. Start with Act 2 (the thesis), do Acts 3-4 (FDE + PM flow) quickly, spend the most time on Act 5 (progressive generation), then close with Act 7 (the ask). The progressive generation simulator is the single most important thing to show.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8"/>
        <w:szCs w:val="18"/>
      </w:rPr>
      <w:t xml:space="preserve">Product Studio — Data Graph Architecture</w:t>
    </w:r>
    <w:r>
      <w:rPr>
        <w:color w:val="94A3B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2026-03-18T07:32:38.594Z</dcterms:created>
  <dcterms:modified xsi:type="dcterms:W3CDTF">2026-03-18T07:32:38.594Z</dcterms:modified>
</cp:coreProperties>
</file>

<file path=docProps/custom.xml><?xml version="1.0" encoding="utf-8"?>
<Properties xmlns="http://schemas.openxmlformats.org/officeDocument/2006/custom-properties" xmlns:vt="http://schemas.openxmlformats.org/officeDocument/2006/docPropsVTypes"/>
</file>