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CE" w:rsidRPr="00F76C23" w:rsidRDefault="008023A5" w:rsidP="003166AF">
      <w:pPr>
        <w:spacing w:after="0" w:line="240" w:lineRule="auto"/>
        <w:jc w:val="center"/>
        <w:rPr>
          <w:rFonts w:ascii="Times New Roman" w:eastAsia="Arial" w:hAnsi="Times New Roman" w:cs="Times New Roman"/>
          <w:b/>
          <w:color w:val="FF0000"/>
          <w:sz w:val="24"/>
          <w:szCs w:val="28"/>
          <w:lang w:val="es-CR" w:eastAsia="es-ES"/>
        </w:rPr>
      </w:pPr>
      <w:r>
        <w:rPr>
          <w:rFonts w:ascii="Times New Roman" w:eastAsia="Arial" w:hAnsi="Times New Roman" w:cs="Times New Roman"/>
          <w:b/>
          <w:sz w:val="24"/>
          <w:szCs w:val="28"/>
          <w:lang w:val="es-CR" w:eastAsia="es-ES"/>
        </w:rPr>
        <w:t>INDICADOR AGREGADO DE CURVAS DE RENDIMIENTO</w:t>
      </w:r>
    </w:p>
    <w:p w:rsidR="00DD198C" w:rsidRPr="00A01A83" w:rsidRDefault="00DD198C" w:rsidP="003166AF">
      <w:pPr>
        <w:spacing w:after="0" w:line="240" w:lineRule="auto"/>
        <w:rPr>
          <w:rFonts w:ascii="Times New Roman" w:eastAsia="Arial" w:hAnsi="Times New Roman" w:cs="Times New Roman"/>
          <w:b/>
          <w:color w:val="FF0000"/>
          <w:sz w:val="28"/>
          <w:szCs w:val="28"/>
          <w:lang w:val="es-CR" w:eastAsia="es-ES"/>
        </w:rPr>
      </w:pPr>
    </w:p>
    <w:p w:rsidR="00674D0C" w:rsidRPr="00674D0C" w:rsidRDefault="00463D61" w:rsidP="00463D61">
      <w:pPr>
        <w:tabs>
          <w:tab w:val="center" w:pos="4252"/>
        </w:tabs>
        <w:spacing w:after="0" w:line="240" w:lineRule="auto"/>
        <w:jc w:val="right"/>
        <w:rPr>
          <w:rFonts w:ascii="Times New Roman" w:eastAsia="Arial" w:hAnsi="Times New Roman" w:cs="Times New Roman"/>
          <w:b/>
          <w:color w:val="000000"/>
          <w:sz w:val="20"/>
          <w:szCs w:val="24"/>
          <w:vertAlign w:val="superscript"/>
          <w:lang w:val="es-CR" w:eastAsia="es-ES"/>
        </w:rPr>
      </w:pPr>
      <w:r>
        <w:rPr>
          <w:rFonts w:ascii="Times New Roman" w:eastAsia="Arial" w:hAnsi="Times New Roman" w:cs="Times New Roman"/>
          <w:b/>
          <w:color w:val="000000"/>
          <w:sz w:val="20"/>
          <w:szCs w:val="24"/>
          <w:lang w:val="es-CR" w:eastAsia="es-ES"/>
        </w:rPr>
        <w:t>Miguel Coto-García</w:t>
      </w:r>
      <w:r>
        <w:rPr>
          <w:rFonts w:ascii="Times New Roman" w:eastAsia="Arial" w:hAnsi="Times New Roman" w:cs="Times New Roman"/>
          <w:b/>
          <w:color w:val="000000"/>
          <w:sz w:val="20"/>
          <w:szCs w:val="24"/>
          <w:vertAlign w:val="superscript"/>
          <w:lang w:val="es-CR" w:eastAsia="es-ES"/>
        </w:rPr>
        <w:t>1</w:t>
      </w:r>
      <w:r>
        <w:rPr>
          <w:rFonts w:ascii="Times New Roman" w:eastAsia="Arial" w:hAnsi="Times New Roman" w:cs="Times New Roman"/>
          <w:b/>
          <w:color w:val="000000"/>
          <w:sz w:val="20"/>
          <w:szCs w:val="24"/>
          <w:lang w:val="es-CR" w:eastAsia="es-ES"/>
        </w:rPr>
        <w:t xml:space="preserve"> , </w:t>
      </w:r>
      <w:r w:rsidR="00674D0C" w:rsidRPr="00674D0C">
        <w:rPr>
          <w:rFonts w:ascii="Times New Roman" w:eastAsia="Arial" w:hAnsi="Times New Roman" w:cs="Times New Roman"/>
          <w:b/>
          <w:color w:val="000000"/>
          <w:sz w:val="20"/>
          <w:szCs w:val="24"/>
          <w:lang w:val="es-CR" w:eastAsia="es-ES"/>
        </w:rPr>
        <w:t>Natalia Díaz-Ramírez</w:t>
      </w:r>
      <w:r w:rsidR="00674D0C" w:rsidRPr="00674D0C">
        <w:rPr>
          <w:rFonts w:ascii="Times New Roman" w:eastAsia="Arial" w:hAnsi="Times New Roman" w:cs="Times New Roman"/>
          <w:b/>
          <w:color w:val="000000"/>
          <w:sz w:val="20"/>
          <w:szCs w:val="24"/>
          <w:vertAlign w:val="superscript"/>
          <w:lang w:val="es-CR" w:eastAsia="es-ES"/>
        </w:rPr>
        <w:t xml:space="preserve">1 </w:t>
      </w:r>
    </w:p>
    <w:p w:rsidR="006304C4" w:rsidRDefault="00674D0C" w:rsidP="003166AF">
      <w:pPr>
        <w:tabs>
          <w:tab w:val="center" w:pos="4252"/>
        </w:tabs>
        <w:spacing w:after="0" w:line="240" w:lineRule="auto"/>
        <w:jc w:val="right"/>
        <w:rPr>
          <w:rFonts w:ascii="Times New Roman" w:eastAsia="Arial" w:hAnsi="Times New Roman" w:cs="Times New Roman"/>
          <w:color w:val="000000"/>
          <w:sz w:val="20"/>
          <w:szCs w:val="24"/>
          <w:lang w:val="es-CR" w:eastAsia="es-ES"/>
        </w:rPr>
      </w:pPr>
      <w:r w:rsidRPr="00674D0C">
        <w:rPr>
          <w:rFonts w:ascii="Times New Roman" w:eastAsia="Arial" w:hAnsi="Times New Roman" w:cs="Times New Roman"/>
          <w:color w:val="000000"/>
          <w:sz w:val="20"/>
          <w:szCs w:val="24"/>
          <w:vertAlign w:val="superscript"/>
          <w:lang w:val="es-CR" w:eastAsia="es-ES"/>
        </w:rPr>
        <w:t>1</w:t>
      </w:r>
      <w:r w:rsidRPr="00674D0C">
        <w:rPr>
          <w:rFonts w:ascii="Times New Roman" w:eastAsia="Arial" w:hAnsi="Times New Roman" w:cs="Times New Roman"/>
          <w:color w:val="000000"/>
          <w:sz w:val="20"/>
          <w:szCs w:val="24"/>
          <w:lang w:val="es-CR" w:eastAsia="es-ES"/>
        </w:rPr>
        <w:t>Estudiante de</w:t>
      </w:r>
      <w:r>
        <w:rPr>
          <w:rFonts w:ascii="Times New Roman" w:eastAsia="Arial" w:hAnsi="Times New Roman" w:cs="Times New Roman"/>
          <w:color w:val="000000"/>
          <w:sz w:val="20"/>
          <w:szCs w:val="24"/>
          <w:lang w:val="es-CR" w:eastAsia="es-ES"/>
        </w:rPr>
        <w:t xml:space="preserve"> Maestría</w:t>
      </w:r>
      <w:r w:rsidR="00695AB5">
        <w:rPr>
          <w:rFonts w:ascii="Times New Roman" w:eastAsia="Arial" w:hAnsi="Times New Roman" w:cs="Times New Roman"/>
          <w:color w:val="000000"/>
          <w:sz w:val="20"/>
          <w:szCs w:val="24"/>
          <w:lang w:val="es-CR" w:eastAsia="es-ES"/>
        </w:rPr>
        <w:t xml:space="preserve"> Profesional</w:t>
      </w:r>
      <w:r>
        <w:rPr>
          <w:rFonts w:ascii="Times New Roman" w:eastAsia="Arial" w:hAnsi="Times New Roman" w:cs="Times New Roman"/>
          <w:color w:val="000000"/>
          <w:sz w:val="20"/>
          <w:szCs w:val="24"/>
          <w:lang w:val="es-CR" w:eastAsia="es-ES"/>
        </w:rPr>
        <w:t xml:space="preserve"> en</w:t>
      </w:r>
      <w:r w:rsidRPr="00674D0C">
        <w:rPr>
          <w:rFonts w:ascii="Times New Roman" w:eastAsia="Arial" w:hAnsi="Times New Roman" w:cs="Times New Roman"/>
          <w:color w:val="000000"/>
          <w:sz w:val="20"/>
          <w:szCs w:val="24"/>
          <w:lang w:val="es-CR" w:eastAsia="es-ES"/>
        </w:rPr>
        <w:t xml:space="preserve"> Estadística, Universidad de C</w:t>
      </w:r>
      <w:r w:rsidR="006304C4">
        <w:rPr>
          <w:rFonts w:ascii="Times New Roman" w:eastAsia="Arial" w:hAnsi="Times New Roman" w:cs="Times New Roman"/>
          <w:color w:val="000000"/>
          <w:sz w:val="20"/>
          <w:szCs w:val="24"/>
          <w:lang w:val="es-CR" w:eastAsia="es-ES"/>
        </w:rPr>
        <w:t>osta Rica, San Pedro, Costa Rica</w:t>
      </w:r>
    </w:p>
    <w:p w:rsidR="006304C4" w:rsidRPr="006304C4" w:rsidRDefault="006304C4" w:rsidP="003166AF">
      <w:pPr>
        <w:tabs>
          <w:tab w:val="center" w:pos="4252"/>
        </w:tabs>
        <w:spacing w:after="0" w:line="240" w:lineRule="auto"/>
        <w:jc w:val="both"/>
        <w:rPr>
          <w:rFonts w:ascii="Times New Roman" w:eastAsia="Arial" w:hAnsi="Times New Roman" w:cs="Times New Roman"/>
          <w:color w:val="000000"/>
          <w:sz w:val="20"/>
          <w:szCs w:val="24"/>
          <w:lang w:val="es-CR" w:eastAsia="es-ES"/>
        </w:rPr>
      </w:pPr>
    </w:p>
    <w:p w:rsidR="00674D0C" w:rsidRPr="00893E44" w:rsidRDefault="00674D0C" w:rsidP="003166AF">
      <w:pPr>
        <w:tabs>
          <w:tab w:val="center" w:pos="4252"/>
        </w:tabs>
        <w:spacing w:after="0" w:line="240" w:lineRule="auto"/>
        <w:jc w:val="center"/>
        <w:rPr>
          <w:rFonts w:ascii="Times New Roman" w:eastAsia="Arial" w:hAnsi="Times New Roman" w:cs="Times New Roman"/>
          <w:b/>
          <w:color w:val="000000"/>
          <w:sz w:val="24"/>
          <w:szCs w:val="24"/>
          <w:lang w:val="es-CR" w:eastAsia="es-ES"/>
        </w:rPr>
      </w:pPr>
      <w:r w:rsidRPr="00A65F3C">
        <w:rPr>
          <w:rFonts w:ascii="Times New Roman" w:eastAsia="Arial" w:hAnsi="Times New Roman" w:cs="Times New Roman"/>
          <w:b/>
          <w:color w:val="000000"/>
          <w:sz w:val="24"/>
          <w:szCs w:val="24"/>
          <w:lang w:val="es-CR" w:eastAsia="es-ES"/>
        </w:rPr>
        <w:t>RESUMEN</w:t>
      </w:r>
    </w:p>
    <w:p w:rsidR="00DF3370" w:rsidRDefault="00DF3370"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423EF0" w:rsidRPr="00114D77" w:rsidRDefault="0080108A" w:rsidP="00114D77">
      <w:pPr>
        <w:tabs>
          <w:tab w:val="center" w:pos="4252"/>
        </w:tabs>
        <w:spacing w:line="240" w:lineRule="auto"/>
        <w:contextualSpacing/>
        <w:jc w:val="both"/>
        <w:rPr>
          <w:rFonts w:ascii="Times New Roman" w:hAnsi="Times New Roman" w:cs="Times New Roman"/>
          <w:sz w:val="24"/>
          <w:szCs w:val="24"/>
          <w:lang w:val="es-CR"/>
        </w:rPr>
      </w:pPr>
      <w:r>
        <w:rPr>
          <w:rFonts w:ascii="Times New Roman" w:eastAsia="Arial" w:hAnsi="Times New Roman" w:cs="Times New Roman"/>
          <w:color w:val="000000"/>
          <w:sz w:val="24"/>
          <w:szCs w:val="24"/>
          <w:lang w:val="es-CR" w:eastAsia="es-ES"/>
        </w:rPr>
        <w:t>Se pretende</w:t>
      </w:r>
      <w:r w:rsidR="00F76C23" w:rsidRPr="00F76C23">
        <w:rPr>
          <w:rFonts w:ascii="Times New Roman" w:eastAsia="Arial" w:hAnsi="Times New Roman" w:cs="Times New Roman"/>
          <w:color w:val="000000"/>
          <w:sz w:val="24"/>
          <w:szCs w:val="24"/>
          <w:lang w:val="es-MX" w:eastAsia="es-ES"/>
        </w:rPr>
        <w:t xml:space="preserve"> </w:t>
      </w:r>
      <w:r w:rsidR="00463D61">
        <w:rPr>
          <w:rFonts w:ascii="Times New Roman" w:eastAsia="Arial" w:hAnsi="Times New Roman" w:cs="Times New Roman"/>
          <w:color w:val="000000"/>
          <w:sz w:val="24"/>
          <w:szCs w:val="24"/>
          <w:lang w:val="es-MX" w:eastAsia="es-ES"/>
        </w:rPr>
        <w:t>…</w:t>
      </w:r>
    </w:p>
    <w:p w:rsidR="00447E26" w:rsidRDefault="00447E26"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8023A5" w:rsidRPr="00423EF0" w:rsidRDefault="008023A5"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p>
    <w:p w:rsidR="00BC5DFA" w:rsidRDefault="0006284D" w:rsidP="003166AF">
      <w:pPr>
        <w:tabs>
          <w:tab w:val="center" w:pos="4252"/>
        </w:tabs>
        <w:spacing w:after="0" w:line="240" w:lineRule="auto"/>
        <w:jc w:val="both"/>
        <w:rPr>
          <w:rFonts w:ascii="Times New Roman" w:eastAsia="Arial" w:hAnsi="Times New Roman" w:cs="Times New Roman"/>
          <w:color w:val="000000"/>
          <w:sz w:val="24"/>
          <w:szCs w:val="24"/>
          <w:lang w:val="es-CR" w:eastAsia="es-ES"/>
        </w:rPr>
      </w:pPr>
      <w:r w:rsidRPr="000A0C10">
        <w:rPr>
          <w:rFonts w:ascii="Times New Roman" w:eastAsia="Arial" w:hAnsi="Times New Roman" w:cs="Times New Roman"/>
          <w:color w:val="000000"/>
          <w:sz w:val="24"/>
          <w:szCs w:val="24"/>
          <w:lang w:val="es-CR" w:eastAsia="es-ES"/>
        </w:rPr>
        <w:t>Palabras Clave</w:t>
      </w:r>
      <w:r w:rsidR="00893E44" w:rsidRPr="000A0C10">
        <w:rPr>
          <w:rFonts w:ascii="Times New Roman" w:eastAsia="Arial" w:hAnsi="Times New Roman" w:cs="Times New Roman"/>
          <w:color w:val="000000"/>
          <w:sz w:val="24"/>
          <w:szCs w:val="24"/>
          <w:lang w:val="es-CR" w:eastAsia="es-ES"/>
        </w:rPr>
        <w:t xml:space="preserve">: </w:t>
      </w:r>
    </w:p>
    <w:p w:rsidR="0025156E" w:rsidRPr="00A65F3C" w:rsidRDefault="0025156E" w:rsidP="003166AF">
      <w:pPr>
        <w:tabs>
          <w:tab w:val="center" w:pos="4252"/>
        </w:tabs>
        <w:spacing w:after="0" w:line="240" w:lineRule="auto"/>
        <w:jc w:val="both"/>
        <w:rPr>
          <w:rFonts w:ascii="Times New Roman" w:eastAsia="Arial" w:hAnsi="Times New Roman" w:cs="Times New Roman"/>
          <w:b/>
          <w:color w:val="000000"/>
          <w:sz w:val="24"/>
          <w:szCs w:val="24"/>
          <w:lang w:val="es-CR" w:eastAsia="es-ES"/>
        </w:rPr>
      </w:pPr>
    </w:p>
    <w:p w:rsidR="0006284D" w:rsidRPr="00D96501" w:rsidRDefault="0006284D" w:rsidP="00D96501">
      <w:pPr>
        <w:pStyle w:val="Prrafodelista"/>
        <w:numPr>
          <w:ilvl w:val="0"/>
          <w:numId w:val="19"/>
        </w:numPr>
        <w:tabs>
          <w:tab w:val="center" w:pos="4252"/>
        </w:tabs>
        <w:spacing w:after="0" w:line="240" w:lineRule="auto"/>
        <w:jc w:val="both"/>
        <w:rPr>
          <w:rFonts w:ascii="Times New Roman" w:eastAsia="Arial" w:hAnsi="Times New Roman" w:cs="Times New Roman"/>
          <w:b/>
          <w:color w:val="000000"/>
          <w:sz w:val="24"/>
          <w:szCs w:val="24"/>
          <w:lang w:val="es-CR" w:eastAsia="es-ES"/>
        </w:rPr>
      </w:pPr>
      <w:r w:rsidRPr="00D96501">
        <w:rPr>
          <w:rFonts w:ascii="Times New Roman" w:eastAsia="Arial" w:hAnsi="Times New Roman" w:cs="Times New Roman"/>
          <w:b/>
          <w:color w:val="000000"/>
          <w:sz w:val="24"/>
          <w:szCs w:val="24"/>
          <w:lang w:val="es-CR" w:eastAsia="es-ES"/>
        </w:rPr>
        <w:t>INTRODUCCIÓN</w:t>
      </w:r>
    </w:p>
    <w:p w:rsidR="00F42A90" w:rsidRDefault="00F42A90" w:rsidP="003166AF">
      <w:pPr>
        <w:tabs>
          <w:tab w:val="center" w:pos="4252"/>
        </w:tabs>
        <w:spacing w:line="240" w:lineRule="auto"/>
        <w:contextualSpacing/>
        <w:jc w:val="both"/>
        <w:rPr>
          <w:rFonts w:ascii="Times New Roman" w:eastAsia="Arial" w:hAnsi="Times New Roman" w:cs="Times New Roman"/>
          <w:b/>
          <w:color w:val="000000"/>
          <w:sz w:val="24"/>
          <w:szCs w:val="24"/>
          <w:lang w:val="es-MX" w:eastAsia="es-ES"/>
        </w:rPr>
      </w:pPr>
    </w:p>
    <w:p w:rsidR="008C1F51" w:rsidRDefault="004C04C4"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Costa Rica, al igual que otros países en el mundo, se ha visto afectada por la pandemia del covid-19, teniendo repercusiones importantes en la economía del país debido a las medidas </w:t>
      </w:r>
      <w:r w:rsidR="0040695C">
        <w:rPr>
          <w:rFonts w:ascii="Times New Roman" w:eastAsia="Arial" w:hAnsi="Times New Roman" w:cs="Times New Roman"/>
          <w:color w:val="000000"/>
          <w:sz w:val="24"/>
          <w:szCs w:val="24"/>
          <w:lang w:val="es-MX" w:eastAsia="es-ES"/>
        </w:rPr>
        <w:t>implementadas</w:t>
      </w:r>
      <w:r w:rsidR="0040695C">
        <w:rPr>
          <w:rFonts w:ascii="Times New Roman" w:eastAsia="Arial" w:hAnsi="Times New Roman" w:cs="Times New Roman"/>
          <w:color w:val="000000"/>
          <w:sz w:val="24"/>
          <w:szCs w:val="24"/>
          <w:lang w:val="es-MX" w:eastAsia="es-ES"/>
        </w:rPr>
        <w:t xml:space="preserve"> </w:t>
      </w:r>
      <w:r>
        <w:rPr>
          <w:rFonts w:ascii="Times New Roman" w:eastAsia="Arial" w:hAnsi="Times New Roman" w:cs="Times New Roman"/>
          <w:color w:val="000000"/>
          <w:sz w:val="24"/>
          <w:szCs w:val="24"/>
          <w:lang w:val="es-MX" w:eastAsia="es-ES"/>
        </w:rPr>
        <w:t>de confi</w:t>
      </w:r>
      <w:r w:rsidR="0008471A">
        <w:rPr>
          <w:rFonts w:ascii="Times New Roman" w:eastAsia="Arial" w:hAnsi="Times New Roman" w:cs="Times New Roman"/>
          <w:color w:val="000000"/>
          <w:sz w:val="24"/>
          <w:szCs w:val="24"/>
          <w:lang w:val="es-MX" w:eastAsia="es-ES"/>
        </w:rPr>
        <w:t xml:space="preserve">namiento, </w:t>
      </w:r>
      <w:r>
        <w:rPr>
          <w:rFonts w:ascii="Times New Roman" w:eastAsia="Arial" w:hAnsi="Times New Roman" w:cs="Times New Roman"/>
          <w:color w:val="000000"/>
          <w:sz w:val="24"/>
          <w:szCs w:val="24"/>
          <w:lang w:val="es-MX" w:eastAsia="es-ES"/>
        </w:rPr>
        <w:t xml:space="preserve">distanciamiento social </w:t>
      </w:r>
      <w:r w:rsidR="0008471A">
        <w:rPr>
          <w:rFonts w:ascii="Times New Roman" w:eastAsia="Arial" w:hAnsi="Times New Roman" w:cs="Times New Roman"/>
          <w:color w:val="000000"/>
          <w:sz w:val="24"/>
          <w:szCs w:val="24"/>
          <w:lang w:val="es-MX" w:eastAsia="es-ES"/>
        </w:rPr>
        <w:t>y</w:t>
      </w:r>
      <w:r>
        <w:rPr>
          <w:rFonts w:ascii="Times New Roman" w:eastAsia="Arial" w:hAnsi="Times New Roman" w:cs="Times New Roman"/>
          <w:color w:val="000000"/>
          <w:sz w:val="24"/>
          <w:szCs w:val="24"/>
          <w:lang w:val="es-MX" w:eastAsia="es-ES"/>
        </w:rPr>
        <w:t xml:space="preserve"> la incertidumbre que existe ante la posibilidad de un rebrote. Según </w:t>
      </w:r>
      <w:r w:rsidR="004A65C5">
        <w:rPr>
          <w:rFonts w:ascii="Times New Roman" w:eastAsia="Arial" w:hAnsi="Times New Roman" w:cs="Times New Roman"/>
          <w:color w:val="000000"/>
          <w:sz w:val="24"/>
          <w:szCs w:val="24"/>
          <w:lang w:val="es-MX" w:eastAsia="es-ES"/>
        </w:rPr>
        <w:t xml:space="preserve">el informe de política monetaria del </w:t>
      </w:r>
      <w:r w:rsidR="004A65C5">
        <w:rPr>
          <w:rFonts w:ascii="Times New Roman" w:hAnsi="Times New Roman" w:cs="Times New Roman"/>
          <w:bCs/>
          <w:iCs/>
          <w:sz w:val="24"/>
          <w:szCs w:val="24"/>
          <w:lang w:val="es-CR"/>
        </w:rPr>
        <w:t>BCCR</w:t>
      </w:r>
      <w:r w:rsidR="004A65C5">
        <w:rPr>
          <w:rFonts w:ascii="Times New Roman" w:hAnsi="Times New Roman" w:cs="Times New Roman"/>
          <w:bCs/>
          <w:iCs/>
          <w:sz w:val="24"/>
          <w:szCs w:val="24"/>
          <w:lang w:val="es-CR"/>
        </w:rPr>
        <w:t xml:space="preserve"> (2020)</w:t>
      </w:r>
      <w:r>
        <w:rPr>
          <w:rFonts w:ascii="Times New Roman" w:eastAsia="Arial" w:hAnsi="Times New Roman" w:cs="Times New Roman"/>
          <w:color w:val="000000"/>
          <w:sz w:val="24"/>
          <w:szCs w:val="24"/>
          <w:lang w:val="es-MX" w:eastAsia="es-ES"/>
        </w:rPr>
        <w:t xml:space="preserve"> la actividad económica tuvo una </w:t>
      </w:r>
      <w:r w:rsidRPr="004C04C4">
        <w:rPr>
          <w:rFonts w:ascii="Times New Roman" w:eastAsia="Arial" w:hAnsi="Times New Roman" w:cs="Times New Roman"/>
          <w:color w:val="000000"/>
          <w:sz w:val="24"/>
          <w:szCs w:val="24"/>
          <w:lang w:val="es-MX" w:eastAsia="es-ES"/>
        </w:rPr>
        <w:t>profunda contracción en el segundo trimes</w:t>
      </w:r>
      <w:r>
        <w:rPr>
          <w:rFonts w:ascii="Times New Roman" w:eastAsia="Arial" w:hAnsi="Times New Roman" w:cs="Times New Roman"/>
          <w:color w:val="000000"/>
          <w:sz w:val="24"/>
          <w:szCs w:val="24"/>
          <w:lang w:val="es-MX" w:eastAsia="es-ES"/>
        </w:rPr>
        <w:t>tre, con una caída del producto interno bruto (PIB) de 8,6% y l</w:t>
      </w:r>
      <w:r w:rsidRPr="004C04C4">
        <w:rPr>
          <w:rFonts w:ascii="Times New Roman" w:eastAsia="Arial" w:hAnsi="Times New Roman" w:cs="Times New Roman"/>
          <w:color w:val="000000"/>
          <w:sz w:val="24"/>
          <w:szCs w:val="24"/>
          <w:lang w:val="es-MX" w:eastAsia="es-ES"/>
        </w:rPr>
        <w:t>a contracción económica, además, ha af</w:t>
      </w:r>
      <w:r>
        <w:rPr>
          <w:rFonts w:ascii="Times New Roman" w:eastAsia="Arial" w:hAnsi="Times New Roman" w:cs="Times New Roman"/>
          <w:color w:val="000000"/>
          <w:sz w:val="24"/>
          <w:szCs w:val="24"/>
          <w:lang w:val="es-MX" w:eastAsia="es-ES"/>
        </w:rPr>
        <w:t xml:space="preserve">ectado severamente las finanzas </w:t>
      </w:r>
      <w:r w:rsidRPr="004C04C4">
        <w:rPr>
          <w:rFonts w:ascii="Times New Roman" w:eastAsia="Arial" w:hAnsi="Times New Roman" w:cs="Times New Roman"/>
          <w:color w:val="000000"/>
          <w:sz w:val="24"/>
          <w:szCs w:val="24"/>
          <w:lang w:val="es-MX" w:eastAsia="es-ES"/>
        </w:rPr>
        <w:t>públicas, principalmente como resultado de una menor recaudación tributaria</w:t>
      </w:r>
      <w:r>
        <w:rPr>
          <w:rFonts w:ascii="Times New Roman" w:eastAsia="Arial" w:hAnsi="Times New Roman" w:cs="Times New Roman"/>
          <w:color w:val="000000"/>
          <w:sz w:val="24"/>
          <w:szCs w:val="24"/>
          <w:lang w:val="es-MX" w:eastAsia="es-ES"/>
        </w:rPr>
        <w:t>.</w:t>
      </w:r>
      <w:r w:rsidR="004A65C5">
        <w:rPr>
          <w:rFonts w:ascii="Times New Roman" w:eastAsia="Arial" w:hAnsi="Times New Roman" w:cs="Times New Roman"/>
          <w:color w:val="000000"/>
          <w:sz w:val="24"/>
          <w:szCs w:val="24"/>
          <w:lang w:val="es-MX" w:eastAsia="es-ES"/>
        </w:rPr>
        <w:t xml:space="preserve"> </w:t>
      </w:r>
      <w:r w:rsidR="004A65C5" w:rsidRPr="004A65C5">
        <w:rPr>
          <w:rFonts w:ascii="Times New Roman" w:eastAsia="Arial" w:hAnsi="Times New Roman" w:cs="Times New Roman"/>
          <w:color w:val="000000"/>
          <w:sz w:val="24"/>
          <w:szCs w:val="24"/>
          <w:lang w:val="es-MX" w:eastAsia="es-ES"/>
        </w:rPr>
        <w:t>Frente a ese contexto de contracció</w:t>
      </w:r>
      <w:r w:rsidR="004A65C5">
        <w:rPr>
          <w:rFonts w:ascii="Times New Roman" w:eastAsia="Arial" w:hAnsi="Times New Roman" w:cs="Times New Roman"/>
          <w:color w:val="000000"/>
          <w:sz w:val="24"/>
          <w:szCs w:val="24"/>
          <w:lang w:val="es-MX" w:eastAsia="es-ES"/>
        </w:rPr>
        <w:t xml:space="preserve">n económica y de baja inflación </w:t>
      </w:r>
      <w:r w:rsidR="004A65C5" w:rsidRPr="004A65C5">
        <w:rPr>
          <w:rFonts w:ascii="Times New Roman" w:eastAsia="Arial" w:hAnsi="Times New Roman" w:cs="Times New Roman"/>
          <w:color w:val="000000"/>
          <w:sz w:val="24"/>
          <w:szCs w:val="24"/>
          <w:lang w:val="es-MX" w:eastAsia="es-ES"/>
        </w:rPr>
        <w:t>proyectada, el Banco Central ha mantenido s</w:t>
      </w:r>
      <w:r w:rsidR="004A65C5">
        <w:rPr>
          <w:rFonts w:ascii="Times New Roman" w:eastAsia="Arial" w:hAnsi="Times New Roman" w:cs="Times New Roman"/>
          <w:color w:val="000000"/>
          <w:sz w:val="24"/>
          <w:szCs w:val="24"/>
          <w:lang w:val="es-MX" w:eastAsia="es-ES"/>
        </w:rPr>
        <w:t xml:space="preserve">u postura de política monetaria </w:t>
      </w:r>
      <w:r w:rsidR="00C13777">
        <w:rPr>
          <w:rFonts w:ascii="Times New Roman" w:eastAsia="Arial" w:hAnsi="Times New Roman" w:cs="Times New Roman"/>
          <w:color w:val="000000"/>
          <w:sz w:val="24"/>
          <w:szCs w:val="24"/>
          <w:lang w:val="es-MX" w:eastAsia="es-ES"/>
        </w:rPr>
        <w:t xml:space="preserve">expansiva y contracíclica, </w:t>
      </w:r>
      <w:r w:rsidR="0008471A">
        <w:rPr>
          <w:rFonts w:ascii="Times New Roman" w:eastAsia="Arial" w:hAnsi="Times New Roman" w:cs="Times New Roman"/>
          <w:color w:val="000000"/>
          <w:sz w:val="24"/>
          <w:szCs w:val="24"/>
          <w:lang w:val="es-MX" w:eastAsia="es-ES"/>
        </w:rPr>
        <w:t xml:space="preserve">que se </w:t>
      </w:r>
      <w:r w:rsidR="00C13777" w:rsidRPr="00C13777">
        <w:rPr>
          <w:rFonts w:ascii="Times New Roman" w:eastAsia="Arial" w:hAnsi="Times New Roman" w:cs="Times New Roman"/>
          <w:color w:val="000000"/>
          <w:sz w:val="24"/>
          <w:szCs w:val="24"/>
          <w:lang w:val="es-MX" w:eastAsia="es-ES"/>
        </w:rPr>
        <w:t>manifiesta en ba</w:t>
      </w:r>
      <w:r w:rsidR="00C13777">
        <w:rPr>
          <w:rFonts w:ascii="Times New Roman" w:eastAsia="Arial" w:hAnsi="Times New Roman" w:cs="Times New Roman"/>
          <w:color w:val="000000"/>
          <w:sz w:val="24"/>
          <w:szCs w:val="24"/>
          <w:lang w:val="es-MX" w:eastAsia="es-ES"/>
        </w:rPr>
        <w:t xml:space="preserve">jas tasas de política monetaria </w:t>
      </w:r>
      <w:r w:rsidR="00C13777" w:rsidRPr="00C13777">
        <w:rPr>
          <w:rFonts w:ascii="Times New Roman" w:eastAsia="Arial" w:hAnsi="Times New Roman" w:cs="Times New Roman"/>
          <w:color w:val="000000"/>
          <w:sz w:val="24"/>
          <w:szCs w:val="24"/>
          <w:lang w:val="es-MX" w:eastAsia="es-ES"/>
        </w:rPr>
        <w:t>y programas de inyección de liquidez de gran magn</w:t>
      </w:r>
      <w:r w:rsidR="00C13777">
        <w:rPr>
          <w:rFonts w:ascii="Times New Roman" w:eastAsia="Arial" w:hAnsi="Times New Roman" w:cs="Times New Roman"/>
          <w:color w:val="000000"/>
          <w:sz w:val="24"/>
          <w:szCs w:val="24"/>
          <w:lang w:val="es-MX" w:eastAsia="es-ES"/>
        </w:rPr>
        <w:t xml:space="preserve">itud, con el objetivo de </w:t>
      </w:r>
      <w:r w:rsidR="00C13777" w:rsidRPr="00C13777">
        <w:rPr>
          <w:rFonts w:ascii="Times New Roman" w:eastAsia="Arial" w:hAnsi="Times New Roman" w:cs="Times New Roman"/>
          <w:color w:val="000000"/>
          <w:sz w:val="24"/>
          <w:szCs w:val="24"/>
          <w:lang w:val="es-MX" w:eastAsia="es-ES"/>
        </w:rPr>
        <w:t>contribuir a la estabilidad del sistema fina</w:t>
      </w:r>
      <w:r w:rsidR="00C13777">
        <w:rPr>
          <w:rFonts w:ascii="Times New Roman" w:eastAsia="Arial" w:hAnsi="Times New Roman" w:cs="Times New Roman"/>
          <w:color w:val="000000"/>
          <w:sz w:val="24"/>
          <w:szCs w:val="24"/>
          <w:lang w:val="es-MX" w:eastAsia="es-ES"/>
        </w:rPr>
        <w:t xml:space="preserve">nciero y apoyar la recuperación </w:t>
      </w:r>
      <w:r w:rsidR="00C13777" w:rsidRPr="00C13777">
        <w:rPr>
          <w:rFonts w:ascii="Times New Roman" w:eastAsia="Arial" w:hAnsi="Times New Roman" w:cs="Times New Roman"/>
          <w:color w:val="000000"/>
          <w:sz w:val="24"/>
          <w:szCs w:val="24"/>
          <w:lang w:val="es-MX" w:eastAsia="es-ES"/>
        </w:rPr>
        <w:t>económica</w:t>
      </w:r>
      <w:r w:rsidR="00C13777">
        <w:rPr>
          <w:rFonts w:ascii="Times New Roman" w:eastAsia="Arial" w:hAnsi="Times New Roman" w:cs="Times New Roman"/>
          <w:color w:val="000000"/>
          <w:sz w:val="24"/>
          <w:szCs w:val="24"/>
          <w:lang w:val="es-MX" w:eastAsia="es-ES"/>
        </w:rPr>
        <w:t>.</w:t>
      </w:r>
    </w:p>
    <w:p w:rsidR="0040695C" w:rsidRDefault="0040695C"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0695C" w:rsidRPr="008C1F51" w:rsidRDefault="0040695C" w:rsidP="0040695C">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sidRPr="008C1F51">
        <w:rPr>
          <w:rFonts w:ascii="Times New Roman" w:eastAsia="Arial" w:hAnsi="Times New Roman" w:cs="Times New Roman"/>
          <w:color w:val="000000"/>
          <w:sz w:val="24"/>
          <w:szCs w:val="24"/>
          <w:lang w:val="es-MX" w:eastAsia="es-ES"/>
        </w:rPr>
        <w:t>La pandemia ha provocado un deterioro c</w:t>
      </w:r>
      <w:r>
        <w:rPr>
          <w:rFonts w:ascii="Times New Roman" w:eastAsia="Arial" w:hAnsi="Times New Roman" w:cs="Times New Roman"/>
          <w:color w:val="000000"/>
          <w:sz w:val="24"/>
          <w:szCs w:val="24"/>
          <w:lang w:val="es-MX" w:eastAsia="es-ES"/>
        </w:rPr>
        <w:t xml:space="preserve">onsiderable en las finanzas del </w:t>
      </w:r>
      <w:r w:rsidRPr="008C1F51">
        <w:rPr>
          <w:rFonts w:ascii="Times New Roman" w:eastAsia="Arial" w:hAnsi="Times New Roman" w:cs="Times New Roman"/>
          <w:color w:val="000000"/>
          <w:sz w:val="24"/>
          <w:szCs w:val="24"/>
          <w:lang w:val="es-MX" w:eastAsia="es-ES"/>
        </w:rPr>
        <w:t>Gobierno Central.</w:t>
      </w:r>
      <w:r>
        <w:rPr>
          <w:rFonts w:ascii="Times New Roman" w:eastAsia="Arial" w:hAnsi="Times New Roman" w:cs="Times New Roman"/>
          <w:color w:val="000000"/>
          <w:sz w:val="24"/>
          <w:szCs w:val="24"/>
          <w:lang w:val="es-MX" w:eastAsia="es-ES"/>
        </w:rPr>
        <w:t xml:space="preserve"> L</w:t>
      </w:r>
      <w:r w:rsidRPr="008C1F51">
        <w:rPr>
          <w:rFonts w:ascii="Times New Roman" w:eastAsia="Arial" w:hAnsi="Times New Roman" w:cs="Times New Roman"/>
          <w:color w:val="000000"/>
          <w:sz w:val="24"/>
          <w:szCs w:val="24"/>
          <w:lang w:val="es-MX" w:eastAsia="es-ES"/>
        </w:rPr>
        <w:t>as cifras acumuladas a setiembr</w:t>
      </w:r>
      <w:r>
        <w:rPr>
          <w:rFonts w:ascii="Times New Roman" w:eastAsia="Arial" w:hAnsi="Times New Roman" w:cs="Times New Roman"/>
          <w:color w:val="000000"/>
          <w:sz w:val="24"/>
          <w:szCs w:val="24"/>
          <w:lang w:val="es-MX" w:eastAsia="es-ES"/>
        </w:rPr>
        <w:t xml:space="preserve">e muestran una reducción en los </w:t>
      </w:r>
      <w:r w:rsidRPr="008C1F51">
        <w:rPr>
          <w:rFonts w:ascii="Times New Roman" w:eastAsia="Arial" w:hAnsi="Times New Roman" w:cs="Times New Roman"/>
          <w:color w:val="000000"/>
          <w:sz w:val="24"/>
          <w:szCs w:val="24"/>
          <w:lang w:val="es-MX" w:eastAsia="es-ES"/>
        </w:rPr>
        <w:t>ingresos tributarios de 11,5%.</w:t>
      </w:r>
      <w:r>
        <w:rPr>
          <w:rFonts w:ascii="Times New Roman" w:eastAsia="Arial" w:hAnsi="Times New Roman" w:cs="Times New Roman"/>
          <w:color w:val="000000"/>
          <w:sz w:val="24"/>
          <w:szCs w:val="24"/>
          <w:lang w:val="es-MX" w:eastAsia="es-ES"/>
        </w:rPr>
        <w:t xml:space="preserve"> </w:t>
      </w:r>
      <w:r w:rsidRPr="008C1F51">
        <w:rPr>
          <w:rFonts w:ascii="Times New Roman" w:eastAsia="Arial" w:hAnsi="Times New Roman" w:cs="Times New Roman"/>
          <w:color w:val="000000"/>
          <w:sz w:val="24"/>
          <w:szCs w:val="24"/>
          <w:lang w:val="es-MX" w:eastAsia="es-ES"/>
        </w:rPr>
        <w:t>En conjunto, el déficit</w:t>
      </w:r>
      <w:r>
        <w:rPr>
          <w:rFonts w:ascii="Times New Roman" w:eastAsia="Arial" w:hAnsi="Times New Roman" w:cs="Times New Roman"/>
          <w:color w:val="000000"/>
          <w:sz w:val="24"/>
          <w:szCs w:val="24"/>
          <w:lang w:val="es-MX" w:eastAsia="es-ES"/>
        </w:rPr>
        <w:t xml:space="preserve"> financiero alcanzó un 6,7% del </w:t>
      </w:r>
      <w:r w:rsidRPr="008C1F51">
        <w:rPr>
          <w:rFonts w:ascii="Times New Roman" w:eastAsia="Arial" w:hAnsi="Times New Roman" w:cs="Times New Roman"/>
          <w:color w:val="000000"/>
          <w:sz w:val="24"/>
          <w:szCs w:val="24"/>
          <w:lang w:val="es-MX" w:eastAsia="es-ES"/>
        </w:rPr>
        <w:t>PIB y el déficit primario fue de 2,7% en l</w:t>
      </w:r>
      <w:r>
        <w:rPr>
          <w:rFonts w:ascii="Times New Roman" w:eastAsia="Arial" w:hAnsi="Times New Roman" w:cs="Times New Roman"/>
          <w:color w:val="000000"/>
          <w:sz w:val="24"/>
          <w:szCs w:val="24"/>
          <w:lang w:val="es-MX" w:eastAsia="es-ES"/>
        </w:rPr>
        <w:t xml:space="preserve">os primeros nueve meses del año </w:t>
      </w:r>
      <w:r w:rsidRPr="008C1F51">
        <w:rPr>
          <w:rFonts w:ascii="Times New Roman" w:eastAsia="Arial" w:hAnsi="Times New Roman" w:cs="Times New Roman"/>
          <w:color w:val="000000"/>
          <w:sz w:val="24"/>
          <w:szCs w:val="24"/>
          <w:lang w:val="es-MX" w:eastAsia="es-ES"/>
        </w:rPr>
        <w:t>(4,7% y 1,4%, respectivamente, en igual laps</w:t>
      </w:r>
      <w:r>
        <w:rPr>
          <w:rFonts w:ascii="Times New Roman" w:eastAsia="Arial" w:hAnsi="Times New Roman" w:cs="Times New Roman"/>
          <w:color w:val="000000"/>
          <w:sz w:val="24"/>
          <w:szCs w:val="24"/>
          <w:lang w:val="es-MX" w:eastAsia="es-ES"/>
        </w:rPr>
        <w:t xml:space="preserve">o del 2019). A su vez, el saldo </w:t>
      </w:r>
      <w:r w:rsidRPr="008C1F51">
        <w:rPr>
          <w:rFonts w:ascii="Times New Roman" w:eastAsia="Arial" w:hAnsi="Times New Roman" w:cs="Times New Roman"/>
          <w:color w:val="000000"/>
          <w:sz w:val="24"/>
          <w:szCs w:val="24"/>
          <w:lang w:val="es-MX" w:eastAsia="es-ES"/>
        </w:rPr>
        <w:t>de la deuda del Gobierno Central alcanzó en setiembre un 67</w:t>
      </w:r>
      <w:r>
        <w:rPr>
          <w:rFonts w:ascii="Times New Roman" w:eastAsia="Arial" w:hAnsi="Times New Roman" w:cs="Times New Roman"/>
          <w:color w:val="000000"/>
          <w:sz w:val="24"/>
          <w:szCs w:val="24"/>
          <w:lang w:val="es-MX" w:eastAsia="es-ES"/>
        </w:rPr>
        <w:t xml:space="preserve">,3% del PIB </w:t>
      </w:r>
      <w:r w:rsidRPr="008C1F51">
        <w:rPr>
          <w:rFonts w:ascii="Times New Roman" w:eastAsia="Arial" w:hAnsi="Times New Roman" w:cs="Times New Roman"/>
          <w:color w:val="000000"/>
          <w:sz w:val="24"/>
          <w:szCs w:val="24"/>
          <w:lang w:val="es-MX" w:eastAsia="es-ES"/>
        </w:rPr>
        <w:t>(56,3% en igual mes del 2019).</w:t>
      </w:r>
      <w:r>
        <w:rPr>
          <w:rFonts w:ascii="Times New Roman" w:eastAsia="Arial" w:hAnsi="Times New Roman" w:cs="Times New Roman"/>
          <w:color w:val="000000"/>
          <w:sz w:val="24"/>
          <w:szCs w:val="24"/>
          <w:lang w:val="es-MX" w:eastAsia="es-ES"/>
        </w:rPr>
        <w:t xml:space="preserve"> (</w:t>
      </w:r>
      <w:r>
        <w:rPr>
          <w:rFonts w:ascii="Times New Roman" w:hAnsi="Times New Roman" w:cs="Times New Roman"/>
          <w:bCs/>
          <w:iCs/>
          <w:sz w:val="24"/>
          <w:szCs w:val="24"/>
          <w:lang w:val="es-CR"/>
        </w:rPr>
        <w:t>BCCR, 2020)</w:t>
      </w:r>
      <w:r>
        <w:rPr>
          <w:rFonts w:ascii="Times New Roman" w:eastAsia="Arial" w:hAnsi="Times New Roman" w:cs="Times New Roman"/>
          <w:color w:val="000000"/>
          <w:sz w:val="24"/>
          <w:szCs w:val="24"/>
          <w:lang w:val="es-MX" w:eastAsia="es-ES"/>
        </w:rPr>
        <w:t xml:space="preserve"> </w:t>
      </w:r>
      <w:r w:rsidRPr="003C4E28">
        <w:rPr>
          <w:rFonts w:ascii="Times New Roman" w:eastAsia="Arial" w:hAnsi="Times New Roman" w:cs="Times New Roman"/>
          <w:color w:val="000000"/>
          <w:sz w:val="24"/>
          <w:szCs w:val="24"/>
          <w:lang w:val="es-MX" w:eastAsia="es-ES"/>
        </w:rPr>
        <w:cr/>
      </w:r>
    </w:p>
    <w:p w:rsidR="00463D61" w:rsidRDefault="0040695C" w:rsidP="003C4E28">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Existe cierta </w:t>
      </w:r>
      <w:r w:rsidR="003C4E28" w:rsidRPr="003C4E28">
        <w:rPr>
          <w:rFonts w:ascii="Times New Roman" w:eastAsia="Arial" w:hAnsi="Times New Roman" w:cs="Times New Roman"/>
          <w:color w:val="000000"/>
          <w:sz w:val="24"/>
          <w:szCs w:val="24"/>
          <w:lang w:val="es-MX" w:eastAsia="es-ES"/>
        </w:rPr>
        <w:t>incertidumbre aso</w:t>
      </w:r>
      <w:r>
        <w:rPr>
          <w:rFonts w:ascii="Times New Roman" w:eastAsia="Arial" w:hAnsi="Times New Roman" w:cs="Times New Roman"/>
          <w:color w:val="000000"/>
          <w:sz w:val="24"/>
          <w:szCs w:val="24"/>
          <w:lang w:val="es-MX" w:eastAsia="es-ES"/>
        </w:rPr>
        <w:t>ciada a</w:t>
      </w:r>
      <w:r w:rsidR="003C4E28" w:rsidRPr="003C4E28">
        <w:rPr>
          <w:rFonts w:ascii="Times New Roman" w:eastAsia="Arial" w:hAnsi="Times New Roman" w:cs="Times New Roman"/>
          <w:color w:val="000000"/>
          <w:sz w:val="24"/>
          <w:szCs w:val="24"/>
          <w:lang w:val="es-MX" w:eastAsia="es-ES"/>
        </w:rPr>
        <w:t xml:space="preserve"> la forma de resolver el déficit fiscal y e</w:t>
      </w:r>
      <w:r w:rsidR="003C4E28">
        <w:rPr>
          <w:rFonts w:ascii="Times New Roman" w:eastAsia="Arial" w:hAnsi="Times New Roman" w:cs="Times New Roman"/>
          <w:color w:val="000000"/>
          <w:sz w:val="24"/>
          <w:szCs w:val="24"/>
          <w:lang w:val="es-MX" w:eastAsia="es-ES"/>
        </w:rPr>
        <w:t xml:space="preserve">l crecimiento de la deuda </w:t>
      </w:r>
      <w:r>
        <w:rPr>
          <w:rFonts w:ascii="Times New Roman" w:eastAsia="Arial" w:hAnsi="Times New Roman" w:cs="Times New Roman"/>
          <w:color w:val="000000"/>
          <w:sz w:val="24"/>
          <w:szCs w:val="24"/>
          <w:lang w:val="es-MX" w:eastAsia="es-ES"/>
        </w:rPr>
        <w:t>por parte del Gobierno, lo cual podría desencadenar en una crisis de confianza que podría llegar a impactar la estabilidad financiera del país. Relacionado a esto el BCCR menciona que esto se vio reflejado</w:t>
      </w:r>
      <w:r w:rsidR="003C4E28" w:rsidRPr="003C4E28">
        <w:rPr>
          <w:rFonts w:ascii="Times New Roman" w:eastAsia="Arial" w:hAnsi="Times New Roman" w:cs="Times New Roman"/>
          <w:color w:val="000000"/>
          <w:sz w:val="24"/>
          <w:szCs w:val="24"/>
          <w:lang w:val="es-MX" w:eastAsia="es-ES"/>
        </w:rPr>
        <w:t xml:space="preserve"> en un aumento en los rendimie</w:t>
      </w:r>
      <w:r w:rsidR="003C4E28">
        <w:rPr>
          <w:rFonts w:ascii="Times New Roman" w:eastAsia="Arial" w:hAnsi="Times New Roman" w:cs="Times New Roman"/>
          <w:color w:val="000000"/>
          <w:sz w:val="24"/>
          <w:szCs w:val="24"/>
          <w:lang w:val="es-MX" w:eastAsia="es-ES"/>
        </w:rPr>
        <w:t xml:space="preserve">ntos de los bonos de Costa Rica </w:t>
      </w:r>
      <w:r w:rsidR="003C4E28" w:rsidRPr="003C4E28">
        <w:rPr>
          <w:rFonts w:ascii="Times New Roman" w:eastAsia="Arial" w:hAnsi="Times New Roman" w:cs="Times New Roman"/>
          <w:color w:val="000000"/>
          <w:sz w:val="24"/>
          <w:szCs w:val="24"/>
          <w:lang w:val="es-MX" w:eastAsia="es-ES"/>
        </w:rPr>
        <w:t>(entre el 21 de set</w:t>
      </w:r>
      <w:r w:rsidR="003C4E28">
        <w:rPr>
          <w:rFonts w:ascii="Times New Roman" w:eastAsia="Arial" w:hAnsi="Times New Roman" w:cs="Times New Roman"/>
          <w:color w:val="000000"/>
          <w:sz w:val="24"/>
          <w:szCs w:val="24"/>
          <w:lang w:val="es-MX" w:eastAsia="es-ES"/>
        </w:rPr>
        <w:t xml:space="preserve">iembre y el 20 de octubre del 2020, ese aumento </w:t>
      </w:r>
      <w:r w:rsidR="003C4E28" w:rsidRPr="003C4E28">
        <w:rPr>
          <w:rFonts w:ascii="Times New Roman" w:eastAsia="Arial" w:hAnsi="Times New Roman" w:cs="Times New Roman"/>
          <w:color w:val="000000"/>
          <w:sz w:val="24"/>
          <w:szCs w:val="24"/>
          <w:lang w:val="es-MX" w:eastAsia="es-ES"/>
        </w:rPr>
        <w:t>estuvo entre 152 y 284 puntos base (p.b.), dependiendo del bono).</w:t>
      </w:r>
      <w:r>
        <w:rPr>
          <w:rFonts w:ascii="Times New Roman" w:eastAsia="Arial" w:hAnsi="Times New Roman" w:cs="Times New Roman"/>
          <w:color w:val="000000"/>
          <w:sz w:val="24"/>
          <w:szCs w:val="24"/>
          <w:lang w:val="es-MX" w:eastAsia="es-ES"/>
        </w:rPr>
        <w:t xml:space="preserve"> </w:t>
      </w:r>
    </w:p>
    <w:p w:rsidR="008C1F51" w:rsidRDefault="008C1F51" w:rsidP="008C1F5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lastRenderedPageBreak/>
        <w:t>En este contexto las curvas de rendimiento tienen</w:t>
      </w:r>
      <w:r w:rsidR="004C04C4">
        <w:rPr>
          <w:rFonts w:ascii="Times New Roman" w:eastAsia="Arial" w:hAnsi="Times New Roman" w:cs="Times New Roman"/>
          <w:color w:val="000000"/>
          <w:sz w:val="24"/>
          <w:szCs w:val="24"/>
          <w:lang w:val="es-MX" w:eastAsia="es-ES"/>
        </w:rPr>
        <w:t xml:space="preserve"> un impacto en variables económicas que inciden en las decisiones de consumo e inversión, ya que por medio de la curva se puede visualizar las expectativas en la actividad económica, inflación y la política monetaria. Según </w:t>
      </w:r>
      <w:r w:rsidR="004C04C4">
        <w:rPr>
          <w:rFonts w:ascii="Times New Roman" w:hAnsi="Times New Roman" w:cs="Times New Roman"/>
          <w:bCs/>
          <w:iCs/>
          <w:sz w:val="24"/>
          <w:szCs w:val="24"/>
          <w:lang w:val="es-CR"/>
        </w:rPr>
        <w:t>Perada (2009)</w:t>
      </w:r>
      <w:r w:rsidR="004C04C4">
        <w:rPr>
          <w:rFonts w:ascii="Times New Roman" w:eastAsia="Arial" w:hAnsi="Times New Roman" w:cs="Times New Roman"/>
          <w:color w:val="000000"/>
          <w:sz w:val="24"/>
          <w:szCs w:val="24"/>
          <w:lang w:val="es-MX" w:eastAsia="es-ES"/>
        </w:rPr>
        <w:t xml:space="preserve"> d</w:t>
      </w:r>
      <w:r w:rsidR="004C04C4" w:rsidRPr="008023A5">
        <w:rPr>
          <w:rFonts w:ascii="Times New Roman" w:eastAsia="Arial" w:hAnsi="Times New Roman" w:cs="Times New Roman"/>
          <w:color w:val="000000"/>
          <w:sz w:val="24"/>
          <w:szCs w:val="24"/>
          <w:lang w:val="es-MX" w:eastAsia="es-ES"/>
        </w:rPr>
        <w:t>esde el punto de vista financiero, la existencia de una curva de ren</w:t>
      </w:r>
      <w:r w:rsidR="004C04C4">
        <w:rPr>
          <w:rFonts w:ascii="Times New Roman" w:eastAsia="Arial" w:hAnsi="Times New Roman" w:cs="Times New Roman"/>
          <w:color w:val="000000"/>
          <w:sz w:val="24"/>
          <w:szCs w:val="24"/>
          <w:lang w:val="es-MX" w:eastAsia="es-ES"/>
        </w:rPr>
        <w:t xml:space="preserve">dimiento favorece el desarrollo </w:t>
      </w:r>
      <w:r w:rsidR="004C04C4" w:rsidRPr="008023A5">
        <w:rPr>
          <w:rFonts w:ascii="Times New Roman" w:eastAsia="Arial" w:hAnsi="Times New Roman" w:cs="Times New Roman"/>
          <w:color w:val="000000"/>
          <w:sz w:val="24"/>
          <w:szCs w:val="24"/>
          <w:lang w:val="es-MX" w:eastAsia="es-ES"/>
        </w:rPr>
        <w:t xml:space="preserve">del </w:t>
      </w:r>
      <w:r w:rsidR="004C04C4">
        <w:rPr>
          <w:rFonts w:ascii="Times New Roman" w:eastAsia="Arial" w:hAnsi="Times New Roman" w:cs="Times New Roman"/>
          <w:color w:val="000000"/>
          <w:sz w:val="24"/>
          <w:szCs w:val="24"/>
          <w:lang w:val="es-MX" w:eastAsia="es-ES"/>
        </w:rPr>
        <w:t>mercado de capitales doméstico, primario y secundario,</w:t>
      </w:r>
      <w:r w:rsidR="004C04C4" w:rsidRPr="008023A5">
        <w:rPr>
          <w:rFonts w:ascii="Times New Roman" w:eastAsia="Arial" w:hAnsi="Times New Roman" w:cs="Times New Roman"/>
          <w:color w:val="000000"/>
          <w:sz w:val="24"/>
          <w:szCs w:val="24"/>
          <w:lang w:val="es-MX" w:eastAsia="es-ES"/>
        </w:rPr>
        <w:t xml:space="preserve"> pues </w:t>
      </w:r>
      <w:r w:rsidR="004C04C4">
        <w:rPr>
          <w:rFonts w:ascii="Times New Roman" w:eastAsia="Arial" w:hAnsi="Times New Roman" w:cs="Times New Roman"/>
          <w:color w:val="000000"/>
          <w:sz w:val="24"/>
          <w:szCs w:val="24"/>
          <w:lang w:val="es-MX" w:eastAsia="es-ES"/>
        </w:rPr>
        <w:t xml:space="preserve">favorece la valorización de los </w:t>
      </w:r>
      <w:r w:rsidR="004C04C4" w:rsidRPr="008023A5">
        <w:rPr>
          <w:rFonts w:ascii="Times New Roman" w:eastAsia="Arial" w:hAnsi="Times New Roman" w:cs="Times New Roman"/>
          <w:color w:val="000000"/>
          <w:sz w:val="24"/>
          <w:szCs w:val="24"/>
          <w:lang w:val="es-MX" w:eastAsia="es-ES"/>
        </w:rPr>
        <w:t>instrumentos financieros (de deuda y derivados)</w:t>
      </w:r>
      <w:r w:rsidR="004C04C4">
        <w:rPr>
          <w:rFonts w:ascii="Times New Roman" w:eastAsia="Arial" w:hAnsi="Times New Roman" w:cs="Times New Roman"/>
          <w:color w:val="000000"/>
          <w:sz w:val="24"/>
          <w:szCs w:val="24"/>
          <w:lang w:val="es-MX" w:eastAsia="es-ES"/>
        </w:rPr>
        <w:t xml:space="preserve">. </w:t>
      </w:r>
    </w:p>
    <w:p w:rsidR="00B153A5"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463D61" w:rsidRDefault="00B153A5" w:rsidP="00463D61">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r>
        <w:rPr>
          <w:rFonts w:ascii="Times New Roman" w:eastAsia="Arial" w:hAnsi="Times New Roman" w:cs="Times New Roman"/>
          <w:color w:val="000000"/>
          <w:sz w:val="24"/>
          <w:szCs w:val="24"/>
          <w:lang w:val="es-MX" w:eastAsia="es-ES"/>
        </w:rPr>
        <w:t xml:space="preserve">Es por esto que conocer el comportamiento de los rendimientos es de gran importancia para anticipar posibles comportamientos en la economía del país. </w:t>
      </w:r>
    </w:p>
    <w:p w:rsidR="009F1A35" w:rsidRDefault="009F1A35" w:rsidP="001742EB">
      <w:pPr>
        <w:tabs>
          <w:tab w:val="center" w:pos="4252"/>
        </w:tabs>
        <w:spacing w:line="240" w:lineRule="auto"/>
        <w:contextualSpacing/>
        <w:jc w:val="both"/>
        <w:rPr>
          <w:rFonts w:ascii="Times New Roman" w:eastAsia="Arial" w:hAnsi="Times New Roman" w:cs="Times New Roman"/>
          <w:color w:val="000000"/>
          <w:sz w:val="24"/>
          <w:szCs w:val="24"/>
          <w:lang w:val="es-MX" w:eastAsia="es-ES"/>
        </w:rPr>
      </w:pPr>
    </w:p>
    <w:p w:rsidR="00674D0C" w:rsidRPr="00D9650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CR"/>
        </w:rPr>
      </w:pPr>
      <w:r w:rsidRPr="00D96501">
        <w:rPr>
          <w:rFonts w:ascii="Times New Roman" w:hAnsi="Times New Roman" w:cs="Times New Roman"/>
          <w:b/>
          <w:sz w:val="24"/>
          <w:szCs w:val="24"/>
          <w:lang w:val="es-CR"/>
        </w:rPr>
        <w:t>MATERIALES Y MÉTODOS</w:t>
      </w:r>
    </w:p>
    <w:p w:rsidR="00D52582" w:rsidRDefault="00D52582" w:rsidP="003166AF">
      <w:pPr>
        <w:tabs>
          <w:tab w:val="center" w:pos="4252"/>
        </w:tabs>
        <w:spacing w:line="240" w:lineRule="auto"/>
        <w:contextualSpacing/>
        <w:jc w:val="both"/>
        <w:rPr>
          <w:rFonts w:ascii="Times New Roman" w:hAnsi="Times New Roman" w:cs="Times New Roman"/>
          <w:sz w:val="24"/>
          <w:szCs w:val="24"/>
          <w:lang w:val="es-CR"/>
        </w:rPr>
      </w:pPr>
    </w:p>
    <w:p w:rsidR="00BF2C0C" w:rsidRDefault="0025156E" w:rsidP="00D216EC">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El objetivo consiste en</w:t>
      </w:r>
      <w:r w:rsidR="00514CAF">
        <w:rPr>
          <w:rFonts w:ascii="Times New Roman" w:hAnsi="Times New Roman" w:cs="Times New Roman"/>
          <w:sz w:val="24"/>
          <w:szCs w:val="24"/>
          <w:lang w:val="es-MX"/>
        </w:rPr>
        <w:t xml:space="preserve"> </w:t>
      </w:r>
      <w:r w:rsidR="00D216EC">
        <w:rPr>
          <w:rFonts w:ascii="Times New Roman" w:hAnsi="Times New Roman" w:cs="Times New Roman"/>
          <w:sz w:val="24"/>
          <w:szCs w:val="24"/>
          <w:lang w:val="es-MX"/>
        </w:rPr>
        <w:t>crear un indicador</w:t>
      </w:r>
      <w:r w:rsidR="00D216EC" w:rsidRPr="00D216EC">
        <w:rPr>
          <w:rFonts w:ascii="Times New Roman" w:hAnsi="Times New Roman" w:cs="Times New Roman"/>
          <w:sz w:val="24"/>
          <w:szCs w:val="24"/>
          <w:lang w:val="es-MX"/>
        </w:rPr>
        <w:t xml:space="preserve"> q</w:t>
      </w:r>
      <w:r w:rsidR="00D216EC">
        <w:rPr>
          <w:rFonts w:ascii="Times New Roman" w:hAnsi="Times New Roman" w:cs="Times New Roman"/>
          <w:sz w:val="24"/>
          <w:szCs w:val="24"/>
          <w:lang w:val="es-MX"/>
        </w:rPr>
        <w:t xml:space="preserve">ue permita analizar la curva de </w:t>
      </w:r>
      <w:r w:rsidR="00D216EC" w:rsidRPr="00D216EC">
        <w:rPr>
          <w:rFonts w:ascii="Times New Roman" w:hAnsi="Times New Roman" w:cs="Times New Roman"/>
          <w:sz w:val="24"/>
          <w:szCs w:val="24"/>
          <w:lang w:val="es-MX"/>
        </w:rPr>
        <w:t xml:space="preserve">rendimiento soberana doméstica </w:t>
      </w:r>
      <w:r w:rsidR="003D5E2C">
        <w:rPr>
          <w:rFonts w:ascii="Times New Roman" w:hAnsi="Times New Roman" w:cs="Times New Roman"/>
          <w:sz w:val="24"/>
          <w:szCs w:val="24"/>
          <w:lang w:val="es-MX"/>
        </w:rPr>
        <w:t xml:space="preserve">de Costa Rica de forma agregada para </w:t>
      </w:r>
      <w:r w:rsidR="003D5E2C" w:rsidRPr="003D5E2C">
        <w:rPr>
          <w:rFonts w:ascii="Times New Roman" w:hAnsi="Times New Roman" w:cs="Times New Roman"/>
          <w:sz w:val="24"/>
          <w:szCs w:val="24"/>
          <w:lang w:val="es-MX"/>
        </w:rPr>
        <w:t>conocer la evolución y el comportamiento de los rendimientos</w:t>
      </w:r>
      <w:r w:rsidR="003D5E2C">
        <w:rPr>
          <w:rFonts w:ascii="Times New Roman" w:hAnsi="Times New Roman" w:cs="Times New Roman"/>
          <w:sz w:val="24"/>
          <w:szCs w:val="24"/>
          <w:lang w:val="es-MX"/>
        </w:rPr>
        <w:t>.</w:t>
      </w:r>
    </w:p>
    <w:p w:rsidR="007B75A0" w:rsidRDefault="00D25D9F" w:rsidP="00D25D9F">
      <w:pPr>
        <w:tabs>
          <w:tab w:val="center" w:pos="4252"/>
        </w:tabs>
        <w:spacing w:line="240" w:lineRule="auto"/>
        <w:contextualSpacing/>
        <w:jc w:val="both"/>
        <w:rPr>
          <w:rFonts w:ascii="Times New Roman" w:hAnsi="Times New Roman" w:cs="Times New Roman"/>
          <w:sz w:val="24"/>
          <w:szCs w:val="24"/>
          <w:lang w:val="es-MX"/>
        </w:rPr>
      </w:pPr>
      <w:r w:rsidRPr="00932E6F">
        <w:rPr>
          <w:rFonts w:ascii="Times New Roman" w:hAnsi="Times New Roman" w:cs="Times New Roman"/>
          <w:sz w:val="24"/>
          <w:szCs w:val="24"/>
          <w:lang w:val="es-MX"/>
        </w:rPr>
        <w:t>Los datos son rendimientos netos de impuestos</w:t>
      </w:r>
      <w:r>
        <w:rPr>
          <w:rFonts w:ascii="Times New Roman" w:hAnsi="Times New Roman" w:cs="Times New Roman"/>
          <w:sz w:val="24"/>
          <w:szCs w:val="24"/>
          <w:lang w:val="es-MX"/>
        </w:rPr>
        <w:t xml:space="preserve"> en colones y se utilizó</w:t>
      </w:r>
      <w:r w:rsidR="00932E6F" w:rsidRPr="00932E6F">
        <w:rPr>
          <w:rFonts w:ascii="Times New Roman" w:hAnsi="Times New Roman" w:cs="Times New Roman"/>
          <w:sz w:val="24"/>
          <w:szCs w:val="24"/>
          <w:lang w:val="es-MX"/>
        </w:rPr>
        <w:t xml:space="preserve"> l</w:t>
      </w:r>
      <w:r w:rsidR="00932E6F">
        <w:rPr>
          <w:rFonts w:ascii="Times New Roman" w:hAnsi="Times New Roman" w:cs="Times New Roman"/>
          <w:sz w:val="24"/>
          <w:szCs w:val="24"/>
          <w:lang w:val="es-MX"/>
        </w:rPr>
        <w:t>a curva de rendimiento soberana doméstica construida por el BCC</w:t>
      </w:r>
      <w:r w:rsidR="00932E6F" w:rsidRPr="00932E6F">
        <w:rPr>
          <w:rFonts w:ascii="Times New Roman" w:hAnsi="Times New Roman" w:cs="Times New Roman"/>
          <w:sz w:val="24"/>
          <w:szCs w:val="24"/>
          <w:lang w:val="es-MX"/>
        </w:rPr>
        <w:t>R</w:t>
      </w:r>
      <w:r w:rsidR="00932E6F">
        <w:rPr>
          <w:rFonts w:ascii="Times New Roman" w:hAnsi="Times New Roman" w:cs="Times New Roman"/>
          <w:sz w:val="24"/>
          <w:szCs w:val="24"/>
          <w:lang w:val="es-MX"/>
        </w:rPr>
        <w:t xml:space="preserve">. </w:t>
      </w:r>
      <w:r w:rsidR="00932E6F" w:rsidRPr="00932E6F">
        <w:rPr>
          <w:rFonts w:ascii="Times New Roman" w:hAnsi="Times New Roman" w:cs="Times New Roman"/>
          <w:sz w:val="24"/>
          <w:szCs w:val="24"/>
          <w:lang w:val="es-MX"/>
        </w:rPr>
        <w:t>La curva se construye con</w:t>
      </w:r>
      <w:r>
        <w:rPr>
          <w:rFonts w:ascii="Times New Roman" w:hAnsi="Times New Roman" w:cs="Times New Roman"/>
          <w:sz w:val="24"/>
          <w:szCs w:val="24"/>
          <w:lang w:val="es-MX"/>
        </w:rPr>
        <w:t xml:space="preserve"> observaciones semanales de miércoles a martes. Se obtuvo la información de 257 semanas, del 07/10/2015 al 03/11/</w:t>
      </w:r>
      <w:r w:rsidRPr="00D25D9F">
        <w:rPr>
          <w:rFonts w:ascii="Times New Roman" w:hAnsi="Times New Roman" w:cs="Times New Roman"/>
          <w:sz w:val="24"/>
          <w:szCs w:val="24"/>
          <w:lang w:val="es-MX"/>
        </w:rPr>
        <w:t>2020</w:t>
      </w:r>
      <w:r>
        <w:rPr>
          <w:rFonts w:ascii="Times New Roman" w:hAnsi="Times New Roman" w:cs="Times New Roman"/>
          <w:sz w:val="24"/>
          <w:szCs w:val="24"/>
          <w:lang w:val="es-MX"/>
        </w:rPr>
        <w:t xml:space="preserve">, para cada semana se tomaron 3600 rendimientos, que en este caso van a considerarse como las variables utilizadas en el análisis. </w:t>
      </w:r>
    </w:p>
    <w:p w:rsidR="00F04779" w:rsidRDefault="001C53E2" w:rsidP="008E1CB9">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Se utilizó la técnica de componentes principales</w:t>
      </w:r>
      <w:r w:rsidR="008E1CB9">
        <w:rPr>
          <w:rFonts w:ascii="Times New Roman" w:hAnsi="Times New Roman" w:cs="Times New Roman"/>
          <w:sz w:val="24"/>
          <w:szCs w:val="24"/>
          <w:lang w:val="es-MX"/>
        </w:rPr>
        <w:t xml:space="preserve"> (ACP)</w:t>
      </w:r>
      <w:r>
        <w:rPr>
          <w:rFonts w:ascii="Times New Roman" w:hAnsi="Times New Roman" w:cs="Times New Roman"/>
          <w:sz w:val="24"/>
          <w:szCs w:val="24"/>
          <w:lang w:val="es-MX"/>
        </w:rPr>
        <w:t xml:space="preserve"> para la reducción de </w:t>
      </w:r>
      <w:r w:rsidR="00F04779">
        <w:rPr>
          <w:rFonts w:ascii="Times New Roman" w:hAnsi="Times New Roman" w:cs="Times New Roman"/>
          <w:sz w:val="24"/>
          <w:szCs w:val="24"/>
          <w:lang w:val="es-MX"/>
        </w:rPr>
        <w:t xml:space="preserve">la dimensionalidad. </w:t>
      </w:r>
      <w:r w:rsidR="008E1CB9">
        <w:rPr>
          <w:rFonts w:ascii="Times New Roman" w:hAnsi="Times New Roman" w:cs="Times New Roman"/>
          <w:sz w:val="24"/>
          <w:szCs w:val="24"/>
          <w:lang w:val="es-MX"/>
        </w:rPr>
        <w:t>El propósito del análisis de componentes principales es reemplazar p variables, generalmente correlacionadas, por un número menor de variables no correlacionadas llamadas componentes principales que explican una gran porción de la variabilidad total de las p variables. Los componentes principales se construyen como combinaciones lineales particulares de las p variables de tal manera que además de no estar correlacionados, tengan también variancia máxima. Esta técnica</w:t>
      </w:r>
      <w:r w:rsidR="008E1CB9" w:rsidRPr="008E1CB9">
        <w:rPr>
          <w:rFonts w:ascii="Times New Roman" w:hAnsi="Times New Roman" w:cs="Times New Roman"/>
          <w:sz w:val="24"/>
          <w:szCs w:val="24"/>
          <w:lang w:val="es-MX"/>
        </w:rPr>
        <w:t xml:space="preserve"> aplic</w:t>
      </w:r>
      <w:r w:rsidR="008E1CB9">
        <w:rPr>
          <w:rFonts w:ascii="Times New Roman" w:hAnsi="Times New Roman" w:cs="Times New Roman"/>
          <w:sz w:val="24"/>
          <w:szCs w:val="24"/>
          <w:lang w:val="es-MX"/>
        </w:rPr>
        <w:t>ada</w:t>
      </w:r>
      <w:r w:rsidR="002B7C23">
        <w:rPr>
          <w:rFonts w:ascii="Times New Roman" w:hAnsi="Times New Roman" w:cs="Times New Roman"/>
          <w:sz w:val="24"/>
          <w:szCs w:val="24"/>
          <w:lang w:val="es-MX"/>
        </w:rPr>
        <w:t xml:space="preserve"> a la curva de rendimientos</w:t>
      </w:r>
      <w:r w:rsidR="008E1CB9" w:rsidRPr="008E1CB9">
        <w:rPr>
          <w:rFonts w:ascii="Times New Roman" w:hAnsi="Times New Roman" w:cs="Times New Roman"/>
          <w:sz w:val="24"/>
          <w:szCs w:val="24"/>
          <w:lang w:val="es-MX"/>
        </w:rPr>
        <w:t xml:space="preserve"> provee infor</w:t>
      </w:r>
      <w:r w:rsidR="008E1CB9">
        <w:rPr>
          <w:rFonts w:ascii="Times New Roman" w:hAnsi="Times New Roman" w:cs="Times New Roman"/>
          <w:sz w:val="24"/>
          <w:szCs w:val="24"/>
          <w:lang w:val="es-MX"/>
        </w:rPr>
        <w:t xml:space="preserve">mación importante respecto a la </w:t>
      </w:r>
      <w:r w:rsidR="008E1CB9" w:rsidRPr="008E1CB9">
        <w:rPr>
          <w:rFonts w:ascii="Times New Roman" w:hAnsi="Times New Roman" w:cs="Times New Roman"/>
          <w:sz w:val="24"/>
          <w:szCs w:val="24"/>
          <w:lang w:val="es-MX"/>
        </w:rPr>
        <w:t>d</w:t>
      </w:r>
      <w:r w:rsidR="008E1CB9">
        <w:rPr>
          <w:rFonts w:ascii="Times New Roman" w:hAnsi="Times New Roman" w:cs="Times New Roman"/>
          <w:sz w:val="24"/>
          <w:szCs w:val="24"/>
          <w:lang w:val="es-MX"/>
        </w:rPr>
        <w:t>inámica de las tasas de interés.</w:t>
      </w:r>
    </w:p>
    <w:p w:rsidR="00F04779" w:rsidRDefault="00CA69E7" w:rsidP="00D25D9F">
      <w:pPr>
        <w:tabs>
          <w:tab w:val="center" w:pos="4252"/>
        </w:tabs>
        <w:spacing w:line="240" w:lineRule="auto"/>
        <w:contextualSpacing/>
        <w:jc w:val="both"/>
        <w:rPr>
          <w:rFonts w:ascii="Times New Roman" w:hAnsi="Times New Roman" w:cs="Times New Roman"/>
          <w:sz w:val="24"/>
          <w:szCs w:val="24"/>
          <w:lang w:val="es-MX"/>
        </w:rPr>
      </w:pPr>
      <w:r>
        <w:rPr>
          <w:rFonts w:ascii="Times New Roman" w:hAnsi="Times New Roman" w:cs="Times New Roman"/>
          <w:sz w:val="24"/>
          <w:szCs w:val="24"/>
          <w:lang w:val="es-MX"/>
        </w:rPr>
        <w:t>La construcción del indicador se realizó con los tres primeros componentes principales. El primer componente representa el nivel o desplazamiento paralelo de la curva de rendimiento, el segundo componente hace referencia a la pendiente y el tercer componente representa la curvatura. El indicador se calcula con la suma ponderada de los tres primeros componentes, tomando como ponderadores la proporción de variancia explicada en cada componente. La fórmula del indicador es la siguiente:</w:t>
      </w:r>
    </w:p>
    <w:p w:rsidR="00CA69E7" w:rsidRDefault="00CA69E7" w:rsidP="00D25D9F">
      <w:pPr>
        <w:tabs>
          <w:tab w:val="center" w:pos="4252"/>
        </w:tabs>
        <w:spacing w:line="240" w:lineRule="auto"/>
        <w:contextualSpacing/>
        <w:jc w:val="both"/>
        <w:rPr>
          <w:rFonts w:ascii="Times New Roman" w:hAnsi="Times New Roman" w:cs="Times New Roman"/>
          <w:sz w:val="24"/>
          <w:szCs w:val="24"/>
          <w:lang w:val="es-MX"/>
        </w:rPr>
      </w:pPr>
    </w:p>
    <w:p w:rsidR="00CA69E7" w:rsidRDefault="00D96501" w:rsidP="00D25D9F">
      <w:pPr>
        <w:tabs>
          <w:tab w:val="center" w:pos="4252"/>
        </w:tabs>
        <w:spacing w:line="240" w:lineRule="auto"/>
        <w:contextualSpacing/>
        <w:jc w:val="both"/>
        <w:rPr>
          <w:rFonts w:ascii="Times New Roman" w:hAnsi="Times New Roman" w:cs="Times New Roman"/>
          <w:sz w:val="24"/>
          <w:szCs w:val="24"/>
          <w:lang w:val="es-MX"/>
        </w:rPr>
      </w:pPr>
      <m:oMathPara>
        <m:oMath>
          <m:r>
            <w:rPr>
              <w:rFonts w:ascii="Cambria Math" w:hAnsi="Cambria Math" w:cs="Times New Roman"/>
              <w:sz w:val="24"/>
              <w:szCs w:val="24"/>
              <w:lang w:val="es-MX"/>
            </w:rPr>
            <m:t>ICR=0.93*PC1+0.056*PC2+0.011*PC3</m:t>
          </m:r>
        </m:oMath>
      </m:oMathPara>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D96501" w:rsidRDefault="00D96501" w:rsidP="00D25D9F">
      <w:pPr>
        <w:tabs>
          <w:tab w:val="center" w:pos="4252"/>
        </w:tabs>
        <w:spacing w:line="240" w:lineRule="auto"/>
        <w:contextualSpacing/>
        <w:jc w:val="both"/>
        <w:rPr>
          <w:rFonts w:ascii="Times New Roman" w:hAnsi="Times New Roman" w:cs="Times New Roman"/>
          <w:sz w:val="24"/>
          <w:szCs w:val="24"/>
          <w:lang w:val="es-MX"/>
        </w:rPr>
      </w:pPr>
    </w:p>
    <w:p w:rsidR="00F04779" w:rsidRDefault="00D96501" w:rsidP="00D25D9F">
      <w:pPr>
        <w:tabs>
          <w:tab w:val="center" w:pos="4252"/>
        </w:tabs>
        <w:spacing w:line="240" w:lineRule="auto"/>
        <w:contextualSpacing/>
        <w:jc w:val="both"/>
        <w:rPr>
          <w:rFonts w:ascii="Times New Roman" w:hAnsi="Times New Roman" w:cs="Times New Roman"/>
          <w:sz w:val="24"/>
          <w:szCs w:val="24"/>
          <w:lang w:val="es-MX"/>
        </w:rPr>
      </w:pPr>
      <w:r w:rsidRPr="00D96501">
        <w:rPr>
          <w:rFonts w:ascii="Times New Roman" w:hAnsi="Times New Roman" w:cs="Times New Roman"/>
          <w:sz w:val="24"/>
          <w:szCs w:val="24"/>
          <w:highlight w:val="yellow"/>
          <w:lang w:val="es-MX"/>
        </w:rPr>
        <w:t>Validación y calibración</w:t>
      </w:r>
      <w:r>
        <w:rPr>
          <w:rFonts w:ascii="Times New Roman" w:hAnsi="Times New Roman" w:cs="Times New Roman"/>
          <w:sz w:val="24"/>
          <w:szCs w:val="24"/>
          <w:lang w:val="es-MX"/>
        </w:rPr>
        <w:t xml:space="preserve"> </w:t>
      </w:r>
    </w:p>
    <w:p w:rsidR="00F04779" w:rsidRDefault="00F04779" w:rsidP="00D25D9F">
      <w:pPr>
        <w:tabs>
          <w:tab w:val="center" w:pos="4252"/>
        </w:tabs>
        <w:spacing w:line="240" w:lineRule="auto"/>
        <w:contextualSpacing/>
        <w:jc w:val="both"/>
        <w:rPr>
          <w:rFonts w:ascii="Times New Roman" w:hAnsi="Times New Roman" w:cs="Times New Roman"/>
          <w:sz w:val="24"/>
          <w:szCs w:val="24"/>
          <w:lang w:val="es-MX"/>
        </w:rPr>
      </w:pPr>
    </w:p>
    <w:p w:rsidR="00463D61" w:rsidRDefault="00463D61" w:rsidP="00514CAF">
      <w:pPr>
        <w:tabs>
          <w:tab w:val="center" w:pos="4252"/>
        </w:tabs>
        <w:spacing w:line="240" w:lineRule="auto"/>
        <w:contextualSpacing/>
        <w:jc w:val="both"/>
        <w:rPr>
          <w:rFonts w:ascii="Times New Roman" w:hAnsi="Times New Roman" w:cs="Times New Roman"/>
          <w:sz w:val="24"/>
          <w:szCs w:val="24"/>
          <w:lang w:val="es-MX"/>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D96501" w:rsidRDefault="00D96501" w:rsidP="003166AF">
      <w:pPr>
        <w:tabs>
          <w:tab w:val="center" w:pos="4252"/>
        </w:tabs>
        <w:spacing w:line="240" w:lineRule="auto"/>
        <w:jc w:val="both"/>
        <w:rPr>
          <w:rFonts w:ascii="Times New Roman" w:hAnsi="Times New Roman" w:cs="Times New Roman"/>
          <w:b/>
          <w:sz w:val="24"/>
          <w:szCs w:val="24"/>
          <w:lang w:val="es-ES"/>
        </w:rPr>
      </w:pPr>
    </w:p>
    <w:p w:rsidR="001A0F9D" w:rsidRDefault="001A0F9D" w:rsidP="003166AF">
      <w:pPr>
        <w:tabs>
          <w:tab w:val="center" w:pos="4252"/>
        </w:tabs>
        <w:spacing w:line="240" w:lineRule="auto"/>
        <w:jc w:val="both"/>
        <w:rPr>
          <w:rFonts w:ascii="Times New Roman" w:hAnsi="Times New Roman" w:cs="Times New Roman"/>
          <w:b/>
          <w:sz w:val="24"/>
          <w:szCs w:val="24"/>
          <w:lang w:val="es-ES"/>
        </w:rPr>
      </w:pPr>
    </w:p>
    <w:p w:rsidR="00FE1F64" w:rsidRPr="00463D61" w:rsidRDefault="00674D0C" w:rsidP="00D96501">
      <w:pPr>
        <w:pStyle w:val="Prrafodelista"/>
        <w:numPr>
          <w:ilvl w:val="0"/>
          <w:numId w:val="19"/>
        </w:numPr>
        <w:tabs>
          <w:tab w:val="center" w:pos="4252"/>
        </w:tabs>
        <w:spacing w:line="240" w:lineRule="auto"/>
        <w:jc w:val="both"/>
        <w:rPr>
          <w:rFonts w:ascii="Times New Roman" w:hAnsi="Times New Roman" w:cs="Times New Roman"/>
          <w:b/>
          <w:sz w:val="24"/>
          <w:szCs w:val="24"/>
          <w:lang w:val="es-ES"/>
        </w:rPr>
      </w:pPr>
      <w:r w:rsidRPr="00463D61">
        <w:rPr>
          <w:rFonts w:ascii="Times New Roman" w:hAnsi="Times New Roman" w:cs="Times New Roman"/>
          <w:b/>
          <w:sz w:val="24"/>
          <w:szCs w:val="24"/>
          <w:lang w:val="es-ES"/>
        </w:rPr>
        <w:lastRenderedPageBreak/>
        <w:t>RESULTADOS</w:t>
      </w:r>
    </w:p>
    <w:p w:rsidR="005A3F7C" w:rsidRPr="005A3F7C" w:rsidRDefault="005A3F7C" w:rsidP="003166AF">
      <w:pPr>
        <w:tabs>
          <w:tab w:val="center" w:pos="4252"/>
        </w:tabs>
        <w:spacing w:line="240" w:lineRule="auto"/>
        <w:jc w:val="both"/>
        <w:rPr>
          <w:rFonts w:ascii="Times New Roman" w:hAnsi="Times New Roman" w:cs="Times New Roman"/>
          <w:sz w:val="24"/>
          <w:szCs w:val="24"/>
          <w:lang w:val="es-CR"/>
        </w:rPr>
      </w:pPr>
    </w:p>
    <w:p w:rsidR="0025156E"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w:t>
      </w:r>
      <w:r w:rsidR="00547072" w:rsidRPr="00D96501">
        <w:rPr>
          <w:rFonts w:ascii="Times New Roman" w:hAnsi="Times New Roman" w:cs="Times New Roman"/>
          <w:b/>
          <w:sz w:val="24"/>
          <w:szCs w:val="24"/>
          <w:lang w:val="es-CR"/>
        </w:rPr>
        <w:t>Análisis descriptivo</w:t>
      </w:r>
      <w:r w:rsidRPr="00D96501">
        <w:rPr>
          <w:rFonts w:ascii="Times New Roman" w:hAnsi="Times New Roman" w:cs="Times New Roman"/>
          <w:b/>
          <w:sz w:val="24"/>
          <w:szCs w:val="24"/>
          <w:lang w:val="es-CR"/>
        </w:rPr>
        <w:t xml:space="preserve"> de la curva </w:t>
      </w:r>
      <w:r>
        <w:rPr>
          <w:rFonts w:ascii="Times New Roman" w:hAnsi="Times New Roman" w:cs="Times New Roman"/>
          <w:b/>
          <w:sz w:val="24"/>
          <w:szCs w:val="24"/>
          <w:lang w:val="es-CR"/>
        </w:rPr>
        <w:t>de rendimiento</w:t>
      </w:r>
      <w:r w:rsidR="00547072" w:rsidRPr="00D96501">
        <w:rPr>
          <w:rFonts w:ascii="Times New Roman" w:hAnsi="Times New Roman" w:cs="Times New Roman"/>
          <w:b/>
          <w:sz w:val="24"/>
          <w:szCs w:val="24"/>
          <w:lang w:val="es-CR"/>
        </w:rPr>
        <w:t xml:space="preserve"> </w:t>
      </w:r>
    </w:p>
    <w:p w:rsidR="00732090" w:rsidRDefault="00B60933"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gráfico 1 se observa que a</w:t>
      </w:r>
      <w:r w:rsidR="00732090" w:rsidRPr="00732090">
        <w:rPr>
          <w:rFonts w:ascii="Times New Roman" w:hAnsi="Times New Roman" w:cs="Times New Roman"/>
          <w:sz w:val="24"/>
          <w:szCs w:val="24"/>
          <w:lang w:val="es-CR"/>
        </w:rPr>
        <w:t xml:space="preserve"> mayor plazo mayor es el promedio y mediana de los rendimientos.</w:t>
      </w:r>
      <w:r w:rsidR="003273C0">
        <w:rPr>
          <w:rFonts w:ascii="Times New Roman" w:hAnsi="Times New Roman" w:cs="Times New Roman"/>
          <w:sz w:val="24"/>
          <w:szCs w:val="24"/>
          <w:lang w:val="es-CR"/>
        </w:rPr>
        <w:t xml:space="preserve"> </w:t>
      </w:r>
      <w:r w:rsidR="000C75DE">
        <w:rPr>
          <w:rFonts w:ascii="Times New Roman" w:hAnsi="Times New Roman" w:cs="Times New Roman"/>
          <w:sz w:val="24"/>
          <w:szCs w:val="24"/>
          <w:lang w:val="es-CR"/>
        </w:rPr>
        <w:t>Al observar</w:t>
      </w:r>
      <w:r w:rsidR="003273C0" w:rsidRPr="003273C0">
        <w:rPr>
          <w:rFonts w:ascii="Times New Roman" w:hAnsi="Times New Roman" w:cs="Times New Roman"/>
          <w:sz w:val="24"/>
          <w:szCs w:val="24"/>
          <w:lang w:val="es-CR"/>
        </w:rPr>
        <w:t xml:space="preserve"> las tasas por </w:t>
      </w:r>
      <w:r>
        <w:rPr>
          <w:rFonts w:ascii="Times New Roman" w:hAnsi="Times New Roman" w:cs="Times New Roman"/>
          <w:sz w:val="24"/>
          <w:szCs w:val="24"/>
          <w:lang w:val="es-CR"/>
        </w:rPr>
        <w:t xml:space="preserve">tipo de </w:t>
      </w:r>
      <w:r w:rsidR="000C75DE">
        <w:rPr>
          <w:rFonts w:ascii="Times New Roman" w:hAnsi="Times New Roman" w:cs="Times New Roman"/>
          <w:sz w:val="24"/>
          <w:szCs w:val="24"/>
          <w:lang w:val="es-CR"/>
        </w:rPr>
        <w:t xml:space="preserve">plazo y año, </w:t>
      </w:r>
      <w:r>
        <w:rPr>
          <w:rFonts w:ascii="Times New Roman" w:hAnsi="Times New Roman" w:cs="Times New Roman"/>
          <w:sz w:val="24"/>
          <w:szCs w:val="24"/>
          <w:lang w:val="es-CR"/>
        </w:rPr>
        <w:t>en los años 2018 y 2019 se dan las mayores tasas</w:t>
      </w:r>
      <w:r w:rsidR="000D4CE1">
        <w:rPr>
          <w:rFonts w:ascii="Times New Roman" w:hAnsi="Times New Roman" w:cs="Times New Roman"/>
          <w:sz w:val="24"/>
          <w:szCs w:val="24"/>
          <w:lang w:val="es-CR"/>
        </w:rPr>
        <w:t xml:space="preserve"> y en el largo plazo para el año 2019 es donde se registran las tasas más altas en comparación con el corto y mediano plazo</w:t>
      </w:r>
      <w:r w:rsidR="003273C0" w:rsidRPr="003273C0">
        <w:rPr>
          <w:rFonts w:ascii="Times New Roman" w:hAnsi="Times New Roman" w:cs="Times New Roman"/>
          <w:sz w:val="24"/>
          <w:szCs w:val="24"/>
          <w:lang w:val="es-CR"/>
        </w:rPr>
        <w:t>. El 2020 en cambio tiene las</w:t>
      </w:r>
      <w:r>
        <w:rPr>
          <w:rFonts w:ascii="Times New Roman" w:hAnsi="Times New Roman" w:cs="Times New Roman"/>
          <w:sz w:val="24"/>
          <w:szCs w:val="24"/>
          <w:lang w:val="es-CR"/>
        </w:rPr>
        <w:t xml:space="preserve"> tasas</w:t>
      </w:r>
      <w:r w:rsidR="003273C0" w:rsidRPr="003273C0">
        <w:rPr>
          <w:rFonts w:ascii="Times New Roman" w:hAnsi="Times New Roman" w:cs="Times New Roman"/>
          <w:sz w:val="24"/>
          <w:szCs w:val="24"/>
          <w:lang w:val="es-CR"/>
        </w:rPr>
        <w:t xml:space="preserve"> más bajas</w:t>
      </w:r>
      <w:r w:rsidR="000C75DE">
        <w:rPr>
          <w:rFonts w:ascii="Times New Roman" w:hAnsi="Times New Roman" w:cs="Times New Roman"/>
          <w:sz w:val="24"/>
          <w:szCs w:val="24"/>
          <w:lang w:val="es-CR"/>
        </w:rPr>
        <w:t xml:space="preserve"> y a corto plazo es donde se registran</w:t>
      </w:r>
      <w:r w:rsidR="003273C0" w:rsidRPr="003273C0">
        <w:rPr>
          <w:rFonts w:ascii="Times New Roman" w:hAnsi="Times New Roman" w:cs="Times New Roman"/>
          <w:sz w:val="24"/>
          <w:szCs w:val="24"/>
          <w:lang w:val="es-CR"/>
        </w:rPr>
        <w:t xml:space="preserve"> las </w:t>
      </w:r>
      <w:r w:rsidR="000C75DE">
        <w:rPr>
          <w:rFonts w:ascii="Times New Roman" w:hAnsi="Times New Roman" w:cs="Times New Roman"/>
          <w:sz w:val="24"/>
          <w:szCs w:val="24"/>
          <w:lang w:val="es-CR"/>
        </w:rPr>
        <w:t xml:space="preserve">tasas </w:t>
      </w:r>
      <w:r w:rsidR="003273C0" w:rsidRPr="003273C0">
        <w:rPr>
          <w:rFonts w:ascii="Times New Roman" w:hAnsi="Times New Roman" w:cs="Times New Roman"/>
          <w:sz w:val="24"/>
          <w:szCs w:val="24"/>
          <w:lang w:val="es-CR"/>
        </w:rPr>
        <w:t>más bajas de todo el periodo analizado.</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tblGrid>
      <w:tr w:rsidR="00732090" w:rsidRPr="008023A5" w:rsidTr="000C75DE">
        <w:trPr>
          <w:trHeight w:val="228"/>
          <w:jc w:val="center"/>
        </w:trPr>
        <w:tc>
          <w:tcPr>
            <w:tcW w:w="4101" w:type="dxa"/>
          </w:tcPr>
          <w:p w:rsidR="00732090" w:rsidRDefault="00732090" w:rsidP="00732090">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Gráfico 1.</w:t>
            </w:r>
            <w:r w:rsidR="00C27282">
              <w:rPr>
                <w:rFonts w:ascii="Times New Roman" w:hAnsi="Times New Roman" w:cs="Times New Roman"/>
                <w:b/>
                <w:sz w:val="20"/>
                <w:szCs w:val="20"/>
                <w:lang w:val="es-CR"/>
              </w:rPr>
              <w:t xml:space="preserve"> Rendimientos</w:t>
            </w:r>
            <w:r w:rsidR="003273C0">
              <w:rPr>
                <w:rFonts w:ascii="Times New Roman" w:hAnsi="Times New Roman" w:cs="Times New Roman"/>
                <w:b/>
                <w:sz w:val="20"/>
                <w:szCs w:val="20"/>
                <w:lang w:val="es-CR"/>
              </w:rPr>
              <w:t xml:space="preserve"> por </w:t>
            </w:r>
            <w:r w:rsidR="00AF26AE">
              <w:rPr>
                <w:rFonts w:ascii="Times New Roman" w:hAnsi="Times New Roman" w:cs="Times New Roman"/>
                <w:b/>
                <w:sz w:val="20"/>
                <w:szCs w:val="20"/>
                <w:lang w:val="es-CR"/>
              </w:rPr>
              <w:t xml:space="preserve">tipos de </w:t>
            </w:r>
            <w:r w:rsidR="003273C0">
              <w:rPr>
                <w:rFonts w:ascii="Times New Roman" w:hAnsi="Times New Roman" w:cs="Times New Roman"/>
                <w:b/>
                <w:sz w:val="20"/>
                <w:szCs w:val="20"/>
                <w:lang w:val="es-CR"/>
              </w:rPr>
              <w:t>plazo y año</w:t>
            </w:r>
          </w:p>
          <w:p w:rsidR="00AF26AE" w:rsidRPr="00732090" w:rsidRDefault="00AF26AE" w:rsidP="00732090">
            <w:pPr>
              <w:tabs>
                <w:tab w:val="center" w:pos="4252"/>
              </w:tabs>
              <w:jc w:val="center"/>
              <w:rPr>
                <w:rFonts w:ascii="Times New Roman" w:hAnsi="Times New Roman" w:cs="Times New Roman"/>
                <w:b/>
                <w:sz w:val="20"/>
                <w:szCs w:val="20"/>
                <w:lang w:val="es-CR"/>
              </w:rPr>
            </w:pPr>
          </w:p>
        </w:tc>
      </w:tr>
      <w:tr w:rsidR="00732090" w:rsidRPr="00732090" w:rsidTr="000C75DE">
        <w:trPr>
          <w:trHeight w:val="3121"/>
          <w:jc w:val="center"/>
        </w:trPr>
        <w:tc>
          <w:tcPr>
            <w:tcW w:w="4101" w:type="dxa"/>
          </w:tcPr>
          <w:p w:rsidR="00732090" w:rsidRPr="00732090" w:rsidRDefault="003273C0" w:rsidP="00732090">
            <w:pPr>
              <w:tabs>
                <w:tab w:val="center" w:pos="4252"/>
              </w:tabs>
              <w:jc w:val="center"/>
              <w:rPr>
                <w:rFonts w:ascii="Times New Roman" w:hAnsi="Times New Roman" w:cs="Times New Roman"/>
                <w:sz w:val="20"/>
                <w:szCs w:val="20"/>
                <w:lang w:val="es-CR"/>
              </w:rPr>
            </w:pPr>
            <w:r>
              <w:rPr>
                <w:noProof/>
              </w:rPr>
              <w:drawing>
                <wp:inline distT="0" distB="0" distL="0" distR="0" wp14:anchorId="47C447EF" wp14:editId="26AFD273">
                  <wp:extent cx="4095628" cy="2754923"/>
                  <wp:effectExtent l="0" t="0" r="635"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57680" cy="2796662"/>
                          </a:xfrm>
                          <a:prstGeom prst="rect">
                            <a:avLst/>
                          </a:prstGeom>
                        </pic:spPr>
                      </pic:pic>
                    </a:graphicData>
                  </a:graphic>
                </wp:inline>
              </w:drawing>
            </w:r>
          </w:p>
        </w:tc>
      </w:tr>
      <w:tr w:rsidR="00732090" w:rsidRPr="00732090" w:rsidTr="000C75DE">
        <w:trPr>
          <w:trHeight w:val="228"/>
          <w:jc w:val="center"/>
        </w:trPr>
        <w:tc>
          <w:tcPr>
            <w:tcW w:w="4101" w:type="dxa"/>
          </w:tcPr>
          <w:p w:rsidR="00732090" w:rsidRPr="00732090" w:rsidRDefault="00732090" w:rsidP="00D96501">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43844" w:rsidRDefault="00A43844" w:rsidP="00D96501">
      <w:pPr>
        <w:tabs>
          <w:tab w:val="center" w:pos="4252"/>
        </w:tabs>
        <w:spacing w:line="240" w:lineRule="auto"/>
        <w:jc w:val="both"/>
        <w:rPr>
          <w:rFonts w:ascii="Times New Roman" w:hAnsi="Times New Roman" w:cs="Times New Roman"/>
          <w:sz w:val="24"/>
          <w:szCs w:val="24"/>
          <w:lang w:val="es-CR"/>
        </w:rPr>
      </w:pPr>
    </w:p>
    <w:p w:rsidR="00732090" w:rsidRDefault="00C7144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En el gráfico 2, </w:t>
      </w:r>
      <w:r w:rsidR="00A43844">
        <w:rPr>
          <w:rFonts w:ascii="Times New Roman" w:hAnsi="Times New Roman" w:cs="Times New Roman"/>
          <w:sz w:val="24"/>
          <w:szCs w:val="24"/>
          <w:lang w:val="es-CR"/>
        </w:rPr>
        <w:t>al analizar las tasas por trimestre y año, se observa que en el año 2017 a partir del segundo trimestre se da un aumento en la tasa promedio y mediana las cuales se estabilizan en los trimestres correspondientes al año 2018</w:t>
      </w:r>
      <w:r w:rsidR="00AF26AE">
        <w:rPr>
          <w:rFonts w:ascii="Times New Roman" w:hAnsi="Times New Roman" w:cs="Times New Roman"/>
          <w:sz w:val="24"/>
          <w:szCs w:val="24"/>
          <w:lang w:val="es-CR"/>
        </w:rPr>
        <w:t>, para el año 2019 se da un ligero aumento en el primer trimestre y a partir del segundo trimestre se da una disminución hasta el primer trimestre del año 2020</w:t>
      </w:r>
      <w:r w:rsidR="00A43844">
        <w:rPr>
          <w:rFonts w:ascii="Times New Roman" w:hAnsi="Times New Roman" w:cs="Times New Roman"/>
          <w:sz w:val="24"/>
          <w:szCs w:val="24"/>
          <w:lang w:val="es-CR"/>
        </w:rPr>
        <w:t>.</w:t>
      </w:r>
      <w:r w:rsidR="00AF26AE">
        <w:rPr>
          <w:rFonts w:ascii="Times New Roman" w:hAnsi="Times New Roman" w:cs="Times New Roman"/>
          <w:sz w:val="24"/>
          <w:szCs w:val="24"/>
          <w:lang w:val="es-CR"/>
        </w:rPr>
        <w:t xml:space="preserve"> </w:t>
      </w: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C27282" w:rsidRDefault="00C27282"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76"/>
      </w:tblGrid>
      <w:tr w:rsidR="00732090" w:rsidRPr="008023A5" w:rsidTr="00AF26AE">
        <w:trPr>
          <w:trHeight w:val="387"/>
          <w:jc w:val="center"/>
        </w:trPr>
        <w:tc>
          <w:tcPr>
            <w:tcW w:w="7229" w:type="dxa"/>
          </w:tcPr>
          <w:p w:rsidR="00732090" w:rsidRDefault="0073209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lastRenderedPageBreak/>
              <w:t>Gr</w:t>
            </w:r>
            <w:r w:rsidR="00C27282">
              <w:rPr>
                <w:rFonts w:ascii="Times New Roman" w:hAnsi="Times New Roman" w:cs="Times New Roman"/>
                <w:b/>
                <w:sz w:val="20"/>
                <w:szCs w:val="20"/>
                <w:lang w:val="es-CR"/>
              </w:rPr>
              <w:t>áfico 2</w:t>
            </w:r>
            <w:r w:rsidRPr="00732090">
              <w:rPr>
                <w:rFonts w:ascii="Times New Roman" w:hAnsi="Times New Roman" w:cs="Times New Roman"/>
                <w:b/>
                <w:sz w:val="20"/>
                <w:szCs w:val="20"/>
                <w:lang w:val="es-CR"/>
              </w:rPr>
              <w:t>.</w:t>
            </w:r>
            <w:r w:rsidR="00C27282">
              <w:rPr>
                <w:rFonts w:ascii="Times New Roman" w:hAnsi="Times New Roman" w:cs="Times New Roman"/>
                <w:b/>
                <w:sz w:val="20"/>
                <w:szCs w:val="20"/>
                <w:lang w:val="es-CR"/>
              </w:rPr>
              <w:t xml:space="preserve"> Rendimientos por</w:t>
            </w:r>
            <w:r w:rsidR="00AF26AE">
              <w:rPr>
                <w:rFonts w:ascii="Times New Roman" w:hAnsi="Times New Roman" w:cs="Times New Roman"/>
                <w:b/>
                <w:sz w:val="20"/>
                <w:szCs w:val="20"/>
                <w:lang w:val="es-CR"/>
              </w:rPr>
              <w:t xml:space="preserve"> tipo de</w:t>
            </w:r>
            <w:r w:rsidR="00C27282">
              <w:rPr>
                <w:rFonts w:ascii="Times New Roman" w:hAnsi="Times New Roman" w:cs="Times New Roman"/>
                <w:b/>
                <w:sz w:val="20"/>
                <w:szCs w:val="20"/>
                <w:lang w:val="es-CR"/>
              </w:rPr>
              <w:t xml:space="preserve"> plazo, trimestre y año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732090" w:rsidRPr="00732090" w:rsidTr="00AF26AE">
        <w:trPr>
          <w:trHeight w:val="4128"/>
          <w:jc w:val="center"/>
        </w:trPr>
        <w:tc>
          <w:tcPr>
            <w:tcW w:w="7229" w:type="dxa"/>
          </w:tcPr>
          <w:p w:rsidR="00732090" w:rsidRPr="00732090" w:rsidRDefault="003273C0" w:rsidP="00AF26AE">
            <w:pPr>
              <w:tabs>
                <w:tab w:val="center" w:pos="4252"/>
              </w:tabs>
              <w:jc w:val="center"/>
              <w:rPr>
                <w:rFonts w:ascii="Times New Roman" w:hAnsi="Times New Roman" w:cs="Times New Roman"/>
                <w:sz w:val="20"/>
                <w:szCs w:val="20"/>
                <w:lang w:val="es-CR"/>
              </w:rPr>
            </w:pPr>
            <w:r>
              <w:rPr>
                <w:noProof/>
              </w:rPr>
              <w:drawing>
                <wp:inline distT="0" distB="0" distL="0" distR="0" wp14:anchorId="26BE9285" wp14:editId="2975167C">
                  <wp:extent cx="4794738" cy="2797443"/>
                  <wp:effectExtent l="0" t="0" r="635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410" cy="2823506"/>
                          </a:xfrm>
                          <a:prstGeom prst="rect">
                            <a:avLst/>
                          </a:prstGeom>
                        </pic:spPr>
                      </pic:pic>
                    </a:graphicData>
                  </a:graphic>
                </wp:inline>
              </w:drawing>
            </w:r>
          </w:p>
        </w:tc>
      </w:tr>
      <w:tr w:rsidR="00732090" w:rsidRPr="00732090" w:rsidTr="00AF26AE">
        <w:trPr>
          <w:trHeight w:val="193"/>
          <w:jc w:val="center"/>
        </w:trPr>
        <w:tc>
          <w:tcPr>
            <w:tcW w:w="7229" w:type="dxa"/>
          </w:tcPr>
          <w:p w:rsidR="00732090" w:rsidRPr="00732090" w:rsidRDefault="0073209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892DCA" w:rsidRDefault="00AA5271"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Al graficar todas las curvas de rendimiento, se observa que al corto plazo hay una mayor variabilidad en las tasa</w:t>
      </w:r>
      <w:r w:rsidR="00892DCA">
        <w:rPr>
          <w:rFonts w:ascii="Times New Roman" w:hAnsi="Times New Roman" w:cs="Times New Roman"/>
          <w:sz w:val="24"/>
          <w:szCs w:val="24"/>
          <w:lang w:val="es-CR"/>
        </w:rPr>
        <w:t>s, mientras que en el largo plazo hay una mayor estabilidad. También se observa que hay curvas con pendientes más pronunciadas</w:t>
      </w:r>
      <w:r w:rsidR="0071249F">
        <w:rPr>
          <w:rFonts w:ascii="Times New Roman" w:hAnsi="Times New Roman" w:cs="Times New Roman"/>
          <w:sz w:val="24"/>
          <w:szCs w:val="24"/>
          <w:lang w:val="es-CR"/>
        </w:rPr>
        <w:t xml:space="preserve"> que otras</w:t>
      </w:r>
      <w:r w:rsidR="00892DCA">
        <w:rPr>
          <w:rFonts w:ascii="Times New Roman" w:hAnsi="Times New Roman" w:cs="Times New Roman"/>
          <w:sz w:val="24"/>
          <w:szCs w:val="24"/>
          <w:lang w:val="es-CR"/>
        </w:rPr>
        <w:t xml:space="preserve">. </w:t>
      </w:r>
    </w:p>
    <w:p w:rsidR="00892DCA" w:rsidRDefault="00892DC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64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16"/>
      </w:tblGrid>
      <w:tr w:rsidR="00892DCA" w:rsidRPr="008023A5" w:rsidTr="00AF26AE">
        <w:trPr>
          <w:trHeight w:val="193"/>
          <w:jc w:val="center"/>
        </w:trPr>
        <w:tc>
          <w:tcPr>
            <w:tcW w:w="5642" w:type="dxa"/>
          </w:tcPr>
          <w:p w:rsidR="003273C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93A60">
              <w:rPr>
                <w:rFonts w:ascii="Times New Roman" w:hAnsi="Times New Roman" w:cs="Times New Roman"/>
                <w:b/>
                <w:sz w:val="20"/>
                <w:szCs w:val="20"/>
                <w:lang w:val="es-CR"/>
              </w:rPr>
              <w:t>áfico 3</w:t>
            </w:r>
            <w:r w:rsidRPr="00732090">
              <w:rPr>
                <w:rFonts w:ascii="Times New Roman" w:hAnsi="Times New Roman" w:cs="Times New Roman"/>
                <w:b/>
                <w:sz w:val="20"/>
                <w:szCs w:val="20"/>
                <w:lang w:val="es-CR"/>
              </w:rPr>
              <w:t>.</w:t>
            </w:r>
            <w:r w:rsidR="00B93A60">
              <w:rPr>
                <w:rFonts w:ascii="Times New Roman" w:hAnsi="Times New Roman" w:cs="Times New Roman"/>
                <w:b/>
                <w:sz w:val="20"/>
                <w:szCs w:val="20"/>
                <w:lang w:val="es-CR"/>
              </w:rPr>
              <w:t xml:space="preserve"> Curvas</w:t>
            </w:r>
            <w:r w:rsidR="00AA5271">
              <w:rPr>
                <w:rFonts w:ascii="Times New Roman" w:hAnsi="Times New Roman" w:cs="Times New Roman"/>
                <w:b/>
                <w:sz w:val="20"/>
                <w:szCs w:val="20"/>
                <w:lang w:val="es-CR"/>
              </w:rPr>
              <w:t xml:space="preserve"> de rendimiento</w:t>
            </w:r>
            <w:r w:rsidR="0071249F">
              <w:rPr>
                <w:rFonts w:ascii="Times New Roman" w:hAnsi="Times New Roman" w:cs="Times New Roman"/>
                <w:b/>
                <w:sz w:val="20"/>
                <w:szCs w:val="20"/>
                <w:lang w:val="es-CR"/>
              </w:rPr>
              <w:t xml:space="preserve"> por plazos de vencimiento</w:t>
            </w:r>
          </w:p>
          <w:p w:rsidR="00AF26AE" w:rsidRPr="00732090" w:rsidRDefault="00AF26AE" w:rsidP="003649E6">
            <w:pPr>
              <w:tabs>
                <w:tab w:val="center" w:pos="4252"/>
              </w:tabs>
              <w:jc w:val="center"/>
              <w:rPr>
                <w:rFonts w:ascii="Times New Roman" w:hAnsi="Times New Roman" w:cs="Times New Roman"/>
                <w:b/>
                <w:sz w:val="20"/>
                <w:szCs w:val="20"/>
                <w:lang w:val="es-CR"/>
              </w:rPr>
            </w:pPr>
          </w:p>
        </w:tc>
      </w:tr>
      <w:tr w:rsidR="00892DCA" w:rsidRPr="00892DCA" w:rsidTr="00AF26AE">
        <w:trPr>
          <w:trHeight w:val="2813"/>
          <w:jc w:val="center"/>
        </w:trPr>
        <w:tc>
          <w:tcPr>
            <w:tcW w:w="5642" w:type="dxa"/>
          </w:tcPr>
          <w:p w:rsidR="00B93A60" w:rsidRPr="00732090" w:rsidRDefault="0071249F" w:rsidP="003649E6">
            <w:pPr>
              <w:tabs>
                <w:tab w:val="center" w:pos="4252"/>
              </w:tabs>
              <w:jc w:val="both"/>
              <w:rPr>
                <w:rFonts w:ascii="Times New Roman" w:hAnsi="Times New Roman" w:cs="Times New Roman"/>
                <w:sz w:val="20"/>
                <w:szCs w:val="20"/>
                <w:lang w:val="es-CR"/>
              </w:rPr>
            </w:pPr>
            <w:r>
              <w:rPr>
                <w:noProof/>
              </w:rPr>
              <w:drawing>
                <wp:inline distT="0" distB="0" distL="0" distR="0" wp14:anchorId="45F14F5F" wp14:editId="08C4BCE1">
                  <wp:extent cx="4572000" cy="259617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3202" cy="2608212"/>
                          </a:xfrm>
                          <a:prstGeom prst="rect">
                            <a:avLst/>
                          </a:prstGeom>
                        </pic:spPr>
                      </pic:pic>
                    </a:graphicData>
                  </a:graphic>
                </wp:inline>
              </w:drawing>
            </w:r>
          </w:p>
        </w:tc>
      </w:tr>
      <w:tr w:rsidR="00892DCA" w:rsidRPr="00892DCA" w:rsidTr="00AF26AE">
        <w:trPr>
          <w:trHeight w:val="193"/>
          <w:jc w:val="center"/>
        </w:trPr>
        <w:tc>
          <w:tcPr>
            <w:tcW w:w="5642"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AF26AE" w:rsidRDefault="00AF26AE" w:rsidP="00D96501">
      <w:pPr>
        <w:tabs>
          <w:tab w:val="center" w:pos="4252"/>
        </w:tabs>
        <w:spacing w:line="240" w:lineRule="auto"/>
        <w:jc w:val="both"/>
        <w:rPr>
          <w:rFonts w:ascii="Times New Roman" w:hAnsi="Times New Roman" w:cs="Times New Roman"/>
          <w:sz w:val="24"/>
          <w:szCs w:val="24"/>
          <w:lang w:val="es-CR"/>
        </w:rPr>
      </w:pPr>
    </w:p>
    <w:p w:rsidR="00FC5E4A" w:rsidRDefault="00892DCA"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Al </w:t>
      </w:r>
      <w:r w:rsidR="00FC5E4A">
        <w:rPr>
          <w:rFonts w:ascii="Times New Roman" w:hAnsi="Times New Roman" w:cs="Times New Roman"/>
          <w:sz w:val="24"/>
          <w:szCs w:val="24"/>
          <w:lang w:val="es-CR"/>
        </w:rPr>
        <w:t xml:space="preserve">graficar las curvas por trimestre y año en el corto plazo, se observa que para el primer trimestre en los años 2018 y 2019 hay curvas con pendientes más pronunciadas. En el segundo y tercer trimestre las curvas con pendiente pronunciado se observan en los años 2018, 2019 y 2020, mientras que para el cuarto trimestre </w:t>
      </w:r>
      <w:r w:rsidR="00D87F44">
        <w:rPr>
          <w:rFonts w:ascii="Times New Roman" w:hAnsi="Times New Roman" w:cs="Times New Roman"/>
          <w:sz w:val="24"/>
          <w:szCs w:val="24"/>
          <w:lang w:val="es-CR"/>
        </w:rPr>
        <w:t xml:space="preserve">se observa el mismo comportamiento </w:t>
      </w:r>
      <w:r w:rsidR="00FC5E4A">
        <w:rPr>
          <w:rFonts w:ascii="Times New Roman" w:hAnsi="Times New Roman" w:cs="Times New Roman"/>
          <w:sz w:val="24"/>
          <w:szCs w:val="24"/>
          <w:lang w:val="es-CR"/>
        </w:rPr>
        <w:t>en el año 2018.</w:t>
      </w:r>
    </w:p>
    <w:p w:rsidR="003511BD" w:rsidRDefault="003511BD"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06"/>
      </w:tblGrid>
      <w:tr w:rsidR="00B52100" w:rsidRPr="008023A5" w:rsidTr="00FC5E4A">
        <w:trPr>
          <w:trHeight w:val="186"/>
          <w:jc w:val="center"/>
        </w:trPr>
        <w:tc>
          <w:tcPr>
            <w:tcW w:w="5111"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B52100">
              <w:rPr>
                <w:rFonts w:ascii="Times New Roman" w:hAnsi="Times New Roman" w:cs="Times New Roman"/>
                <w:b/>
                <w:sz w:val="20"/>
                <w:szCs w:val="20"/>
                <w:lang w:val="es-CR"/>
              </w:rPr>
              <w:t>áfico 4</w:t>
            </w:r>
            <w:r w:rsidRPr="00732090">
              <w:rPr>
                <w:rFonts w:ascii="Times New Roman" w:hAnsi="Times New Roman" w:cs="Times New Roman"/>
                <w:b/>
                <w:sz w:val="20"/>
                <w:szCs w:val="20"/>
                <w:lang w:val="es-CR"/>
              </w:rPr>
              <w:t>.</w:t>
            </w:r>
            <w:r w:rsidR="00B52100">
              <w:rPr>
                <w:rFonts w:ascii="Times New Roman" w:hAnsi="Times New Roman" w:cs="Times New Roman"/>
                <w:b/>
                <w:sz w:val="20"/>
                <w:szCs w:val="20"/>
                <w:lang w:val="es-CR"/>
              </w:rPr>
              <w:t xml:space="preserve"> Curvas de rendimiento por año y trimestre del corto plazo</w:t>
            </w:r>
          </w:p>
        </w:tc>
      </w:tr>
      <w:tr w:rsidR="00B52100" w:rsidRPr="00FC5E4A"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3A6DBE97" wp14:editId="0466EC47">
                  <wp:extent cx="4056185" cy="2334906"/>
                  <wp:effectExtent l="0" t="0" r="1905"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247" cy="2349908"/>
                          </a:xfrm>
                          <a:prstGeom prst="rect">
                            <a:avLst/>
                          </a:prstGeom>
                        </pic:spPr>
                      </pic:pic>
                    </a:graphicData>
                  </a:graphic>
                </wp:inline>
              </w:drawing>
            </w:r>
          </w:p>
        </w:tc>
      </w:tr>
      <w:tr w:rsidR="00B52100" w:rsidRPr="00FC5E4A" w:rsidTr="00FC5E4A">
        <w:trPr>
          <w:trHeight w:val="193"/>
          <w:jc w:val="center"/>
        </w:trPr>
        <w:tc>
          <w:tcPr>
            <w:tcW w:w="5111"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732090" w:rsidRDefault="00732090" w:rsidP="00D96501">
      <w:pPr>
        <w:tabs>
          <w:tab w:val="center" w:pos="4252"/>
        </w:tabs>
        <w:spacing w:line="240" w:lineRule="auto"/>
        <w:jc w:val="both"/>
        <w:rPr>
          <w:rFonts w:ascii="Times New Roman" w:hAnsi="Times New Roman" w:cs="Times New Roman"/>
          <w:sz w:val="24"/>
          <w:szCs w:val="24"/>
          <w:lang w:val="es-CR"/>
        </w:rPr>
      </w:pPr>
    </w:p>
    <w:p w:rsidR="00FC5E4A" w:rsidRDefault="003511BD"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 mediano plazo se observa una mayor estabilidad en las curvas, sin embargo, en el año 2020 para todos los trimestres las curvas corresponden a tasas menores que en las de los otros años.</w:t>
      </w:r>
    </w:p>
    <w:p w:rsidR="00FC5E4A" w:rsidRDefault="00FC5E4A"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6"/>
      </w:tblGrid>
      <w:tr w:rsidR="00B52100" w:rsidRPr="008023A5" w:rsidTr="00FC5E4A">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5</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mediano plazo</w:t>
            </w:r>
          </w:p>
        </w:tc>
      </w:tr>
      <w:tr w:rsidR="00B52100" w:rsidRPr="00732090" w:rsidTr="00FC5E4A">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73209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0F96DD02" wp14:editId="7E1B76F5">
                  <wp:extent cx="4149969" cy="2393770"/>
                  <wp:effectExtent l="0" t="0" r="3175"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2798" cy="2435779"/>
                          </a:xfrm>
                          <a:prstGeom prst="rect">
                            <a:avLst/>
                          </a:prstGeom>
                        </pic:spPr>
                      </pic:pic>
                    </a:graphicData>
                  </a:graphic>
                </wp:inline>
              </w:drawing>
            </w:r>
          </w:p>
        </w:tc>
      </w:tr>
      <w:tr w:rsidR="00B52100" w:rsidRPr="00732090" w:rsidTr="00FC5E4A">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B52100" w:rsidRDefault="00B52100" w:rsidP="00D96501">
      <w:pPr>
        <w:tabs>
          <w:tab w:val="center" w:pos="4252"/>
        </w:tabs>
        <w:spacing w:line="240" w:lineRule="auto"/>
        <w:jc w:val="both"/>
        <w:rPr>
          <w:rFonts w:ascii="Times New Roman" w:hAnsi="Times New Roman" w:cs="Times New Roman"/>
          <w:sz w:val="24"/>
          <w:szCs w:val="24"/>
          <w:lang w:val="es-CR"/>
        </w:rPr>
      </w:pPr>
    </w:p>
    <w:p w:rsidR="00B52100" w:rsidRDefault="00905A6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 xml:space="preserve">En el largo plazo, se observa que </w:t>
      </w:r>
      <w:r w:rsidR="005B33E0">
        <w:rPr>
          <w:rFonts w:ascii="Times New Roman" w:hAnsi="Times New Roman" w:cs="Times New Roman"/>
          <w:sz w:val="24"/>
          <w:szCs w:val="24"/>
          <w:lang w:val="es-CR"/>
        </w:rPr>
        <w:t>para el primer y segundo trimestre en el año 2019 es donde se producen las curvas con mayores tasas. En el tercer trimestre hay una mayor variabilidad en el rango de las tasas en el año 2017, mientras que en el cuarto trimestre se observa una mayor variabilidad en el 2015, 2018 y 2019.</w:t>
      </w:r>
    </w:p>
    <w:tbl>
      <w:tblPr>
        <w:tblStyle w:val="Tablaconcuadrcula"/>
        <w:tblW w:w="511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6"/>
      </w:tblGrid>
      <w:tr w:rsidR="005B33E0" w:rsidRPr="008023A5" w:rsidTr="005B33E0">
        <w:trPr>
          <w:trHeight w:val="186"/>
          <w:jc w:val="center"/>
        </w:trPr>
        <w:tc>
          <w:tcPr>
            <w:tcW w:w="5111" w:type="dxa"/>
          </w:tcPr>
          <w:p w:rsidR="00B52100" w:rsidRPr="00732090" w:rsidRDefault="00B5210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6</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Curvas de rendimiento por año y trimestre del largo plazo</w:t>
            </w:r>
          </w:p>
        </w:tc>
      </w:tr>
      <w:tr w:rsidR="005B33E0" w:rsidRPr="005B33E0" w:rsidTr="005B33E0">
        <w:trPr>
          <w:trHeight w:val="3032"/>
          <w:jc w:val="center"/>
        </w:trPr>
        <w:tc>
          <w:tcPr>
            <w:tcW w:w="5111" w:type="dxa"/>
          </w:tcPr>
          <w:p w:rsidR="00B52100" w:rsidRDefault="00B52100" w:rsidP="003649E6">
            <w:pPr>
              <w:tabs>
                <w:tab w:val="center" w:pos="4252"/>
              </w:tabs>
              <w:jc w:val="both"/>
              <w:rPr>
                <w:rFonts w:ascii="Times New Roman" w:hAnsi="Times New Roman" w:cs="Times New Roman"/>
                <w:sz w:val="20"/>
                <w:szCs w:val="20"/>
                <w:lang w:val="es-CR"/>
              </w:rPr>
            </w:pPr>
          </w:p>
          <w:p w:rsidR="00B52100" w:rsidRPr="00B52100" w:rsidRDefault="00B52100" w:rsidP="003649E6">
            <w:pPr>
              <w:tabs>
                <w:tab w:val="center" w:pos="4252"/>
              </w:tabs>
              <w:jc w:val="both"/>
              <w:rPr>
                <w:rFonts w:ascii="Times New Roman" w:hAnsi="Times New Roman" w:cs="Times New Roman"/>
                <w:sz w:val="20"/>
                <w:szCs w:val="20"/>
                <w:lang w:val="es-CR"/>
              </w:rPr>
            </w:pPr>
            <w:r>
              <w:rPr>
                <w:noProof/>
              </w:rPr>
              <w:drawing>
                <wp:inline distT="0" distB="0" distL="0" distR="0" wp14:anchorId="6D68B7C2" wp14:editId="472702DF">
                  <wp:extent cx="3745523" cy="2151276"/>
                  <wp:effectExtent l="0" t="0" r="7620" b="19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358" cy="2217232"/>
                          </a:xfrm>
                          <a:prstGeom prst="rect">
                            <a:avLst/>
                          </a:prstGeom>
                        </pic:spPr>
                      </pic:pic>
                    </a:graphicData>
                  </a:graphic>
                </wp:inline>
              </w:drawing>
            </w:r>
          </w:p>
        </w:tc>
      </w:tr>
      <w:tr w:rsidR="005B33E0" w:rsidRPr="005B33E0" w:rsidTr="005B33E0">
        <w:trPr>
          <w:trHeight w:val="193"/>
          <w:jc w:val="center"/>
        </w:trPr>
        <w:tc>
          <w:tcPr>
            <w:tcW w:w="5111" w:type="dxa"/>
          </w:tcPr>
          <w:p w:rsidR="00B52100" w:rsidRPr="00732090" w:rsidRDefault="00B5210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5B33E0" w:rsidRDefault="005B33E0"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La variabilidad se obtuvo para cada semana calculando el logaritmo de la división de la tasa en el plazo actual </w:t>
      </w:r>
      <w:r w:rsidR="00CA2812">
        <w:rPr>
          <w:rFonts w:ascii="Times New Roman" w:hAnsi="Times New Roman" w:cs="Times New Roman"/>
          <w:sz w:val="24"/>
          <w:szCs w:val="24"/>
          <w:lang w:val="es-CR"/>
        </w:rPr>
        <w:t>entre</w:t>
      </w:r>
      <w:r>
        <w:rPr>
          <w:rFonts w:ascii="Times New Roman" w:hAnsi="Times New Roman" w:cs="Times New Roman"/>
          <w:sz w:val="24"/>
          <w:szCs w:val="24"/>
          <w:lang w:val="es-CR"/>
        </w:rPr>
        <w:t xml:space="preserve"> la tasa en el plazo anteri</w:t>
      </w:r>
      <w:r w:rsidR="00CA2812">
        <w:rPr>
          <w:rFonts w:ascii="Times New Roman" w:hAnsi="Times New Roman" w:cs="Times New Roman"/>
          <w:sz w:val="24"/>
          <w:szCs w:val="24"/>
          <w:lang w:val="es-CR"/>
        </w:rPr>
        <w:t>or. En el gráfico 7, se puede observar que en el corto plazo es donde se muestra la mayor variabilidad.</w:t>
      </w:r>
      <w:r w:rsidR="00B02CC5">
        <w:rPr>
          <w:rFonts w:ascii="Times New Roman" w:hAnsi="Times New Roman" w:cs="Times New Roman"/>
          <w:sz w:val="24"/>
          <w:szCs w:val="24"/>
          <w:lang w:val="es-CR"/>
        </w:rPr>
        <w:t xml:space="preserve"> El año donde se muestra una mayor variabilidad es en el 2020 en el corto y mediano plazo.</w:t>
      </w:r>
    </w:p>
    <w:p w:rsidR="005B33E0" w:rsidRDefault="005B33E0"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29"/>
      </w:tblGrid>
      <w:tr w:rsidR="003273C0" w:rsidRPr="008023A5" w:rsidTr="00CA2812">
        <w:trPr>
          <w:trHeight w:val="193"/>
          <w:jc w:val="center"/>
        </w:trPr>
        <w:tc>
          <w:tcPr>
            <w:tcW w:w="7029" w:type="dxa"/>
          </w:tcPr>
          <w:p w:rsidR="003273C0" w:rsidRPr="00732090" w:rsidRDefault="003273C0"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E267CE">
              <w:rPr>
                <w:rFonts w:ascii="Times New Roman" w:hAnsi="Times New Roman" w:cs="Times New Roman"/>
                <w:b/>
                <w:sz w:val="20"/>
                <w:szCs w:val="20"/>
                <w:lang w:val="es-CR"/>
              </w:rPr>
              <w:t>áfico 7</w:t>
            </w:r>
            <w:r w:rsidRPr="00732090">
              <w:rPr>
                <w:rFonts w:ascii="Times New Roman" w:hAnsi="Times New Roman" w:cs="Times New Roman"/>
                <w:b/>
                <w:sz w:val="20"/>
                <w:szCs w:val="20"/>
                <w:lang w:val="es-CR"/>
              </w:rPr>
              <w:t>.</w:t>
            </w:r>
            <w:r w:rsidR="00E267CE">
              <w:rPr>
                <w:rFonts w:ascii="Times New Roman" w:hAnsi="Times New Roman" w:cs="Times New Roman"/>
                <w:b/>
                <w:sz w:val="20"/>
                <w:szCs w:val="20"/>
                <w:lang w:val="es-CR"/>
              </w:rPr>
              <w:t xml:space="preserve"> Variabilidad de las tasas por semana</w:t>
            </w:r>
          </w:p>
        </w:tc>
      </w:tr>
      <w:tr w:rsidR="003273C0" w:rsidRPr="00732090" w:rsidTr="00CA2812">
        <w:trPr>
          <w:trHeight w:val="3929"/>
          <w:jc w:val="center"/>
        </w:trPr>
        <w:tc>
          <w:tcPr>
            <w:tcW w:w="7029" w:type="dxa"/>
          </w:tcPr>
          <w:p w:rsidR="003273C0" w:rsidRPr="00732090" w:rsidRDefault="00B02CC5" w:rsidP="003649E6">
            <w:pPr>
              <w:tabs>
                <w:tab w:val="center" w:pos="4252"/>
              </w:tabs>
              <w:jc w:val="both"/>
              <w:rPr>
                <w:rFonts w:ascii="Times New Roman" w:hAnsi="Times New Roman" w:cs="Times New Roman"/>
                <w:sz w:val="20"/>
                <w:szCs w:val="20"/>
                <w:lang w:val="es-CR"/>
              </w:rPr>
            </w:pPr>
            <w:r>
              <w:rPr>
                <w:noProof/>
              </w:rPr>
              <w:drawing>
                <wp:inline distT="0" distB="0" distL="0" distR="0" wp14:anchorId="2199E489" wp14:editId="7860802B">
                  <wp:extent cx="4107180" cy="236119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1553" cy="2369453"/>
                          </a:xfrm>
                          <a:prstGeom prst="rect">
                            <a:avLst/>
                          </a:prstGeom>
                        </pic:spPr>
                      </pic:pic>
                    </a:graphicData>
                  </a:graphic>
                </wp:inline>
              </w:drawing>
            </w:r>
          </w:p>
        </w:tc>
      </w:tr>
      <w:tr w:rsidR="003273C0" w:rsidRPr="00732090" w:rsidTr="00CA2812">
        <w:trPr>
          <w:trHeight w:val="193"/>
          <w:jc w:val="center"/>
        </w:trPr>
        <w:tc>
          <w:tcPr>
            <w:tcW w:w="7029" w:type="dxa"/>
          </w:tcPr>
          <w:p w:rsidR="003273C0" w:rsidRPr="00732090" w:rsidRDefault="003273C0"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FF0122" w:rsidRDefault="00FF0122" w:rsidP="00D96501">
      <w:pPr>
        <w:tabs>
          <w:tab w:val="center" w:pos="4252"/>
        </w:tabs>
        <w:spacing w:line="240" w:lineRule="auto"/>
        <w:jc w:val="both"/>
        <w:rPr>
          <w:rFonts w:ascii="Times New Roman" w:hAnsi="Times New Roman" w:cs="Times New Roman"/>
          <w:sz w:val="24"/>
          <w:szCs w:val="24"/>
          <w:lang w:val="es-CR"/>
        </w:rPr>
      </w:pPr>
    </w:p>
    <w:p w:rsidR="00FF0122" w:rsidRDefault="00CA2812"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lastRenderedPageBreak/>
        <w:t>La volatilidad se obtuvo calculando la desviación estándar de cada 10 datos de la variabilidad en cada semana.</w:t>
      </w:r>
      <w:r w:rsidR="00436923">
        <w:rPr>
          <w:rFonts w:ascii="Times New Roman" w:hAnsi="Times New Roman" w:cs="Times New Roman"/>
          <w:sz w:val="24"/>
          <w:szCs w:val="24"/>
          <w:lang w:val="es-CR"/>
        </w:rPr>
        <w:t xml:space="preserve"> En el gráfico 8 se observa una mayor volatilidad en el corto y mediano plazo.</w:t>
      </w:r>
    </w:p>
    <w:p w:rsidR="00FF0122" w:rsidRDefault="00FF0122" w:rsidP="00D96501">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0"/>
      </w:tblGrid>
      <w:tr w:rsidR="00FF0122" w:rsidRPr="00732090" w:rsidTr="00436923">
        <w:trPr>
          <w:trHeight w:val="225"/>
          <w:jc w:val="center"/>
        </w:trPr>
        <w:tc>
          <w:tcPr>
            <w:tcW w:w="6541" w:type="dxa"/>
          </w:tcPr>
          <w:p w:rsidR="00E267CE" w:rsidRPr="00732090" w:rsidRDefault="00E267CE" w:rsidP="00FF0122">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sidR="00FF0122">
              <w:rPr>
                <w:rFonts w:ascii="Times New Roman" w:hAnsi="Times New Roman" w:cs="Times New Roman"/>
                <w:b/>
                <w:sz w:val="20"/>
                <w:szCs w:val="20"/>
                <w:lang w:val="es-CR"/>
              </w:rPr>
              <w:t>áfico 8</w:t>
            </w:r>
            <w:r w:rsidRPr="00732090">
              <w:rPr>
                <w:rFonts w:ascii="Times New Roman" w:hAnsi="Times New Roman" w:cs="Times New Roman"/>
                <w:b/>
                <w:sz w:val="20"/>
                <w:szCs w:val="20"/>
                <w:lang w:val="es-CR"/>
              </w:rPr>
              <w:t>.</w:t>
            </w:r>
            <w:r w:rsidR="00FF0122">
              <w:rPr>
                <w:rFonts w:ascii="Times New Roman" w:hAnsi="Times New Roman" w:cs="Times New Roman"/>
                <w:b/>
                <w:sz w:val="20"/>
                <w:szCs w:val="20"/>
                <w:lang w:val="es-CR"/>
              </w:rPr>
              <w:t xml:space="preserve"> Volatilidad</w:t>
            </w:r>
          </w:p>
        </w:tc>
      </w:tr>
      <w:tr w:rsidR="00FF0122" w:rsidRPr="00732090" w:rsidTr="00436923">
        <w:trPr>
          <w:trHeight w:val="3133"/>
          <w:jc w:val="center"/>
        </w:trPr>
        <w:tc>
          <w:tcPr>
            <w:tcW w:w="6541" w:type="dxa"/>
          </w:tcPr>
          <w:p w:rsidR="00E267CE" w:rsidRPr="00732090" w:rsidRDefault="00FF0122" w:rsidP="00FF0122">
            <w:pPr>
              <w:tabs>
                <w:tab w:val="center" w:pos="4252"/>
              </w:tabs>
              <w:jc w:val="center"/>
              <w:rPr>
                <w:rFonts w:ascii="Times New Roman" w:hAnsi="Times New Roman" w:cs="Times New Roman"/>
                <w:sz w:val="20"/>
                <w:szCs w:val="20"/>
                <w:lang w:val="es-CR"/>
              </w:rPr>
            </w:pPr>
            <w:r>
              <w:rPr>
                <w:noProof/>
              </w:rPr>
              <w:drawing>
                <wp:inline distT="0" distB="0" distL="0" distR="0" wp14:anchorId="59B24D9C" wp14:editId="61D328EE">
                  <wp:extent cx="4384431" cy="2437669"/>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3321" cy="2481531"/>
                          </a:xfrm>
                          <a:prstGeom prst="rect">
                            <a:avLst/>
                          </a:prstGeom>
                        </pic:spPr>
                      </pic:pic>
                    </a:graphicData>
                  </a:graphic>
                </wp:inline>
              </w:drawing>
            </w:r>
          </w:p>
        </w:tc>
      </w:tr>
      <w:tr w:rsidR="00FF0122" w:rsidRPr="00732090" w:rsidTr="00436923">
        <w:trPr>
          <w:trHeight w:val="225"/>
          <w:jc w:val="center"/>
        </w:trPr>
        <w:tc>
          <w:tcPr>
            <w:tcW w:w="6541" w:type="dxa"/>
          </w:tcPr>
          <w:p w:rsidR="00E267CE" w:rsidRPr="00732090" w:rsidRDefault="00E267CE"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3273C0" w:rsidRDefault="003273C0"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 Análisis de componentes principales</w:t>
      </w:r>
    </w:p>
    <w:p w:rsidR="004508D0" w:rsidRDefault="008B1384" w:rsidP="00D9650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A partir</w:t>
      </w:r>
      <w:r w:rsidR="004508D0">
        <w:rPr>
          <w:rFonts w:ascii="Times New Roman" w:hAnsi="Times New Roman" w:cs="Times New Roman"/>
          <w:sz w:val="24"/>
          <w:szCs w:val="24"/>
          <w:lang w:val="es-CR"/>
        </w:rPr>
        <w:t xml:space="preserve"> </w:t>
      </w:r>
      <w:r>
        <w:rPr>
          <w:rFonts w:ascii="Times New Roman" w:hAnsi="Times New Roman" w:cs="Times New Roman"/>
          <w:sz w:val="24"/>
          <w:szCs w:val="24"/>
          <w:lang w:val="es-CR"/>
        </w:rPr>
        <w:t>d</w:t>
      </w:r>
      <w:r w:rsidR="004508D0">
        <w:rPr>
          <w:rFonts w:ascii="Times New Roman" w:hAnsi="Times New Roman" w:cs="Times New Roman"/>
          <w:sz w:val="24"/>
          <w:szCs w:val="24"/>
          <w:lang w:val="es-CR"/>
        </w:rPr>
        <w:t xml:space="preserve">el gráfico de sedimentación se sugiere trabajar con </w:t>
      </w:r>
      <w:r>
        <w:rPr>
          <w:rFonts w:ascii="Times New Roman" w:hAnsi="Times New Roman" w:cs="Times New Roman"/>
          <w:sz w:val="24"/>
          <w:szCs w:val="24"/>
          <w:lang w:val="es-CR"/>
        </w:rPr>
        <w:t>2 componentes, ya que el codo se produce claramente en el segundo componente. Sin embargo, a partir de la bibliografía consultada en estos casos es común trabajar con los primeros tres componentes.</w:t>
      </w:r>
    </w:p>
    <w:p w:rsidR="008B1384" w:rsidRDefault="008B1384" w:rsidP="00D96501">
      <w:pPr>
        <w:tabs>
          <w:tab w:val="center" w:pos="4252"/>
        </w:tabs>
        <w:spacing w:line="240" w:lineRule="auto"/>
        <w:jc w:val="both"/>
        <w:rPr>
          <w:rFonts w:ascii="Times New Roman" w:hAnsi="Times New Roman" w:cs="Times New Roman"/>
          <w:sz w:val="24"/>
          <w:szCs w:val="24"/>
          <w:lang w:val="es-CR"/>
        </w:rPr>
      </w:pPr>
    </w:p>
    <w:tbl>
      <w:tblPr>
        <w:tblStyle w:val="Tablaconcuadrcula"/>
        <w:tblpPr w:leftFromText="180" w:rightFromText="180" w:vertAnchor="text" w:horzAnchor="margin" w:tblpXSpec="center" w:tblpY="7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1"/>
      </w:tblGrid>
      <w:tr w:rsidR="000D7802" w:rsidRPr="008B1384" w:rsidTr="008B1384">
        <w:trPr>
          <w:trHeight w:val="209"/>
        </w:trPr>
        <w:tc>
          <w:tcPr>
            <w:tcW w:w="5581" w:type="dxa"/>
          </w:tcPr>
          <w:p w:rsidR="000D7802" w:rsidRPr="00732090" w:rsidRDefault="000D7802" w:rsidP="003649E6">
            <w:pPr>
              <w:tabs>
                <w:tab w:val="center" w:pos="4252"/>
              </w:tabs>
              <w:jc w:val="center"/>
              <w:rPr>
                <w:rFonts w:ascii="Times New Roman" w:hAnsi="Times New Roman" w:cs="Times New Roman"/>
                <w:b/>
                <w:sz w:val="20"/>
                <w:szCs w:val="20"/>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9</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Gráfico de sedimentación</w:t>
            </w:r>
          </w:p>
        </w:tc>
      </w:tr>
      <w:tr w:rsidR="000D7802" w:rsidRPr="008B1384" w:rsidTr="008B1384">
        <w:trPr>
          <w:trHeight w:val="3267"/>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Pr>
                <w:noProof/>
              </w:rPr>
              <w:drawing>
                <wp:inline distT="0" distB="0" distL="0" distR="0" wp14:anchorId="1FC52CE4" wp14:editId="249C16D9">
                  <wp:extent cx="3382107" cy="206060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7372" cy="2082093"/>
                          </a:xfrm>
                          <a:prstGeom prst="rect">
                            <a:avLst/>
                          </a:prstGeom>
                        </pic:spPr>
                      </pic:pic>
                    </a:graphicData>
                  </a:graphic>
                </wp:inline>
              </w:drawing>
            </w:r>
          </w:p>
        </w:tc>
      </w:tr>
      <w:tr w:rsidR="000D7802" w:rsidRPr="008B1384" w:rsidTr="008B1384">
        <w:trPr>
          <w:trHeight w:val="209"/>
        </w:trPr>
        <w:tc>
          <w:tcPr>
            <w:tcW w:w="5581" w:type="dxa"/>
          </w:tcPr>
          <w:p w:rsidR="000D7802" w:rsidRPr="00732090" w:rsidRDefault="000D7802" w:rsidP="003649E6">
            <w:pPr>
              <w:tabs>
                <w:tab w:val="center" w:pos="4252"/>
              </w:tabs>
              <w:jc w:val="both"/>
              <w:rPr>
                <w:rFonts w:ascii="Times New Roman" w:hAnsi="Times New Roman" w:cs="Times New Roman"/>
                <w:sz w:val="20"/>
                <w:szCs w:val="20"/>
                <w:lang w:val="es-CR"/>
              </w:rPr>
            </w:pPr>
            <w:r w:rsidRPr="00732090">
              <w:rPr>
                <w:rFonts w:ascii="Times New Roman" w:hAnsi="Times New Roman" w:cs="Times New Roman"/>
                <w:sz w:val="20"/>
                <w:szCs w:val="20"/>
                <w:lang w:val="es-CR"/>
              </w:rPr>
              <w:t>Fuente: BCCR</w:t>
            </w:r>
          </w:p>
        </w:tc>
      </w:tr>
    </w:tbl>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0D7802" w:rsidRDefault="000D7802" w:rsidP="00D96501">
      <w:pPr>
        <w:tabs>
          <w:tab w:val="center" w:pos="4252"/>
        </w:tabs>
        <w:spacing w:line="240" w:lineRule="auto"/>
        <w:jc w:val="both"/>
        <w:rPr>
          <w:rFonts w:ascii="Times New Roman" w:hAnsi="Times New Roman" w:cs="Times New Roman"/>
          <w:b/>
          <w:sz w:val="24"/>
          <w:szCs w:val="24"/>
          <w:lang w:val="es-CR"/>
        </w:rPr>
      </w:pPr>
    </w:p>
    <w:p w:rsidR="00460E9D" w:rsidRPr="00460E9D" w:rsidRDefault="00460E9D" w:rsidP="00D96501">
      <w:pPr>
        <w:tabs>
          <w:tab w:val="center" w:pos="4252"/>
        </w:tabs>
        <w:spacing w:line="240" w:lineRule="auto"/>
        <w:jc w:val="both"/>
        <w:rPr>
          <w:rFonts w:ascii="Times New Roman" w:hAnsi="Times New Roman" w:cs="Times New Roman"/>
          <w:sz w:val="24"/>
          <w:szCs w:val="24"/>
          <w:lang w:val="es-CR"/>
        </w:rPr>
      </w:pPr>
      <w:r w:rsidRPr="00460E9D">
        <w:rPr>
          <w:rFonts w:ascii="Times New Roman" w:hAnsi="Times New Roman" w:cs="Times New Roman"/>
          <w:sz w:val="24"/>
          <w:szCs w:val="24"/>
          <w:lang w:val="es-CR"/>
        </w:rPr>
        <w:lastRenderedPageBreak/>
        <w:t xml:space="preserve">Se </w:t>
      </w:r>
      <w:r w:rsidR="008B1384">
        <w:rPr>
          <w:rFonts w:ascii="Times New Roman" w:hAnsi="Times New Roman" w:cs="Times New Roman"/>
          <w:sz w:val="24"/>
          <w:szCs w:val="24"/>
          <w:lang w:val="es-CR"/>
        </w:rPr>
        <w:t>obtuvo</w:t>
      </w:r>
      <w:r w:rsidRPr="00460E9D">
        <w:rPr>
          <w:rFonts w:ascii="Times New Roman" w:hAnsi="Times New Roman" w:cs="Times New Roman"/>
          <w:sz w:val="24"/>
          <w:szCs w:val="24"/>
          <w:lang w:val="es-CR"/>
        </w:rPr>
        <w:t xml:space="preserve"> que el primer componente explica el 92.7%, el segundo el 5.6% y el tercero el 1.1%, en </w:t>
      </w:r>
      <w:r w:rsidR="003E23C9">
        <w:rPr>
          <w:rFonts w:ascii="Times New Roman" w:hAnsi="Times New Roman" w:cs="Times New Roman"/>
          <w:sz w:val="24"/>
          <w:szCs w:val="24"/>
          <w:lang w:val="es-CR"/>
        </w:rPr>
        <w:t>conjunto los</w:t>
      </w:r>
      <w:r w:rsidRPr="00460E9D">
        <w:rPr>
          <w:rFonts w:ascii="Times New Roman" w:hAnsi="Times New Roman" w:cs="Times New Roman"/>
          <w:sz w:val="24"/>
          <w:szCs w:val="24"/>
          <w:lang w:val="es-CR"/>
        </w:rPr>
        <w:t xml:space="preserve"> primeros </w:t>
      </w:r>
      <w:r w:rsidR="003E23C9">
        <w:rPr>
          <w:rFonts w:ascii="Times New Roman" w:hAnsi="Times New Roman" w:cs="Times New Roman"/>
          <w:sz w:val="24"/>
          <w:szCs w:val="24"/>
          <w:lang w:val="es-CR"/>
        </w:rPr>
        <w:t xml:space="preserve">tres </w:t>
      </w:r>
      <w:r w:rsidRPr="00460E9D">
        <w:rPr>
          <w:rFonts w:ascii="Times New Roman" w:hAnsi="Times New Roman" w:cs="Times New Roman"/>
          <w:sz w:val="24"/>
          <w:szCs w:val="24"/>
          <w:lang w:val="es-CR"/>
        </w:rPr>
        <w:t>componentes principales explican e</w:t>
      </w:r>
      <w:r w:rsidR="003B5E21">
        <w:rPr>
          <w:rFonts w:ascii="Times New Roman" w:hAnsi="Times New Roman" w:cs="Times New Roman"/>
          <w:sz w:val="24"/>
          <w:szCs w:val="24"/>
          <w:lang w:val="es-CR"/>
        </w:rPr>
        <w:t>l 99.4% de la variancia total, donde e</w:t>
      </w:r>
      <w:r w:rsidRPr="00460E9D">
        <w:rPr>
          <w:rFonts w:ascii="Times New Roman" w:hAnsi="Times New Roman" w:cs="Times New Roman"/>
          <w:sz w:val="24"/>
          <w:szCs w:val="24"/>
          <w:lang w:val="es-CR"/>
        </w:rPr>
        <w:t>l nivel</w:t>
      </w:r>
      <w:r w:rsidR="003E23C9">
        <w:rPr>
          <w:rFonts w:ascii="Times New Roman" w:hAnsi="Times New Roman" w:cs="Times New Roman"/>
          <w:sz w:val="24"/>
          <w:szCs w:val="24"/>
          <w:lang w:val="es-CR"/>
        </w:rPr>
        <w:t xml:space="preserve"> o desplazamiento paralelo</w:t>
      </w:r>
      <w:r w:rsidRPr="00460E9D">
        <w:rPr>
          <w:rFonts w:ascii="Times New Roman" w:hAnsi="Times New Roman" w:cs="Times New Roman"/>
          <w:sz w:val="24"/>
          <w:szCs w:val="24"/>
          <w:lang w:val="es-CR"/>
        </w:rPr>
        <w:t xml:space="preserve"> y la pendiente</w:t>
      </w:r>
      <w:r w:rsidR="003E23C9">
        <w:rPr>
          <w:rFonts w:ascii="Times New Roman" w:hAnsi="Times New Roman" w:cs="Times New Roman"/>
          <w:sz w:val="24"/>
          <w:szCs w:val="24"/>
          <w:lang w:val="es-CR"/>
        </w:rPr>
        <w:t xml:space="preserve"> de la curva</w:t>
      </w:r>
      <w:r w:rsidRPr="00460E9D">
        <w:rPr>
          <w:rFonts w:ascii="Times New Roman" w:hAnsi="Times New Roman" w:cs="Times New Roman"/>
          <w:sz w:val="24"/>
          <w:szCs w:val="24"/>
          <w:lang w:val="es-CR"/>
        </w:rPr>
        <w:t xml:space="preserve"> tienen la mayor participación en la explicación de la variabilidad</w:t>
      </w:r>
      <w:r w:rsidR="003E23C9">
        <w:rPr>
          <w:rFonts w:ascii="Times New Roman" w:hAnsi="Times New Roman" w:cs="Times New Roman"/>
          <w:sz w:val="24"/>
          <w:szCs w:val="24"/>
          <w:lang w:val="es-CR"/>
        </w:rPr>
        <w:t>, el 98.3%</w:t>
      </w:r>
      <w:r w:rsidRPr="00460E9D">
        <w:rPr>
          <w:rFonts w:ascii="Times New Roman" w:hAnsi="Times New Roman" w:cs="Times New Roman"/>
          <w:sz w:val="24"/>
          <w:szCs w:val="24"/>
          <w:lang w:val="es-CR"/>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6"/>
        <w:gridCol w:w="1556"/>
        <w:gridCol w:w="1556"/>
        <w:gridCol w:w="1559"/>
      </w:tblGrid>
      <w:tr w:rsidR="00460E9D" w:rsidRPr="008023A5" w:rsidTr="00D73992">
        <w:trPr>
          <w:trHeight w:val="246"/>
          <w:jc w:val="center"/>
        </w:trPr>
        <w:tc>
          <w:tcPr>
            <w:tcW w:w="6227" w:type="dxa"/>
            <w:gridSpan w:val="4"/>
            <w:tcBorders>
              <w:bottom w:val="single" w:sz="4" w:space="0" w:color="auto"/>
            </w:tcBorders>
          </w:tcPr>
          <w:p w:rsidR="00460E9D"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Cuadro 1. Medidas de los primeros tres componentes</w:t>
            </w:r>
          </w:p>
        </w:tc>
      </w:tr>
      <w:tr w:rsidR="000D7802" w:rsidRPr="00460E9D" w:rsidTr="00D73992">
        <w:trPr>
          <w:trHeight w:val="246"/>
          <w:jc w:val="center"/>
        </w:trPr>
        <w:tc>
          <w:tcPr>
            <w:tcW w:w="1556" w:type="dxa"/>
            <w:tcBorders>
              <w:top w:val="single" w:sz="4" w:space="0" w:color="auto"/>
              <w:bottom w:val="single" w:sz="4" w:space="0" w:color="auto"/>
            </w:tcBorders>
          </w:tcPr>
          <w:p w:rsidR="000D7802"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b/>
                <w:sz w:val="20"/>
                <w:szCs w:val="20"/>
                <w:lang w:val="es-CR"/>
              </w:rPr>
              <w:t>Componente</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Valores Propios</w:t>
            </w:r>
          </w:p>
        </w:tc>
        <w:tc>
          <w:tcPr>
            <w:tcW w:w="1556"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explicada</w:t>
            </w:r>
          </w:p>
        </w:tc>
        <w:tc>
          <w:tcPr>
            <w:tcW w:w="1559" w:type="dxa"/>
            <w:tcBorders>
              <w:top w:val="single" w:sz="4" w:space="0" w:color="auto"/>
              <w:bottom w:val="single" w:sz="4" w:space="0" w:color="auto"/>
            </w:tcBorders>
          </w:tcPr>
          <w:p w:rsidR="000D7802" w:rsidRPr="00460E9D" w:rsidRDefault="00460E9D" w:rsidP="00460E9D">
            <w:pPr>
              <w:tabs>
                <w:tab w:val="center" w:pos="4252"/>
              </w:tabs>
              <w:jc w:val="center"/>
              <w:rPr>
                <w:rFonts w:ascii="Times New Roman" w:hAnsi="Times New Roman" w:cs="Times New Roman"/>
                <w:b/>
                <w:sz w:val="20"/>
                <w:szCs w:val="20"/>
                <w:lang w:val="es-CR"/>
              </w:rPr>
            </w:pPr>
            <w:r w:rsidRPr="00460E9D">
              <w:rPr>
                <w:rFonts w:ascii="Times New Roman" w:hAnsi="Times New Roman" w:cs="Times New Roman"/>
                <w:b/>
                <w:sz w:val="20"/>
                <w:szCs w:val="20"/>
                <w:lang w:val="es-CR"/>
              </w:rPr>
              <w:t>% variación acumulado</w:t>
            </w:r>
          </w:p>
        </w:tc>
      </w:tr>
      <w:tr w:rsidR="000D7802" w:rsidRPr="00460E9D" w:rsidTr="00D73992">
        <w:trPr>
          <w:trHeight w:val="246"/>
          <w:jc w:val="center"/>
        </w:trPr>
        <w:tc>
          <w:tcPr>
            <w:tcW w:w="1556" w:type="dxa"/>
            <w:tcBorders>
              <w:top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PC1</w:t>
            </w:r>
            <w:r w:rsidR="00D73992">
              <w:rPr>
                <w:rFonts w:ascii="Times New Roman" w:hAnsi="Times New Roman" w:cs="Times New Roman"/>
                <w:sz w:val="20"/>
                <w:szCs w:val="20"/>
                <w:lang w:val="es-CR"/>
              </w:rPr>
              <w:t xml:space="preserve"> (Nivel)</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3337.8</w:t>
            </w:r>
          </w:p>
        </w:tc>
        <w:tc>
          <w:tcPr>
            <w:tcW w:w="1556"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c>
          <w:tcPr>
            <w:tcW w:w="1559" w:type="dxa"/>
            <w:tcBorders>
              <w:top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92.7</w:t>
            </w:r>
          </w:p>
        </w:tc>
      </w:tr>
      <w:tr w:rsidR="000D7802" w:rsidRPr="00460E9D" w:rsidTr="00D73992">
        <w:trPr>
          <w:trHeight w:val="246"/>
          <w:jc w:val="center"/>
        </w:trPr>
        <w:tc>
          <w:tcPr>
            <w:tcW w:w="1556" w:type="dxa"/>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PC2</w:t>
            </w:r>
            <w:r w:rsidR="00D73992">
              <w:rPr>
                <w:rFonts w:ascii="Times New Roman" w:hAnsi="Times New Roman" w:cs="Times New Roman"/>
                <w:sz w:val="20"/>
                <w:szCs w:val="20"/>
                <w:lang w:val="es-CR"/>
              </w:rPr>
              <w:t xml:space="preserve"> (Pendiente)</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202.2</w:t>
            </w:r>
          </w:p>
        </w:tc>
        <w:tc>
          <w:tcPr>
            <w:tcW w:w="1556"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5.6</w:t>
            </w:r>
          </w:p>
        </w:tc>
        <w:tc>
          <w:tcPr>
            <w:tcW w:w="1559" w:type="dxa"/>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98.3</w:t>
            </w:r>
          </w:p>
        </w:tc>
      </w:tr>
      <w:tr w:rsidR="000D7802" w:rsidRPr="00460E9D" w:rsidTr="00D73992">
        <w:trPr>
          <w:trHeight w:val="246"/>
          <w:jc w:val="center"/>
        </w:trPr>
        <w:tc>
          <w:tcPr>
            <w:tcW w:w="1556" w:type="dxa"/>
            <w:tcBorders>
              <w:bottom w:val="single" w:sz="4" w:space="0" w:color="auto"/>
            </w:tcBorders>
          </w:tcPr>
          <w:p w:rsidR="000D7802" w:rsidRPr="00460E9D" w:rsidRDefault="00460E9D" w:rsidP="00D96501">
            <w:pPr>
              <w:tabs>
                <w:tab w:val="center" w:pos="4252"/>
              </w:tabs>
              <w:jc w:val="both"/>
              <w:rPr>
                <w:rFonts w:ascii="Times New Roman" w:hAnsi="Times New Roman" w:cs="Times New Roman"/>
                <w:sz w:val="20"/>
                <w:szCs w:val="20"/>
                <w:lang w:val="es-CR"/>
              </w:rPr>
            </w:pPr>
            <w:r w:rsidRPr="00460E9D">
              <w:rPr>
                <w:rFonts w:ascii="Times New Roman" w:hAnsi="Times New Roman" w:cs="Times New Roman"/>
                <w:sz w:val="20"/>
                <w:szCs w:val="20"/>
                <w:lang w:val="es-CR"/>
              </w:rPr>
              <w:t>PC3</w:t>
            </w:r>
            <w:r w:rsidR="00D73992">
              <w:rPr>
                <w:rFonts w:ascii="Times New Roman" w:hAnsi="Times New Roman" w:cs="Times New Roman"/>
                <w:sz w:val="20"/>
                <w:szCs w:val="20"/>
                <w:lang w:val="es-CR"/>
              </w:rPr>
              <w:t xml:space="preserve"> (Curvatura)</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38.9</w:t>
            </w:r>
          </w:p>
        </w:tc>
        <w:tc>
          <w:tcPr>
            <w:tcW w:w="1556"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1.1</w:t>
            </w:r>
          </w:p>
        </w:tc>
        <w:tc>
          <w:tcPr>
            <w:tcW w:w="1559" w:type="dxa"/>
            <w:tcBorders>
              <w:bottom w:val="single" w:sz="4" w:space="0" w:color="auto"/>
            </w:tcBorders>
          </w:tcPr>
          <w:p w:rsidR="000D7802" w:rsidRPr="00460E9D" w:rsidRDefault="00460E9D" w:rsidP="00460E9D">
            <w:pPr>
              <w:tabs>
                <w:tab w:val="center" w:pos="4252"/>
              </w:tabs>
              <w:jc w:val="center"/>
              <w:rPr>
                <w:rFonts w:ascii="Times New Roman" w:hAnsi="Times New Roman" w:cs="Times New Roman"/>
                <w:sz w:val="20"/>
                <w:szCs w:val="20"/>
                <w:lang w:val="es-CR"/>
              </w:rPr>
            </w:pPr>
            <w:r w:rsidRPr="00460E9D">
              <w:rPr>
                <w:rFonts w:ascii="Times New Roman" w:hAnsi="Times New Roman" w:cs="Times New Roman"/>
                <w:sz w:val="20"/>
                <w:szCs w:val="20"/>
                <w:lang w:val="es-CR"/>
              </w:rPr>
              <w:t>99.4</w:t>
            </w:r>
          </w:p>
        </w:tc>
      </w:tr>
      <w:tr w:rsidR="00460E9D" w:rsidRPr="00460E9D" w:rsidTr="00D73992">
        <w:trPr>
          <w:trHeight w:val="246"/>
          <w:jc w:val="center"/>
        </w:trPr>
        <w:tc>
          <w:tcPr>
            <w:tcW w:w="6227" w:type="dxa"/>
            <w:gridSpan w:val="4"/>
            <w:tcBorders>
              <w:top w:val="single" w:sz="4" w:space="0" w:color="auto"/>
            </w:tcBorders>
          </w:tcPr>
          <w:p w:rsidR="00460E9D" w:rsidRPr="00460E9D" w:rsidRDefault="00460E9D" w:rsidP="00D96501">
            <w:pPr>
              <w:tabs>
                <w:tab w:val="center" w:pos="4252"/>
              </w:tabs>
              <w:jc w:val="both"/>
              <w:rPr>
                <w:rFonts w:ascii="Times New Roman" w:hAnsi="Times New Roman" w:cs="Times New Roman"/>
                <w:b/>
                <w:sz w:val="20"/>
                <w:szCs w:val="20"/>
                <w:lang w:val="es-CR"/>
              </w:rPr>
            </w:pPr>
            <w:r w:rsidRPr="00460E9D">
              <w:rPr>
                <w:rFonts w:ascii="Times New Roman" w:hAnsi="Times New Roman" w:cs="Times New Roman"/>
                <w:sz w:val="20"/>
                <w:szCs w:val="20"/>
                <w:lang w:val="es-CR"/>
              </w:rPr>
              <w:t>Fuente: BCCR</w:t>
            </w:r>
          </w:p>
        </w:tc>
      </w:tr>
    </w:tbl>
    <w:p w:rsidR="00301F36" w:rsidRDefault="00301F36" w:rsidP="00215EA6">
      <w:pPr>
        <w:tabs>
          <w:tab w:val="center" w:pos="4252"/>
        </w:tabs>
        <w:spacing w:line="240" w:lineRule="auto"/>
        <w:jc w:val="both"/>
        <w:rPr>
          <w:rFonts w:ascii="Times New Roman" w:hAnsi="Times New Roman" w:cs="Times New Roman"/>
          <w:sz w:val="24"/>
          <w:szCs w:val="24"/>
        </w:rPr>
      </w:pPr>
    </w:p>
    <w:p w:rsidR="00B153A5" w:rsidRDefault="00B153A5" w:rsidP="00215EA6">
      <w:pPr>
        <w:tabs>
          <w:tab w:val="center" w:pos="4252"/>
        </w:tabs>
        <w:spacing w:line="240" w:lineRule="auto"/>
        <w:jc w:val="both"/>
        <w:rPr>
          <w:rFonts w:ascii="Times New Roman" w:hAnsi="Times New Roman" w:cs="Times New Roman"/>
          <w:sz w:val="24"/>
          <w:szCs w:val="24"/>
          <w:lang w:val="es-CR"/>
        </w:rPr>
      </w:pPr>
      <w:r w:rsidRPr="00B153A5">
        <w:rPr>
          <w:rFonts w:ascii="Times New Roman" w:hAnsi="Times New Roman" w:cs="Times New Roman"/>
          <w:sz w:val="24"/>
          <w:szCs w:val="24"/>
          <w:lang w:val="es-CR"/>
        </w:rPr>
        <w:t>El primer componente tiene una correlación</w:t>
      </w:r>
      <w:r>
        <w:rPr>
          <w:rFonts w:ascii="Times New Roman" w:hAnsi="Times New Roman" w:cs="Times New Roman"/>
          <w:sz w:val="24"/>
          <w:szCs w:val="24"/>
          <w:lang w:val="es-CR"/>
        </w:rPr>
        <w:t>,</w:t>
      </w:r>
      <w:r w:rsidRPr="00B153A5">
        <w:rPr>
          <w:rFonts w:ascii="Times New Roman" w:hAnsi="Times New Roman" w:cs="Times New Roman"/>
          <w:sz w:val="24"/>
          <w:szCs w:val="24"/>
          <w:lang w:val="es-CR"/>
        </w:rPr>
        <w:t xml:space="preserve"> </w:t>
      </w:r>
      <w:r>
        <w:rPr>
          <w:rFonts w:ascii="Times New Roman" w:hAnsi="Times New Roman" w:cs="Times New Roman"/>
          <w:sz w:val="24"/>
          <w:szCs w:val="24"/>
          <w:lang w:val="es-CR"/>
        </w:rPr>
        <w:t xml:space="preserve">respecto a las variables, que </w:t>
      </w:r>
      <w:r w:rsidRPr="00B153A5">
        <w:rPr>
          <w:rFonts w:ascii="Times New Roman" w:hAnsi="Times New Roman" w:cs="Times New Roman"/>
          <w:sz w:val="24"/>
          <w:szCs w:val="24"/>
          <w:lang w:val="es-CR"/>
        </w:rPr>
        <w:t xml:space="preserve">varía entre </w:t>
      </w:r>
      <w:r>
        <w:rPr>
          <w:rFonts w:ascii="Times New Roman" w:hAnsi="Times New Roman" w:cs="Times New Roman"/>
          <w:sz w:val="24"/>
          <w:szCs w:val="24"/>
          <w:lang w:val="es-CR"/>
        </w:rPr>
        <w:t>0</w:t>
      </w:r>
      <w:r w:rsidRPr="00B153A5">
        <w:rPr>
          <w:rFonts w:ascii="Times New Roman" w:hAnsi="Times New Roman" w:cs="Times New Roman"/>
          <w:sz w:val="24"/>
          <w:szCs w:val="24"/>
          <w:lang w:val="es-CR"/>
        </w:rPr>
        <w:t xml:space="preserve">.88 y </w:t>
      </w:r>
      <w:r>
        <w:rPr>
          <w:rFonts w:ascii="Times New Roman" w:hAnsi="Times New Roman" w:cs="Times New Roman"/>
          <w:sz w:val="24"/>
          <w:szCs w:val="24"/>
          <w:lang w:val="es-CR"/>
        </w:rPr>
        <w:t>0</w:t>
      </w:r>
      <w:r w:rsidRPr="00B153A5">
        <w:rPr>
          <w:rFonts w:ascii="Times New Roman" w:hAnsi="Times New Roman" w:cs="Times New Roman"/>
          <w:sz w:val="24"/>
          <w:szCs w:val="24"/>
          <w:lang w:val="es-CR"/>
        </w:rPr>
        <w:t>.99</w:t>
      </w:r>
      <w:r>
        <w:rPr>
          <w:rFonts w:ascii="Times New Roman" w:hAnsi="Times New Roman" w:cs="Times New Roman"/>
          <w:sz w:val="24"/>
          <w:szCs w:val="24"/>
          <w:lang w:val="es-CR"/>
        </w:rPr>
        <w:t xml:space="preserve">, </w:t>
      </w:r>
      <w:r w:rsidRPr="00B153A5">
        <w:rPr>
          <w:rFonts w:ascii="Times New Roman" w:hAnsi="Times New Roman" w:cs="Times New Roman"/>
          <w:sz w:val="24"/>
          <w:szCs w:val="24"/>
          <w:lang w:val="es-CR"/>
        </w:rPr>
        <w:t>las correlaciones más altas se ubican en el mediano plazo</w:t>
      </w:r>
      <w:r>
        <w:rPr>
          <w:rFonts w:ascii="Times New Roman" w:hAnsi="Times New Roman" w:cs="Times New Roman"/>
          <w:sz w:val="24"/>
          <w:szCs w:val="24"/>
          <w:lang w:val="es-CR"/>
        </w:rPr>
        <w:t xml:space="preserve"> y a inicios del largo plazo</w:t>
      </w:r>
      <w:r w:rsidRPr="00B153A5">
        <w:rPr>
          <w:rFonts w:ascii="Times New Roman" w:hAnsi="Times New Roman" w:cs="Times New Roman"/>
          <w:sz w:val="24"/>
          <w:szCs w:val="24"/>
          <w:lang w:val="es-CR"/>
        </w:rPr>
        <w:t xml:space="preserve">. </w:t>
      </w:r>
      <w:r w:rsidR="00301F36">
        <w:rPr>
          <w:rFonts w:ascii="Times New Roman" w:hAnsi="Times New Roman" w:cs="Times New Roman"/>
          <w:sz w:val="24"/>
          <w:szCs w:val="24"/>
          <w:lang w:val="es-CR"/>
        </w:rPr>
        <w:t xml:space="preserve"> Para el segundo y tercer componente las correlaciones son bajas.</w:t>
      </w:r>
    </w:p>
    <w:p w:rsidR="003E23C9" w:rsidRDefault="00301F36"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En el</w:t>
      </w:r>
      <w:r w:rsidR="003E23C9">
        <w:rPr>
          <w:rFonts w:ascii="Times New Roman" w:hAnsi="Times New Roman" w:cs="Times New Roman"/>
          <w:sz w:val="24"/>
          <w:szCs w:val="24"/>
          <w:lang w:val="es-CR"/>
        </w:rPr>
        <w:t xml:space="preserve"> gráfico 10 se </w:t>
      </w:r>
      <w:r w:rsidR="00E30CBB">
        <w:rPr>
          <w:rFonts w:ascii="Times New Roman" w:hAnsi="Times New Roman" w:cs="Times New Roman"/>
          <w:sz w:val="24"/>
          <w:szCs w:val="24"/>
          <w:lang w:val="es-CR"/>
        </w:rPr>
        <w:t>muestran</w:t>
      </w:r>
      <w:r w:rsidR="003E23C9">
        <w:rPr>
          <w:rFonts w:ascii="Times New Roman" w:hAnsi="Times New Roman" w:cs="Times New Roman"/>
          <w:sz w:val="24"/>
          <w:szCs w:val="24"/>
          <w:lang w:val="es-CR"/>
        </w:rPr>
        <w:t xml:space="preserve"> los vectores propios de cada componente y se obtienen las siguientes interpretaciones:</w:t>
      </w:r>
    </w:p>
    <w:p w:rsidR="00FF0122" w:rsidRDefault="00E30CBB" w:rsidP="00215EA6">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b/>
          <w:sz w:val="24"/>
          <w:szCs w:val="24"/>
          <w:lang w:val="es-CR"/>
        </w:rPr>
        <w:t>Primer Componente (n</w:t>
      </w:r>
      <w:r w:rsidR="00215EA6" w:rsidRPr="003E23C9">
        <w:rPr>
          <w:rFonts w:ascii="Times New Roman" w:hAnsi="Times New Roman" w:cs="Times New Roman"/>
          <w:b/>
          <w:sz w:val="24"/>
          <w:szCs w:val="24"/>
          <w:lang w:val="es-CR"/>
        </w:rPr>
        <w:t>ivel):</w:t>
      </w:r>
      <w:r w:rsidR="00215EA6">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los vectores propios </w:t>
      </w:r>
      <w:r w:rsidR="00215EA6" w:rsidRPr="00215EA6">
        <w:rPr>
          <w:rFonts w:ascii="Times New Roman" w:hAnsi="Times New Roman" w:cs="Times New Roman"/>
          <w:sz w:val="24"/>
          <w:szCs w:val="24"/>
          <w:lang w:val="es-CR"/>
        </w:rPr>
        <w:t>del prime</w:t>
      </w:r>
      <w:r w:rsidR="003E23C9">
        <w:rPr>
          <w:rFonts w:ascii="Times New Roman" w:hAnsi="Times New Roman" w:cs="Times New Roman"/>
          <w:sz w:val="24"/>
          <w:szCs w:val="24"/>
          <w:lang w:val="es-CR"/>
        </w:rPr>
        <w:t>r componente principal son positivo</w:t>
      </w:r>
      <w:r w:rsidR="00215EA6" w:rsidRPr="00215EA6">
        <w:rPr>
          <w:rFonts w:ascii="Times New Roman" w:hAnsi="Times New Roman" w:cs="Times New Roman"/>
          <w:sz w:val="24"/>
          <w:szCs w:val="24"/>
          <w:lang w:val="es-CR"/>
        </w:rPr>
        <w:t>s y similares entre sí</w:t>
      </w:r>
      <w:r w:rsidR="003E23C9">
        <w:rPr>
          <w:rFonts w:ascii="Times New Roman" w:hAnsi="Times New Roman" w:cs="Times New Roman"/>
          <w:sz w:val="24"/>
          <w:szCs w:val="24"/>
          <w:lang w:val="es-CR"/>
        </w:rPr>
        <w:t>, gráficamente este componente es casi plano</w:t>
      </w:r>
      <w:r w:rsidR="00215EA6" w:rsidRPr="00215EA6">
        <w:rPr>
          <w:rFonts w:ascii="Times New Roman" w:hAnsi="Times New Roman" w:cs="Times New Roman"/>
          <w:sz w:val="24"/>
          <w:szCs w:val="24"/>
          <w:lang w:val="es-CR"/>
        </w:rPr>
        <w:t>.</w:t>
      </w:r>
      <w:r w:rsidR="00215EA6">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 xml:space="preserve">Por lo que un incremento en el primer componente resulta en un incremento en todos los rendimientos. </w:t>
      </w:r>
    </w:p>
    <w:p w:rsidR="00215EA6" w:rsidRPr="00215EA6" w:rsidRDefault="00215EA6" w:rsidP="00215EA6">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Segundo Componente (pendiente):</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en cuanto al signo de las cargas se observan </w:t>
      </w:r>
      <w:r w:rsidR="003E23C9" w:rsidRPr="00215EA6">
        <w:rPr>
          <w:rFonts w:ascii="Times New Roman" w:hAnsi="Times New Roman" w:cs="Times New Roman"/>
          <w:sz w:val="24"/>
          <w:szCs w:val="24"/>
          <w:lang w:val="es-CR"/>
        </w:rPr>
        <w:t>signos opuestos en ambos extremos</w:t>
      </w:r>
      <w:r w:rsidR="003E23C9">
        <w:rPr>
          <w:rFonts w:ascii="Times New Roman" w:hAnsi="Times New Roman" w:cs="Times New Roman"/>
          <w:sz w:val="24"/>
          <w:szCs w:val="24"/>
          <w:lang w:val="es-CR"/>
        </w:rPr>
        <w:t>, p</w:t>
      </w:r>
      <w:r w:rsidRPr="00215EA6">
        <w:rPr>
          <w:rFonts w:ascii="Times New Roman" w:hAnsi="Times New Roman" w:cs="Times New Roman"/>
          <w:sz w:val="24"/>
          <w:szCs w:val="24"/>
          <w:lang w:val="es-CR"/>
        </w:rPr>
        <w:t xml:space="preserve">ara los vencimientos a corto plazo </w:t>
      </w:r>
      <w:r w:rsidR="003E23C9" w:rsidRPr="00215EA6">
        <w:rPr>
          <w:rFonts w:ascii="Times New Roman" w:hAnsi="Times New Roman" w:cs="Times New Roman"/>
          <w:sz w:val="24"/>
          <w:szCs w:val="24"/>
          <w:lang w:val="es-CR"/>
        </w:rPr>
        <w:t>predominan</w:t>
      </w:r>
      <w:r w:rsidRPr="00215EA6">
        <w:rPr>
          <w:rFonts w:ascii="Times New Roman" w:hAnsi="Times New Roman" w:cs="Times New Roman"/>
          <w:sz w:val="24"/>
          <w:szCs w:val="24"/>
          <w:lang w:val="es-CR"/>
        </w:rPr>
        <w:t xml:space="preserve"> los valores negativos y para los vencimientos a </w:t>
      </w:r>
      <w:r w:rsidR="003E23C9">
        <w:rPr>
          <w:rFonts w:ascii="Times New Roman" w:hAnsi="Times New Roman" w:cs="Times New Roman"/>
          <w:sz w:val="24"/>
          <w:szCs w:val="24"/>
          <w:lang w:val="es-CR"/>
        </w:rPr>
        <w:t xml:space="preserve">más </w:t>
      </w:r>
      <w:r w:rsidRPr="00215EA6">
        <w:rPr>
          <w:rFonts w:ascii="Times New Roman" w:hAnsi="Times New Roman" w:cs="Times New Roman"/>
          <w:sz w:val="24"/>
          <w:szCs w:val="24"/>
          <w:lang w:val="es-CR"/>
        </w:rPr>
        <w:t>largo plazo las cargas son positivas</w:t>
      </w:r>
      <w:r w:rsidR="003E23C9">
        <w:rPr>
          <w:rFonts w:ascii="Times New Roman" w:hAnsi="Times New Roman" w:cs="Times New Roman"/>
          <w:sz w:val="24"/>
          <w:szCs w:val="24"/>
          <w:lang w:val="es-CR"/>
        </w:rPr>
        <w:t>.</w:t>
      </w:r>
      <w:r w:rsidR="00796D97">
        <w:rPr>
          <w:rFonts w:ascii="Times New Roman" w:hAnsi="Times New Roman" w:cs="Times New Roman"/>
          <w:sz w:val="24"/>
          <w:szCs w:val="24"/>
          <w:lang w:val="es-CR"/>
        </w:rPr>
        <w:t xml:space="preserve"> Por lo que un cambio en el segundo componente tiene efectos opuestos en la estructura de los plazos.</w:t>
      </w:r>
    </w:p>
    <w:p w:rsidR="00215EA6" w:rsidRDefault="00215EA6" w:rsidP="00460E9D">
      <w:pPr>
        <w:tabs>
          <w:tab w:val="center" w:pos="4252"/>
        </w:tabs>
        <w:spacing w:line="240" w:lineRule="auto"/>
        <w:jc w:val="both"/>
        <w:rPr>
          <w:rFonts w:ascii="Times New Roman" w:hAnsi="Times New Roman" w:cs="Times New Roman"/>
          <w:sz w:val="24"/>
          <w:szCs w:val="24"/>
          <w:lang w:val="es-CR"/>
        </w:rPr>
      </w:pPr>
      <w:r w:rsidRPr="003E23C9">
        <w:rPr>
          <w:rFonts w:ascii="Times New Roman" w:hAnsi="Times New Roman" w:cs="Times New Roman"/>
          <w:b/>
          <w:sz w:val="24"/>
          <w:szCs w:val="24"/>
          <w:lang w:val="es-CR"/>
        </w:rPr>
        <w:t>Tercer Componente (curvatura):</w:t>
      </w:r>
      <w:r>
        <w:rPr>
          <w:rFonts w:ascii="Times New Roman" w:hAnsi="Times New Roman" w:cs="Times New Roman"/>
          <w:sz w:val="24"/>
          <w:szCs w:val="24"/>
          <w:lang w:val="es-CR"/>
        </w:rPr>
        <w:t xml:space="preserve"> </w:t>
      </w:r>
      <w:r w:rsidR="003E23C9">
        <w:rPr>
          <w:rFonts w:ascii="Times New Roman" w:hAnsi="Times New Roman" w:cs="Times New Roman"/>
          <w:sz w:val="24"/>
          <w:szCs w:val="24"/>
          <w:lang w:val="es-CR"/>
        </w:rPr>
        <w:t xml:space="preserve">se observan cargas positivas en el centro </w:t>
      </w:r>
      <w:r w:rsidR="00E30CBB">
        <w:rPr>
          <w:rFonts w:ascii="Times New Roman" w:hAnsi="Times New Roman" w:cs="Times New Roman"/>
          <w:sz w:val="24"/>
          <w:szCs w:val="24"/>
          <w:lang w:val="es-CR"/>
        </w:rPr>
        <w:t>y cargas negativas en los extremos.</w:t>
      </w:r>
    </w:p>
    <w:p w:rsidR="00301F36" w:rsidRDefault="00301F36" w:rsidP="00460E9D">
      <w:pPr>
        <w:tabs>
          <w:tab w:val="center" w:pos="4252"/>
        </w:tabs>
        <w:spacing w:line="240" w:lineRule="auto"/>
        <w:jc w:val="both"/>
        <w:rPr>
          <w:rFonts w:ascii="Times New Roman" w:hAnsi="Times New Roman" w:cs="Times New Roman"/>
          <w:sz w:val="24"/>
          <w:szCs w:val="24"/>
          <w:lang w:val="es-CR"/>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6"/>
      </w:tblGrid>
      <w:tr w:rsidR="00215EA6" w:rsidRPr="008023A5" w:rsidTr="00E30CBB">
        <w:trPr>
          <w:trHeight w:val="206"/>
          <w:jc w:val="center"/>
        </w:trPr>
        <w:tc>
          <w:tcPr>
            <w:tcW w:w="5774" w:type="dxa"/>
          </w:tcPr>
          <w:p w:rsidR="00215EA6" w:rsidRDefault="00215EA6" w:rsidP="00215EA6">
            <w:pPr>
              <w:tabs>
                <w:tab w:val="center" w:pos="4252"/>
              </w:tabs>
              <w:jc w:val="center"/>
              <w:rPr>
                <w:rFonts w:ascii="Times New Roman" w:hAnsi="Times New Roman" w:cs="Times New Roman"/>
                <w:sz w:val="24"/>
                <w:szCs w:val="24"/>
                <w:lang w:val="es-CR"/>
              </w:rPr>
            </w:pPr>
            <w:r w:rsidRPr="00732090">
              <w:rPr>
                <w:rFonts w:ascii="Times New Roman" w:hAnsi="Times New Roman" w:cs="Times New Roman"/>
                <w:b/>
                <w:sz w:val="20"/>
                <w:szCs w:val="20"/>
                <w:lang w:val="es-CR"/>
              </w:rPr>
              <w:t>Gr</w:t>
            </w:r>
            <w:r>
              <w:rPr>
                <w:rFonts w:ascii="Times New Roman" w:hAnsi="Times New Roman" w:cs="Times New Roman"/>
                <w:b/>
                <w:sz w:val="20"/>
                <w:szCs w:val="20"/>
                <w:lang w:val="es-CR"/>
              </w:rPr>
              <w:t>áfico 10</w:t>
            </w:r>
            <w:r w:rsidRPr="00732090">
              <w:rPr>
                <w:rFonts w:ascii="Times New Roman" w:hAnsi="Times New Roman" w:cs="Times New Roman"/>
                <w:b/>
                <w:sz w:val="20"/>
                <w:szCs w:val="20"/>
                <w:lang w:val="es-CR"/>
              </w:rPr>
              <w:t>.</w:t>
            </w:r>
            <w:r>
              <w:rPr>
                <w:rFonts w:ascii="Times New Roman" w:hAnsi="Times New Roman" w:cs="Times New Roman"/>
                <w:b/>
                <w:sz w:val="20"/>
                <w:szCs w:val="20"/>
                <w:lang w:val="es-CR"/>
              </w:rPr>
              <w:t xml:space="preserve"> Vectores propios de los primeros tres componentes</w:t>
            </w:r>
          </w:p>
        </w:tc>
      </w:tr>
      <w:tr w:rsidR="00215EA6" w:rsidTr="00E30CBB">
        <w:trPr>
          <w:trHeight w:val="3004"/>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Pr>
                <w:noProof/>
              </w:rPr>
              <w:drawing>
                <wp:inline distT="0" distB="0" distL="0" distR="0" wp14:anchorId="0DBDE443" wp14:editId="48EA9C9B">
                  <wp:extent cx="4178300" cy="2359069"/>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1479" cy="2394740"/>
                          </a:xfrm>
                          <a:prstGeom prst="rect">
                            <a:avLst/>
                          </a:prstGeom>
                        </pic:spPr>
                      </pic:pic>
                    </a:graphicData>
                  </a:graphic>
                </wp:inline>
              </w:drawing>
            </w:r>
          </w:p>
        </w:tc>
      </w:tr>
      <w:tr w:rsidR="00215EA6" w:rsidTr="00E30CBB">
        <w:trPr>
          <w:trHeight w:val="206"/>
          <w:jc w:val="center"/>
        </w:trPr>
        <w:tc>
          <w:tcPr>
            <w:tcW w:w="5774" w:type="dxa"/>
          </w:tcPr>
          <w:p w:rsidR="00215EA6" w:rsidRDefault="00215EA6" w:rsidP="00460E9D">
            <w:pPr>
              <w:tabs>
                <w:tab w:val="center" w:pos="4252"/>
              </w:tabs>
              <w:jc w:val="both"/>
              <w:rPr>
                <w:rFonts w:ascii="Times New Roman" w:hAnsi="Times New Roman" w:cs="Times New Roman"/>
                <w:sz w:val="24"/>
                <w:szCs w:val="24"/>
                <w:lang w:val="es-CR"/>
              </w:rPr>
            </w:pPr>
            <w:r w:rsidRPr="00732090">
              <w:rPr>
                <w:rFonts w:ascii="Times New Roman" w:hAnsi="Times New Roman" w:cs="Times New Roman"/>
                <w:sz w:val="20"/>
                <w:szCs w:val="20"/>
                <w:lang w:val="es-CR"/>
              </w:rPr>
              <w:t>Fuente: BCCR</w:t>
            </w:r>
          </w:p>
        </w:tc>
      </w:tr>
    </w:tbl>
    <w:p w:rsidR="00D96501" w:rsidRPr="00301F36" w:rsidRDefault="00D96501" w:rsidP="00301F36">
      <w:pPr>
        <w:pStyle w:val="Prrafodelista"/>
        <w:numPr>
          <w:ilvl w:val="1"/>
          <w:numId w:val="19"/>
        </w:numPr>
        <w:tabs>
          <w:tab w:val="center" w:pos="4252"/>
        </w:tabs>
        <w:spacing w:line="240" w:lineRule="auto"/>
        <w:jc w:val="both"/>
        <w:rPr>
          <w:rFonts w:ascii="Times New Roman" w:hAnsi="Times New Roman" w:cs="Times New Roman"/>
          <w:b/>
          <w:sz w:val="24"/>
          <w:szCs w:val="24"/>
          <w:lang w:val="es-CR"/>
        </w:rPr>
      </w:pPr>
      <w:r w:rsidRPr="00301F36">
        <w:rPr>
          <w:rFonts w:ascii="Times New Roman" w:hAnsi="Times New Roman" w:cs="Times New Roman"/>
          <w:b/>
          <w:sz w:val="24"/>
          <w:szCs w:val="24"/>
          <w:lang w:val="es-CR"/>
        </w:rPr>
        <w:lastRenderedPageBreak/>
        <w:t>Indicador</w:t>
      </w:r>
    </w:p>
    <w:p w:rsidR="00D96501" w:rsidRDefault="00D96501" w:rsidP="00D96501">
      <w:pPr>
        <w:pStyle w:val="Prrafodelista"/>
        <w:tabs>
          <w:tab w:val="center" w:pos="4252"/>
        </w:tabs>
        <w:spacing w:line="240" w:lineRule="auto"/>
        <w:jc w:val="both"/>
        <w:rPr>
          <w:rFonts w:ascii="Times New Roman" w:hAnsi="Times New Roman" w:cs="Times New Roman"/>
          <w:b/>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Construcción del indicador</w:t>
      </w: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Validación</w:t>
      </w:r>
    </w:p>
    <w:p w:rsidR="00D96501" w:rsidRPr="00D96501" w:rsidRDefault="00D96501" w:rsidP="00D96501">
      <w:pPr>
        <w:pStyle w:val="Prrafodelista"/>
        <w:rPr>
          <w:rFonts w:ascii="Times New Roman" w:hAnsi="Times New Roman" w:cs="Times New Roman"/>
          <w:b/>
          <w:sz w:val="24"/>
          <w:szCs w:val="24"/>
          <w:lang w:val="es-CR"/>
        </w:rPr>
      </w:pPr>
    </w:p>
    <w:p w:rsidR="00D96501" w:rsidRPr="00D96501" w:rsidRDefault="00D96501" w:rsidP="00D96501">
      <w:pPr>
        <w:tabs>
          <w:tab w:val="center" w:pos="4252"/>
        </w:tabs>
        <w:spacing w:line="240" w:lineRule="auto"/>
        <w:jc w:val="both"/>
        <w:rPr>
          <w:rFonts w:ascii="Times New Roman" w:hAnsi="Times New Roman" w:cs="Times New Roman"/>
          <w:sz w:val="24"/>
          <w:szCs w:val="24"/>
          <w:lang w:val="es-CR"/>
        </w:rPr>
      </w:pPr>
    </w:p>
    <w:p w:rsidR="00D96501" w:rsidRPr="00D96501" w:rsidRDefault="00D96501" w:rsidP="00D96501">
      <w:pPr>
        <w:pStyle w:val="Prrafodelista"/>
        <w:numPr>
          <w:ilvl w:val="2"/>
          <w:numId w:val="19"/>
        </w:numPr>
        <w:tabs>
          <w:tab w:val="center" w:pos="4252"/>
        </w:tabs>
        <w:spacing w:line="240" w:lineRule="auto"/>
        <w:jc w:val="both"/>
        <w:rPr>
          <w:rFonts w:ascii="Times New Roman" w:hAnsi="Times New Roman" w:cs="Times New Roman"/>
          <w:b/>
          <w:sz w:val="24"/>
          <w:szCs w:val="24"/>
          <w:lang w:val="es-CR"/>
        </w:rPr>
      </w:pPr>
      <w:r>
        <w:rPr>
          <w:rFonts w:ascii="Times New Roman" w:hAnsi="Times New Roman" w:cs="Times New Roman"/>
          <w:b/>
          <w:sz w:val="24"/>
          <w:szCs w:val="24"/>
          <w:lang w:val="es-CR"/>
        </w:rPr>
        <w:t xml:space="preserve">Calibración </w:t>
      </w:r>
    </w:p>
    <w:p w:rsidR="00BA5BBB" w:rsidRDefault="00BA5BBB"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34CB4">
      <w:pPr>
        <w:tabs>
          <w:tab w:val="center" w:pos="4252"/>
        </w:tabs>
        <w:spacing w:line="240" w:lineRule="auto"/>
        <w:jc w:val="both"/>
        <w:rPr>
          <w:rFonts w:ascii="Times New Roman" w:hAnsi="Times New Roman" w:cs="Times New Roman"/>
          <w:sz w:val="24"/>
          <w:szCs w:val="24"/>
          <w:lang w:val="es-CR"/>
        </w:rPr>
      </w:pPr>
    </w:p>
    <w:p w:rsidR="00D96501" w:rsidRDefault="00D96501"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3649E6" w:rsidRDefault="003649E6"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E30CBB" w:rsidRDefault="00E30CBB" w:rsidP="003166AF">
      <w:pPr>
        <w:tabs>
          <w:tab w:val="center" w:pos="4252"/>
        </w:tabs>
        <w:spacing w:line="240" w:lineRule="auto"/>
        <w:rPr>
          <w:rFonts w:ascii="Times New Roman" w:hAnsi="Times New Roman" w:cs="Times New Roman"/>
          <w:b/>
          <w:sz w:val="24"/>
          <w:szCs w:val="24"/>
          <w:lang w:val="es-CR"/>
        </w:rPr>
      </w:pPr>
    </w:p>
    <w:p w:rsidR="00CE3108" w:rsidRPr="00C60A21" w:rsidRDefault="00037A3F" w:rsidP="00C60A2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lastRenderedPageBreak/>
        <w:t>CONCLUSIONES</w:t>
      </w:r>
    </w:p>
    <w:p w:rsidR="00D834EF" w:rsidRDefault="00C60A21" w:rsidP="00C60A21">
      <w:pPr>
        <w:tabs>
          <w:tab w:val="center" w:pos="4252"/>
        </w:tabs>
        <w:spacing w:line="240" w:lineRule="auto"/>
        <w:jc w:val="both"/>
        <w:rPr>
          <w:rFonts w:ascii="Times New Roman" w:hAnsi="Times New Roman" w:cs="Times New Roman"/>
          <w:sz w:val="24"/>
          <w:szCs w:val="24"/>
          <w:lang w:val="es-CR"/>
        </w:rPr>
      </w:pPr>
      <w:r w:rsidRPr="00D834EF">
        <w:rPr>
          <w:rFonts w:ascii="Times New Roman" w:hAnsi="Times New Roman" w:cs="Times New Roman"/>
          <w:sz w:val="24"/>
          <w:szCs w:val="24"/>
          <w:lang w:val="es-CR"/>
        </w:rPr>
        <w:t xml:space="preserve">Se observó que a mayor plazo mayor es el promedio y mediana de los rendimientos. </w:t>
      </w:r>
      <w:r w:rsidR="00D834EF">
        <w:rPr>
          <w:rFonts w:ascii="Times New Roman" w:hAnsi="Times New Roman" w:cs="Times New Roman"/>
          <w:sz w:val="24"/>
          <w:szCs w:val="24"/>
          <w:lang w:val="es-CR"/>
        </w:rPr>
        <w:t>Además, e</w:t>
      </w:r>
      <w:r w:rsidR="00D834EF" w:rsidRPr="00D834EF">
        <w:rPr>
          <w:rFonts w:ascii="Times New Roman" w:hAnsi="Times New Roman" w:cs="Times New Roman"/>
          <w:sz w:val="24"/>
          <w:szCs w:val="24"/>
          <w:lang w:val="es-CR"/>
        </w:rPr>
        <w:t>n el corto plazo hay una mayor variabilidad y volatilidad en las tasas</w:t>
      </w:r>
      <w:r w:rsidR="00D834EF">
        <w:rPr>
          <w:rFonts w:ascii="Times New Roman" w:hAnsi="Times New Roman" w:cs="Times New Roman"/>
          <w:sz w:val="24"/>
          <w:szCs w:val="24"/>
          <w:lang w:val="es-CR"/>
        </w:rPr>
        <w:t>. Dicho c</w:t>
      </w:r>
      <w:r w:rsidR="009E58BF">
        <w:rPr>
          <w:rFonts w:ascii="Times New Roman" w:hAnsi="Times New Roman" w:cs="Times New Roman"/>
          <w:sz w:val="24"/>
          <w:szCs w:val="24"/>
          <w:lang w:val="es-CR"/>
        </w:rPr>
        <w:t>omportamiento va de la mano con</w:t>
      </w:r>
      <w:r w:rsidR="00D834EF">
        <w:rPr>
          <w:rFonts w:ascii="Times New Roman" w:hAnsi="Times New Roman" w:cs="Times New Roman"/>
          <w:sz w:val="24"/>
          <w:szCs w:val="24"/>
          <w:lang w:val="es-CR"/>
        </w:rPr>
        <w:t xml:space="preserve"> la </w:t>
      </w:r>
      <w:r w:rsidR="00D834EF" w:rsidRPr="00D834EF">
        <w:rPr>
          <w:rFonts w:ascii="Times New Roman" w:hAnsi="Times New Roman" w:cs="Times New Roman"/>
          <w:sz w:val="24"/>
          <w:szCs w:val="24"/>
          <w:lang w:val="es-CR"/>
        </w:rPr>
        <w:t xml:space="preserve">teoría de la preferencia de liquidez, </w:t>
      </w:r>
      <w:r w:rsidR="009E58BF" w:rsidRPr="00D834EF">
        <w:rPr>
          <w:rFonts w:ascii="Times New Roman" w:hAnsi="Times New Roman" w:cs="Times New Roman"/>
          <w:sz w:val="24"/>
          <w:szCs w:val="24"/>
          <w:lang w:val="es-CR"/>
        </w:rPr>
        <w:t>desarrollada</w:t>
      </w:r>
      <w:r w:rsidR="009E58BF">
        <w:rPr>
          <w:rFonts w:ascii="Times New Roman" w:hAnsi="Times New Roman" w:cs="Times New Roman"/>
          <w:sz w:val="24"/>
          <w:szCs w:val="24"/>
          <w:lang w:val="es-CR"/>
        </w:rPr>
        <w:t xml:space="preserve"> por</w:t>
      </w:r>
      <w:r w:rsidR="00D834EF" w:rsidRPr="00D834EF">
        <w:rPr>
          <w:rFonts w:ascii="Times New Roman" w:hAnsi="Times New Roman" w:cs="Times New Roman"/>
          <w:sz w:val="24"/>
          <w:szCs w:val="24"/>
          <w:lang w:val="es-CR"/>
        </w:rPr>
        <w:t xml:space="preserve"> Hicks</w:t>
      </w:r>
      <w:r w:rsidR="009E58BF">
        <w:rPr>
          <w:rFonts w:ascii="Times New Roman" w:hAnsi="Times New Roman" w:cs="Times New Roman"/>
          <w:sz w:val="24"/>
          <w:szCs w:val="24"/>
          <w:lang w:val="es-CR"/>
        </w:rPr>
        <w:t>, que</w:t>
      </w:r>
      <w:r w:rsidR="00D834EF">
        <w:rPr>
          <w:rFonts w:ascii="Times New Roman" w:hAnsi="Times New Roman" w:cs="Times New Roman"/>
          <w:sz w:val="24"/>
          <w:szCs w:val="24"/>
          <w:lang w:val="es-CR"/>
        </w:rPr>
        <w:t xml:space="preserve"> </w:t>
      </w:r>
      <w:r w:rsidR="009E58BF">
        <w:rPr>
          <w:rFonts w:ascii="Times New Roman" w:hAnsi="Times New Roman" w:cs="Times New Roman"/>
          <w:sz w:val="24"/>
          <w:szCs w:val="24"/>
          <w:lang w:val="es-CR"/>
        </w:rPr>
        <w:t xml:space="preserve">considera una preferencia por la </w:t>
      </w:r>
      <w:r w:rsidR="00D834EF" w:rsidRPr="00D834EF">
        <w:rPr>
          <w:rFonts w:ascii="Times New Roman" w:hAnsi="Times New Roman" w:cs="Times New Roman"/>
          <w:sz w:val="24"/>
          <w:szCs w:val="24"/>
          <w:lang w:val="es-CR"/>
        </w:rPr>
        <w:t>inversión en los vencimientos de corto plazo</w:t>
      </w:r>
      <w:r w:rsidR="00D834E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posibilita</w:t>
      </w:r>
      <w:r w:rsidR="009E58BF">
        <w:rPr>
          <w:rFonts w:ascii="Times New Roman" w:hAnsi="Times New Roman" w:cs="Times New Roman"/>
          <w:sz w:val="24"/>
          <w:szCs w:val="24"/>
          <w:lang w:val="es-CR"/>
        </w:rPr>
        <w:t>ndo</w:t>
      </w:r>
      <w:r w:rsidR="00D834EF" w:rsidRPr="00D834EF">
        <w:rPr>
          <w:rFonts w:ascii="Times New Roman" w:hAnsi="Times New Roman" w:cs="Times New Roman"/>
          <w:sz w:val="24"/>
          <w:szCs w:val="24"/>
          <w:lang w:val="es-CR"/>
        </w:rPr>
        <w:t xml:space="preserve"> que la curva de </w:t>
      </w:r>
      <w:r w:rsidR="009E58BF">
        <w:rPr>
          <w:rFonts w:ascii="Times New Roman" w:hAnsi="Times New Roman" w:cs="Times New Roman"/>
          <w:sz w:val="24"/>
          <w:szCs w:val="24"/>
          <w:lang w:val="es-CR"/>
        </w:rPr>
        <w:t xml:space="preserve">rendimientos presente una forma </w:t>
      </w:r>
      <w:r w:rsidR="00D834EF" w:rsidRPr="00D834EF">
        <w:rPr>
          <w:rFonts w:ascii="Times New Roman" w:hAnsi="Times New Roman" w:cs="Times New Roman"/>
          <w:sz w:val="24"/>
          <w:szCs w:val="24"/>
          <w:lang w:val="es-CR"/>
        </w:rPr>
        <w:t xml:space="preserve">cóncava, es decir </w:t>
      </w:r>
      <w:r w:rsidR="009E58BF">
        <w:rPr>
          <w:rFonts w:ascii="Times New Roman" w:hAnsi="Times New Roman" w:cs="Times New Roman"/>
          <w:sz w:val="24"/>
          <w:szCs w:val="24"/>
          <w:lang w:val="es-CR"/>
        </w:rPr>
        <w:t xml:space="preserve">que </w:t>
      </w:r>
      <w:r w:rsidR="00D834EF" w:rsidRPr="00D834EF">
        <w:rPr>
          <w:rFonts w:ascii="Times New Roman" w:hAnsi="Times New Roman" w:cs="Times New Roman"/>
          <w:sz w:val="24"/>
          <w:szCs w:val="24"/>
          <w:lang w:val="es-CR"/>
        </w:rPr>
        <w:t xml:space="preserve">las tasas de largo plazo </w:t>
      </w:r>
      <w:r w:rsidR="009E58BF">
        <w:rPr>
          <w:rFonts w:ascii="Times New Roman" w:hAnsi="Times New Roman" w:cs="Times New Roman"/>
          <w:sz w:val="24"/>
          <w:szCs w:val="24"/>
          <w:lang w:val="es-CR"/>
        </w:rPr>
        <w:t xml:space="preserve">sean mayores que las de corto plazo lo </w:t>
      </w:r>
      <w:r w:rsidR="00D834EF" w:rsidRPr="00D834EF">
        <w:rPr>
          <w:rFonts w:ascii="Times New Roman" w:hAnsi="Times New Roman" w:cs="Times New Roman"/>
          <w:sz w:val="24"/>
          <w:szCs w:val="24"/>
          <w:lang w:val="es-CR"/>
        </w:rPr>
        <w:t xml:space="preserve">que implica que </w:t>
      </w:r>
      <w:r w:rsidR="009E58BF">
        <w:rPr>
          <w:rFonts w:ascii="Times New Roman" w:hAnsi="Times New Roman" w:cs="Times New Roman"/>
          <w:sz w:val="24"/>
          <w:szCs w:val="24"/>
          <w:lang w:val="es-CR"/>
        </w:rPr>
        <w:t xml:space="preserve">la gráfica de la curva tenga una </w:t>
      </w:r>
      <w:r w:rsidR="00D834EF" w:rsidRPr="00D834EF">
        <w:rPr>
          <w:rFonts w:ascii="Times New Roman" w:hAnsi="Times New Roman" w:cs="Times New Roman"/>
          <w:sz w:val="24"/>
          <w:szCs w:val="24"/>
          <w:lang w:val="es-CR"/>
        </w:rPr>
        <w:t>pendiente positiva.</w:t>
      </w:r>
      <w:r w:rsidR="009E58BF">
        <w:rPr>
          <w:rFonts w:ascii="Times New Roman" w:hAnsi="Times New Roman" w:cs="Times New Roman"/>
          <w:sz w:val="24"/>
          <w:szCs w:val="24"/>
          <w:lang w:val="es-CR"/>
        </w:rPr>
        <w:t xml:space="preserve"> (</w:t>
      </w:r>
      <w:r w:rsidR="00D834EF" w:rsidRPr="00D834EF">
        <w:rPr>
          <w:rFonts w:ascii="Times New Roman" w:hAnsi="Times New Roman" w:cs="Times New Roman"/>
          <w:sz w:val="24"/>
          <w:szCs w:val="24"/>
          <w:lang w:val="es-CR"/>
        </w:rPr>
        <w:t>Ch</w:t>
      </w:r>
      <w:r w:rsidR="009E58BF">
        <w:rPr>
          <w:rFonts w:ascii="Times New Roman" w:hAnsi="Times New Roman" w:cs="Times New Roman"/>
          <w:sz w:val="24"/>
          <w:szCs w:val="24"/>
          <w:lang w:val="es-CR"/>
        </w:rPr>
        <w:t>áverri, F., Neciosup, E., 2017)</w:t>
      </w:r>
    </w:p>
    <w:p w:rsidR="00C60A21" w:rsidRDefault="009E58BF" w:rsidP="00C60A21">
      <w:pPr>
        <w:tabs>
          <w:tab w:val="center" w:pos="4252"/>
        </w:tabs>
        <w:spacing w:line="240" w:lineRule="auto"/>
        <w:jc w:val="both"/>
        <w:rPr>
          <w:rFonts w:ascii="Times New Roman" w:hAnsi="Times New Roman" w:cs="Times New Roman"/>
          <w:sz w:val="24"/>
          <w:szCs w:val="24"/>
          <w:lang w:val="es-CR"/>
        </w:rPr>
      </w:pPr>
      <w:r>
        <w:rPr>
          <w:rFonts w:ascii="Times New Roman" w:hAnsi="Times New Roman" w:cs="Times New Roman"/>
          <w:sz w:val="24"/>
          <w:szCs w:val="24"/>
          <w:lang w:val="es-CR"/>
        </w:rPr>
        <w:t>E</w:t>
      </w:r>
      <w:r w:rsidR="00C60A21" w:rsidRPr="00C60A21">
        <w:rPr>
          <w:rFonts w:ascii="Times New Roman" w:hAnsi="Times New Roman" w:cs="Times New Roman"/>
          <w:sz w:val="24"/>
          <w:szCs w:val="24"/>
          <w:lang w:val="es-CR"/>
        </w:rPr>
        <w:t xml:space="preserve">n los años 2018 y 2019 se dan las mayores tasas en el corto, mediano y largo plazo. </w:t>
      </w:r>
      <w:r w:rsidR="00C60A21">
        <w:rPr>
          <w:rFonts w:ascii="Times New Roman" w:hAnsi="Times New Roman" w:cs="Times New Roman"/>
          <w:sz w:val="24"/>
          <w:szCs w:val="24"/>
          <w:lang w:val="es-CR"/>
        </w:rPr>
        <w:t>Mientras que en e</w:t>
      </w:r>
      <w:r w:rsidR="00C60A21" w:rsidRPr="00C60A21">
        <w:rPr>
          <w:rFonts w:ascii="Times New Roman" w:hAnsi="Times New Roman" w:cs="Times New Roman"/>
          <w:sz w:val="24"/>
          <w:szCs w:val="24"/>
          <w:lang w:val="es-CR"/>
        </w:rPr>
        <w:t xml:space="preserve">l 2020 </w:t>
      </w:r>
      <w:r w:rsidR="00C60A21">
        <w:rPr>
          <w:rFonts w:ascii="Times New Roman" w:hAnsi="Times New Roman" w:cs="Times New Roman"/>
          <w:sz w:val="24"/>
          <w:szCs w:val="24"/>
          <w:lang w:val="es-CR"/>
        </w:rPr>
        <w:t xml:space="preserve">se tienen </w:t>
      </w:r>
      <w:r w:rsidR="00C60A21" w:rsidRPr="00C60A21">
        <w:rPr>
          <w:rFonts w:ascii="Times New Roman" w:hAnsi="Times New Roman" w:cs="Times New Roman"/>
          <w:sz w:val="24"/>
          <w:szCs w:val="24"/>
          <w:lang w:val="es-CR"/>
        </w:rPr>
        <w:t>las tasas más bajas</w:t>
      </w:r>
      <w:r w:rsidR="00C60A21">
        <w:rPr>
          <w:rFonts w:ascii="Times New Roman" w:hAnsi="Times New Roman" w:cs="Times New Roman"/>
          <w:sz w:val="24"/>
          <w:szCs w:val="24"/>
          <w:lang w:val="es-CR"/>
        </w:rPr>
        <w:t>.</w:t>
      </w:r>
      <w:r w:rsidR="008809D0">
        <w:rPr>
          <w:rFonts w:ascii="Times New Roman" w:hAnsi="Times New Roman" w:cs="Times New Roman"/>
          <w:sz w:val="24"/>
          <w:szCs w:val="24"/>
          <w:lang w:val="es-CR"/>
        </w:rPr>
        <w:t xml:space="preserve"> </w:t>
      </w:r>
      <w:r w:rsidR="008809D0" w:rsidRPr="008809D0">
        <w:rPr>
          <w:rFonts w:ascii="Times New Roman" w:hAnsi="Times New Roman" w:cs="Times New Roman"/>
          <w:sz w:val="24"/>
          <w:szCs w:val="24"/>
          <w:highlight w:val="yellow"/>
          <w:lang w:val="es-CR"/>
        </w:rPr>
        <w:t>(buscar bibliografía</w:t>
      </w:r>
      <w:r w:rsidR="007866B1">
        <w:rPr>
          <w:rFonts w:ascii="Times New Roman" w:hAnsi="Times New Roman" w:cs="Times New Roman"/>
          <w:sz w:val="24"/>
          <w:szCs w:val="24"/>
          <w:highlight w:val="yellow"/>
          <w:lang w:val="es-CR"/>
        </w:rPr>
        <w:t xml:space="preserve"> del PIB , Inflacion</w:t>
      </w:r>
      <w:r w:rsidR="008809D0" w:rsidRPr="008809D0">
        <w:rPr>
          <w:rFonts w:ascii="Times New Roman" w:hAnsi="Times New Roman" w:cs="Times New Roman"/>
          <w:sz w:val="24"/>
          <w:szCs w:val="24"/>
          <w:highlight w:val="yellow"/>
          <w:lang w:val="es-CR"/>
        </w:rPr>
        <w:t>)</w:t>
      </w:r>
    </w:p>
    <w:p w:rsidR="00312D7B" w:rsidRPr="00312D7B" w:rsidRDefault="00312D7B" w:rsidP="00312D7B">
      <w:pPr>
        <w:tabs>
          <w:tab w:val="center" w:pos="4252"/>
        </w:tabs>
        <w:spacing w:line="240" w:lineRule="auto"/>
        <w:jc w:val="both"/>
        <w:rPr>
          <w:rFonts w:ascii="Times New Roman" w:hAnsi="Times New Roman" w:cs="Times New Roman"/>
          <w:sz w:val="24"/>
          <w:szCs w:val="24"/>
          <w:lang w:val="es-CR"/>
        </w:rPr>
      </w:pPr>
      <w:r w:rsidRPr="00312D7B">
        <w:rPr>
          <w:rFonts w:ascii="Times New Roman" w:hAnsi="Times New Roman" w:cs="Times New Roman"/>
          <w:sz w:val="24"/>
          <w:szCs w:val="24"/>
          <w:lang w:val="es-CR"/>
        </w:rPr>
        <w:t>A lo largo del año 2018, la situación fiscal se caracterizó por el aumento d</w:t>
      </w:r>
      <w:r>
        <w:rPr>
          <w:rFonts w:ascii="Times New Roman" w:hAnsi="Times New Roman" w:cs="Times New Roman"/>
          <w:sz w:val="24"/>
          <w:szCs w:val="24"/>
          <w:lang w:val="es-CR"/>
        </w:rPr>
        <w:t xml:space="preserve">e la brecha entre </w:t>
      </w:r>
      <w:r w:rsidRPr="00312D7B">
        <w:rPr>
          <w:rFonts w:ascii="Times New Roman" w:hAnsi="Times New Roman" w:cs="Times New Roman"/>
          <w:sz w:val="24"/>
          <w:szCs w:val="24"/>
          <w:lang w:val="es-CR"/>
        </w:rPr>
        <w:t>ingresos y gastos, lo que se agravó por un ambiente de incertidum</w:t>
      </w:r>
      <w:r>
        <w:rPr>
          <w:rFonts w:ascii="Times New Roman" w:hAnsi="Times New Roman" w:cs="Times New Roman"/>
          <w:sz w:val="24"/>
          <w:szCs w:val="24"/>
          <w:lang w:val="es-CR"/>
        </w:rPr>
        <w:t xml:space="preserve">bre debido a la discusión en la </w:t>
      </w:r>
      <w:r w:rsidRPr="00312D7B">
        <w:rPr>
          <w:rFonts w:ascii="Times New Roman" w:hAnsi="Times New Roman" w:cs="Times New Roman"/>
          <w:sz w:val="24"/>
          <w:szCs w:val="24"/>
          <w:lang w:val="es-CR"/>
        </w:rPr>
        <w:t>Asamblea Legislativa del proyecto Ley de Fortalecimiento de las Finanzas Públicas.</w:t>
      </w:r>
      <w:r>
        <w:rPr>
          <w:rFonts w:ascii="Times New Roman" w:hAnsi="Times New Roman" w:cs="Times New Roman"/>
          <w:sz w:val="24"/>
          <w:szCs w:val="24"/>
          <w:lang w:val="es-CR"/>
        </w:rPr>
        <w:t xml:space="preserve"> (</w:t>
      </w: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orme Estado de la Nación</w:t>
      </w:r>
      <w:r>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2019).</w:t>
      </w:r>
    </w:p>
    <w:p w:rsidR="00312D7B" w:rsidRDefault="00312D7B" w:rsidP="00C60A21">
      <w:pPr>
        <w:tabs>
          <w:tab w:val="center" w:pos="4252"/>
        </w:tabs>
        <w:spacing w:line="240" w:lineRule="auto"/>
        <w:jc w:val="both"/>
        <w:rPr>
          <w:rFonts w:ascii="Times New Roman" w:hAnsi="Times New Roman" w:cs="Times New Roman"/>
          <w:sz w:val="24"/>
          <w:szCs w:val="24"/>
          <w:lang w:val="es-CR"/>
        </w:rPr>
      </w:pPr>
    </w:p>
    <w:p w:rsidR="00312D7B" w:rsidRPr="00C60A21" w:rsidRDefault="00312D7B" w:rsidP="00C60A21">
      <w:pPr>
        <w:tabs>
          <w:tab w:val="center" w:pos="4252"/>
        </w:tabs>
        <w:spacing w:line="240" w:lineRule="auto"/>
        <w:jc w:val="both"/>
        <w:rPr>
          <w:rFonts w:ascii="Times New Roman" w:hAnsi="Times New Roman" w:cs="Times New Roman"/>
          <w:sz w:val="24"/>
          <w:szCs w:val="24"/>
          <w:lang w:val="es-CR"/>
        </w:rPr>
      </w:pPr>
    </w:p>
    <w:p w:rsidR="0091786D" w:rsidRDefault="00C60A21" w:rsidP="0091786D">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sz w:val="24"/>
          <w:szCs w:val="24"/>
          <w:lang w:val="es-CR"/>
        </w:rPr>
        <w:t>L</w:t>
      </w:r>
      <w:r w:rsidRPr="00C60A21">
        <w:rPr>
          <w:rFonts w:ascii="Times New Roman" w:hAnsi="Times New Roman" w:cs="Times New Roman"/>
          <w:sz w:val="24"/>
          <w:szCs w:val="24"/>
          <w:lang w:val="es-CR"/>
        </w:rPr>
        <w:t>os primeros tres componentes principales explican el 99.4% de la variancia total, donde el desplazamiento paralelo y la pendiente de la curva tienen la mayor participación en la exp</w:t>
      </w:r>
      <w:r>
        <w:rPr>
          <w:rFonts w:ascii="Times New Roman" w:hAnsi="Times New Roman" w:cs="Times New Roman"/>
          <w:sz w:val="24"/>
          <w:szCs w:val="24"/>
          <w:lang w:val="es-CR"/>
        </w:rPr>
        <w:t>licación de la variabilidad (</w:t>
      </w:r>
      <w:r w:rsidRPr="00C60A21">
        <w:rPr>
          <w:rFonts w:ascii="Times New Roman" w:hAnsi="Times New Roman" w:cs="Times New Roman"/>
          <w:sz w:val="24"/>
          <w:szCs w:val="24"/>
          <w:lang w:val="es-CR"/>
        </w:rPr>
        <w:t>98.3%</w:t>
      </w:r>
      <w:r>
        <w:rPr>
          <w:rFonts w:ascii="Times New Roman" w:hAnsi="Times New Roman" w:cs="Times New Roman"/>
          <w:sz w:val="24"/>
          <w:szCs w:val="24"/>
          <w:lang w:val="es-CR"/>
        </w:rPr>
        <w:t>), 92.7% y 5.6% respectivamente</w:t>
      </w:r>
      <w:r w:rsidRPr="00C60A21">
        <w:rPr>
          <w:rFonts w:ascii="Times New Roman" w:hAnsi="Times New Roman" w:cs="Times New Roman"/>
          <w:sz w:val="24"/>
          <w:szCs w:val="24"/>
          <w:lang w:val="es-CR"/>
        </w:rPr>
        <w:t>.</w:t>
      </w:r>
      <w:r w:rsidR="00FA52B8">
        <w:rPr>
          <w:rFonts w:ascii="Times New Roman" w:hAnsi="Times New Roman" w:cs="Times New Roman"/>
          <w:sz w:val="24"/>
          <w:szCs w:val="24"/>
          <w:lang w:val="es-CR"/>
        </w:rPr>
        <w:t xml:space="preserve"> </w:t>
      </w:r>
      <w:r w:rsidR="007866B1">
        <w:rPr>
          <w:rFonts w:ascii="Times New Roman" w:hAnsi="Times New Roman" w:cs="Times New Roman"/>
          <w:sz w:val="24"/>
          <w:szCs w:val="24"/>
          <w:lang w:val="es-CR"/>
        </w:rPr>
        <w:t xml:space="preserve">Dichos resultados fueron similares en otros artículos consultados donde se puede mencionar el obtenido por </w:t>
      </w:r>
      <w:r w:rsidR="007866B1" w:rsidRPr="00D834EF">
        <w:rPr>
          <w:rFonts w:ascii="Times New Roman" w:hAnsi="Times New Roman" w:cs="Times New Roman"/>
          <w:sz w:val="24"/>
          <w:szCs w:val="24"/>
          <w:lang w:val="es-CR"/>
        </w:rPr>
        <w:t>Ch</w:t>
      </w:r>
      <w:r w:rsidR="007866B1">
        <w:rPr>
          <w:rFonts w:ascii="Times New Roman" w:hAnsi="Times New Roman" w:cs="Times New Roman"/>
          <w:sz w:val="24"/>
          <w:szCs w:val="24"/>
          <w:lang w:val="es-CR"/>
        </w:rPr>
        <w:t xml:space="preserve">áverri et al (2017) para la curva </w:t>
      </w:r>
      <w:r w:rsidR="007866B1" w:rsidRPr="00CB0966">
        <w:rPr>
          <w:rFonts w:ascii="Times New Roman" w:hAnsi="Times New Roman" w:cs="Times New Roman"/>
          <w:sz w:val="24"/>
          <w:szCs w:val="24"/>
          <w:lang w:val="es-CR"/>
        </w:rPr>
        <w:t>cupón cero de los bonos del gobierno peruano</w:t>
      </w:r>
      <w:r w:rsidR="007866B1">
        <w:rPr>
          <w:rFonts w:ascii="Times New Roman" w:hAnsi="Times New Roman" w:cs="Times New Roman"/>
          <w:sz w:val="24"/>
          <w:szCs w:val="24"/>
          <w:lang w:val="es-CR"/>
        </w:rPr>
        <w:t xml:space="preserve">, en el ACP obtuvieron </w:t>
      </w:r>
      <w:r w:rsidR="007866B1" w:rsidRPr="00CB0966">
        <w:rPr>
          <w:rFonts w:ascii="Times New Roman" w:hAnsi="Times New Roman" w:cs="Times New Roman"/>
          <w:sz w:val="24"/>
          <w:szCs w:val="24"/>
          <w:lang w:val="es-CR"/>
        </w:rPr>
        <w:t>que los tres primeros componentes explica</w:t>
      </w:r>
      <w:r w:rsidR="007866B1">
        <w:rPr>
          <w:rFonts w:ascii="Times New Roman" w:hAnsi="Times New Roman" w:cs="Times New Roman"/>
          <w:sz w:val="24"/>
          <w:szCs w:val="24"/>
          <w:lang w:val="es-CR"/>
        </w:rPr>
        <w:t xml:space="preserve">n el 97% de la variación en los </w:t>
      </w:r>
      <w:r w:rsidR="007866B1" w:rsidRPr="00CB0966">
        <w:rPr>
          <w:rFonts w:ascii="Times New Roman" w:hAnsi="Times New Roman" w:cs="Times New Roman"/>
          <w:sz w:val="24"/>
          <w:szCs w:val="24"/>
          <w:lang w:val="es-CR"/>
        </w:rPr>
        <w:t>rendimientos</w:t>
      </w:r>
      <w:r w:rsidR="007866B1">
        <w:rPr>
          <w:rFonts w:ascii="Times New Roman" w:hAnsi="Times New Roman" w:cs="Times New Roman"/>
          <w:sz w:val="24"/>
          <w:szCs w:val="24"/>
          <w:lang w:val="es-CR"/>
        </w:rPr>
        <w:t>, del cual el primer componente explica el 86.5%.</w:t>
      </w:r>
      <w:r w:rsidR="00FA52B8">
        <w:rPr>
          <w:rFonts w:ascii="Times New Roman" w:hAnsi="Times New Roman" w:cs="Times New Roman"/>
          <w:sz w:val="24"/>
          <w:szCs w:val="24"/>
          <w:lang w:val="es-CR"/>
        </w:rPr>
        <w:t xml:space="preserve"> </w:t>
      </w:r>
      <w:r w:rsidR="00796D97">
        <w:rPr>
          <w:rFonts w:ascii="Times New Roman" w:hAnsi="Times New Roman" w:cs="Times New Roman"/>
          <w:sz w:val="24"/>
          <w:szCs w:val="24"/>
          <w:lang w:val="es-CR"/>
        </w:rPr>
        <w:t>Además,</w:t>
      </w:r>
      <w:r w:rsidR="00D643D7">
        <w:rPr>
          <w:rFonts w:ascii="Times New Roman" w:hAnsi="Times New Roman" w:cs="Times New Roman"/>
          <w:sz w:val="24"/>
          <w:szCs w:val="24"/>
          <w:lang w:val="es-CR"/>
        </w:rPr>
        <w:t xml:space="preserve"> Benítez</w:t>
      </w:r>
      <w:r w:rsidR="00D643D7">
        <w:rPr>
          <w:rFonts w:ascii="Times New Roman" w:hAnsi="Times New Roman" w:cs="Times New Roman"/>
          <w:bCs/>
          <w:iCs/>
          <w:sz w:val="24"/>
          <w:szCs w:val="24"/>
          <w:lang w:val="es-CR"/>
        </w:rPr>
        <w:t xml:space="preserve"> (2008) obtuvo para la curva</w:t>
      </w:r>
      <w:r w:rsidR="00796D97">
        <w:rPr>
          <w:rFonts w:ascii="Times New Roman" w:hAnsi="Times New Roman" w:cs="Times New Roman"/>
          <w:bCs/>
          <w:iCs/>
          <w:sz w:val="24"/>
          <w:szCs w:val="24"/>
          <w:lang w:val="es-CR"/>
        </w:rPr>
        <w:t xml:space="preserve"> de rendimiento para los bonos cupón cero de </w:t>
      </w:r>
      <w:r w:rsidR="00FA52B8">
        <w:rPr>
          <w:rFonts w:ascii="Times New Roman" w:hAnsi="Times New Roman" w:cs="Times New Roman"/>
          <w:bCs/>
          <w:iCs/>
          <w:sz w:val="24"/>
          <w:szCs w:val="24"/>
          <w:lang w:val="es-CR"/>
        </w:rPr>
        <w:t>México</w:t>
      </w:r>
      <w:r w:rsidR="00D643D7">
        <w:rPr>
          <w:rFonts w:ascii="Times New Roman" w:hAnsi="Times New Roman" w:cs="Times New Roman"/>
          <w:bCs/>
          <w:iCs/>
          <w:sz w:val="24"/>
          <w:szCs w:val="24"/>
          <w:lang w:val="es-CR"/>
        </w:rPr>
        <w:t xml:space="preserve"> que los primeros tres componentes explican el 99.9% de la variabilidad, 97.9% para el primer factor, 1.9% para el segundo y 0.1% para el tercer </w:t>
      </w:r>
      <w:r w:rsidR="00FA52B8">
        <w:rPr>
          <w:rFonts w:ascii="Times New Roman" w:hAnsi="Times New Roman" w:cs="Times New Roman"/>
          <w:bCs/>
          <w:iCs/>
          <w:sz w:val="24"/>
          <w:szCs w:val="24"/>
          <w:lang w:val="es-CR"/>
        </w:rPr>
        <w:t>factor y</w:t>
      </w:r>
      <w:r w:rsidR="00796D97">
        <w:rPr>
          <w:rFonts w:ascii="Times New Roman" w:hAnsi="Times New Roman" w:cs="Times New Roman"/>
          <w:bCs/>
          <w:iCs/>
          <w:sz w:val="24"/>
          <w:szCs w:val="24"/>
          <w:lang w:val="es-CR"/>
        </w:rPr>
        <w:t xml:space="preserve"> se menciona que cambios </w:t>
      </w:r>
      <w:r w:rsidR="00FA52B8">
        <w:rPr>
          <w:rFonts w:ascii="Times New Roman" w:hAnsi="Times New Roman" w:cs="Times New Roman"/>
          <w:bCs/>
          <w:iCs/>
          <w:sz w:val="24"/>
          <w:szCs w:val="24"/>
          <w:lang w:val="es-CR"/>
        </w:rPr>
        <w:t>en el tercer componente</w:t>
      </w:r>
      <w:r w:rsidR="00796D97">
        <w:rPr>
          <w:rFonts w:ascii="Times New Roman" w:hAnsi="Times New Roman" w:cs="Times New Roman"/>
          <w:bCs/>
          <w:iCs/>
          <w:sz w:val="24"/>
          <w:szCs w:val="24"/>
          <w:lang w:val="es-CR"/>
        </w:rPr>
        <w:t xml:space="preserve"> se asocian a cambios en la volatilidad</w:t>
      </w:r>
      <w:r w:rsidR="00FA52B8">
        <w:rPr>
          <w:rFonts w:ascii="Times New Roman" w:hAnsi="Times New Roman" w:cs="Times New Roman"/>
          <w:bCs/>
          <w:iCs/>
          <w:sz w:val="24"/>
          <w:szCs w:val="24"/>
          <w:lang w:val="es-CR"/>
        </w:rPr>
        <w:t>.</w:t>
      </w:r>
      <w:r w:rsidR="0091786D">
        <w:rPr>
          <w:rFonts w:ascii="Times New Roman" w:hAnsi="Times New Roman" w:cs="Times New Roman"/>
          <w:bCs/>
          <w:iCs/>
          <w:sz w:val="24"/>
          <w:szCs w:val="24"/>
          <w:lang w:val="es-CR"/>
        </w:rPr>
        <w:t xml:space="preserve"> </w:t>
      </w:r>
      <w:r w:rsidR="0091786D" w:rsidRPr="0091786D">
        <w:rPr>
          <w:rFonts w:ascii="Times New Roman" w:hAnsi="Times New Roman" w:cs="Times New Roman"/>
          <w:bCs/>
          <w:iCs/>
          <w:sz w:val="24"/>
          <w:szCs w:val="24"/>
          <w:lang w:val="es-CR"/>
        </w:rPr>
        <w:t>N</w:t>
      </w:r>
      <w:r w:rsidR="0091786D">
        <w:rPr>
          <w:rFonts w:ascii="Times New Roman" w:hAnsi="Times New Roman" w:cs="Times New Roman"/>
          <w:bCs/>
          <w:iCs/>
          <w:sz w:val="24"/>
          <w:szCs w:val="24"/>
          <w:lang w:val="es-CR"/>
        </w:rPr>
        <w:t>úñez et al</w:t>
      </w:r>
      <w:r w:rsidR="0091786D" w:rsidRPr="0091786D">
        <w:rPr>
          <w:rFonts w:ascii="Times New Roman" w:hAnsi="Times New Roman" w:cs="Times New Roman"/>
          <w:bCs/>
          <w:iCs/>
          <w:sz w:val="24"/>
          <w:szCs w:val="24"/>
          <w:lang w:val="es-CR"/>
        </w:rPr>
        <w:t xml:space="preserve"> (2011)</w:t>
      </w:r>
      <w:r w:rsidR="0091786D">
        <w:rPr>
          <w:rFonts w:ascii="Times New Roman" w:hAnsi="Times New Roman" w:cs="Times New Roman"/>
          <w:bCs/>
          <w:iCs/>
          <w:sz w:val="24"/>
          <w:szCs w:val="24"/>
          <w:lang w:val="es-CR"/>
        </w:rPr>
        <w:t xml:space="preserve"> analiza las tasas de interés en Mexico para los cambios diarios en elperiodo 2002 al 2009 obtuvieron </w:t>
      </w:r>
      <w:r w:rsidR="0091786D" w:rsidRPr="0091786D">
        <w:rPr>
          <w:rFonts w:ascii="Times New Roman" w:hAnsi="Times New Roman" w:cs="Times New Roman"/>
          <w:bCs/>
          <w:iCs/>
          <w:sz w:val="24"/>
          <w:szCs w:val="24"/>
          <w:lang w:val="es-CR"/>
        </w:rPr>
        <w:t xml:space="preserve">que el primer componente </w:t>
      </w:r>
      <w:r w:rsidR="0091786D">
        <w:rPr>
          <w:rFonts w:ascii="Times New Roman" w:hAnsi="Times New Roman" w:cs="Times New Roman"/>
          <w:bCs/>
          <w:iCs/>
          <w:sz w:val="24"/>
          <w:szCs w:val="24"/>
          <w:lang w:val="es-CR"/>
        </w:rPr>
        <w:t xml:space="preserve">explica el 68.2%, el segundo el </w:t>
      </w:r>
      <w:r w:rsidR="0091786D" w:rsidRPr="0091786D">
        <w:rPr>
          <w:rFonts w:ascii="Times New Roman" w:hAnsi="Times New Roman" w:cs="Times New Roman"/>
          <w:bCs/>
          <w:iCs/>
          <w:sz w:val="24"/>
          <w:szCs w:val="24"/>
          <w:lang w:val="es-CR"/>
        </w:rPr>
        <w:t>27.6% y el tercero</w:t>
      </w:r>
      <w:r w:rsidR="0091786D">
        <w:rPr>
          <w:rFonts w:ascii="Times New Roman" w:hAnsi="Times New Roman" w:cs="Times New Roman"/>
          <w:bCs/>
          <w:iCs/>
          <w:sz w:val="24"/>
          <w:szCs w:val="24"/>
          <w:lang w:val="es-CR"/>
        </w:rPr>
        <w:t xml:space="preserve"> el 2.3%, en conjunto </w:t>
      </w:r>
      <w:r w:rsidR="0091786D" w:rsidRPr="0091786D">
        <w:rPr>
          <w:rFonts w:ascii="Times New Roman" w:hAnsi="Times New Roman" w:cs="Times New Roman"/>
          <w:bCs/>
          <w:iCs/>
          <w:sz w:val="24"/>
          <w:szCs w:val="24"/>
          <w:lang w:val="es-CR"/>
        </w:rPr>
        <w:t>explican el 98.1</w:t>
      </w:r>
      <w:r w:rsidR="0091786D">
        <w:rPr>
          <w:rFonts w:ascii="Times New Roman" w:hAnsi="Times New Roman" w:cs="Times New Roman"/>
          <w:bCs/>
          <w:iCs/>
          <w:sz w:val="24"/>
          <w:szCs w:val="24"/>
          <w:lang w:val="es-CR"/>
        </w:rPr>
        <w:t>%</w:t>
      </w:r>
      <w:r w:rsidR="0091786D" w:rsidRPr="0091786D">
        <w:rPr>
          <w:rFonts w:ascii="Times New Roman" w:hAnsi="Times New Roman" w:cs="Times New Roman"/>
          <w:bCs/>
          <w:iCs/>
          <w:sz w:val="24"/>
          <w:szCs w:val="24"/>
          <w:lang w:val="es-CR"/>
        </w:rPr>
        <w:t xml:space="preserve"> de la varianza total.</w:t>
      </w:r>
    </w:p>
    <w:p w:rsidR="0091786D" w:rsidRDefault="008E6A9D" w:rsidP="00D643D7">
      <w:pPr>
        <w:tabs>
          <w:tab w:val="center" w:pos="4252"/>
        </w:tabs>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El indicador se construyó a partir de los tres primeros componentes usando la suma ponderada</w:t>
      </w:r>
      <w:r w:rsidR="003E6498">
        <w:rPr>
          <w:rFonts w:ascii="Times New Roman" w:hAnsi="Times New Roman" w:cs="Times New Roman"/>
          <w:bCs/>
          <w:iCs/>
          <w:sz w:val="24"/>
          <w:szCs w:val="24"/>
          <w:lang w:val="es-CR"/>
        </w:rPr>
        <w:t>,</w:t>
      </w:r>
      <w:r>
        <w:rPr>
          <w:rFonts w:ascii="Times New Roman" w:hAnsi="Times New Roman" w:cs="Times New Roman"/>
          <w:bCs/>
          <w:iCs/>
          <w:sz w:val="24"/>
          <w:szCs w:val="24"/>
          <w:lang w:val="es-CR"/>
        </w:rPr>
        <w:t xml:space="preserve"> </w:t>
      </w:r>
      <w:r w:rsidR="003E6498">
        <w:rPr>
          <w:rFonts w:ascii="Times New Roman" w:hAnsi="Times New Roman" w:cs="Times New Roman"/>
          <w:bCs/>
          <w:iCs/>
          <w:sz w:val="24"/>
          <w:szCs w:val="24"/>
          <w:lang w:val="es-CR"/>
        </w:rPr>
        <w:t>donde se utilizó como ponderadores la proporción de variancia explicada de cada componente, según Domínguez et al (2011) esta es una de los métodos que se pueden utilizar al construir indicadores con componentes principales.</w:t>
      </w:r>
    </w:p>
    <w:p w:rsidR="0091786D" w:rsidRDefault="0091786D" w:rsidP="00D643D7">
      <w:pPr>
        <w:tabs>
          <w:tab w:val="center" w:pos="4252"/>
        </w:tabs>
        <w:spacing w:line="240" w:lineRule="auto"/>
        <w:jc w:val="both"/>
        <w:rPr>
          <w:rFonts w:ascii="Times New Roman" w:hAnsi="Times New Roman" w:cs="Times New Roman"/>
          <w:sz w:val="24"/>
          <w:szCs w:val="24"/>
          <w:lang w:val="es-CR"/>
        </w:rPr>
      </w:pPr>
    </w:p>
    <w:p w:rsidR="00D643D7" w:rsidRPr="003649E6" w:rsidRDefault="003649E6" w:rsidP="00D643D7">
      <w:pPr>
        <w:tabs>
          <w:tab w:val="center" w:pos="4252"/>
        </w:tabs>
        <w:spacing w:line="240" w:lineRule="auto"/>
        <w:rPr>
          <w:rFonts w:ascii="Times New Roman" w:hAnsi="Times New Roman" w:cs="Times New Roman"/>
          <w:sz w:val="24"/>
          <w:szCs w:val="24"/>
          <w:lang w:val="es-CR"/>
        </w:rPr>
      </w:pPr>
      <w:r>
        <w:rPr>
          <w:rFonts w:ascii="Times New Roman" w:hAnsi="Times New Roman" w:cs="Times New Roman"/>
          <w:sz w:val="24"/>
          <w:szCs w:val="24"/>
          <w:highlight w:val="yellow"/>
          <w:lang w:val="es-CR"/>
        </w:rPr>
        <w:t xml:space="preserve">Falta lo </w:t>
      </w:r>
      <w:r w:rsidR="003E6498">
        <w:rPr>
          <w:rFonts w:ascii="Times New Roman" w:hAnsi="Times New Roman" w:cs="Times New Roman"/>
          <w:sz w:val="24"/>
          <w:szCs w:val="24"/>
          <w:highlight w:val="yellow"/>
          <w:lang w:val="es-CR"/>
        </w:rPr>
        <w:t xml:space="preserve">calibrcion y validación </w:t>
      </w:r>
      <w:r>
        <w:rPr>
          <w:rFonts w:ascii="Times New Roman" w:hAnsi="Times New Roman" w:cs="Times New Roman"/>
          <w:sz w:val="24"/>
          <w:szCs w:val="24"/>
          <w:highlight w:val="yellow"/>
          <w:lang w:val="es-CR"/>
        </w:rPr>
        <w:t xml:space="preserve">del </w:t>
      </w:r>
      <w:r w:rsidRPr="003649E6">
        <w:rPr>
          <w:rFonts w:ascii="Times New Roman" w:hAnsi="Times New Roman" w:cs="Times New Roman"/>
          <w:sz w:val="24"/>
          <w:szCs w:val="24"/>
          <w:highlight w:val="yellow"/>
          <w:lang w:val="es-CR"/>
        </w:rPr>
        <w:t>indicador</w:t>
      </w:r>
    </w:p>
    <w:p w:rsidR="00D643D7" w:rsidRDefault="00D643D7"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91786D" w:rsidRDefault="0091786D" w:rsidP="00D643D7">
      <w:pPr>
        <w:tabs>
          <w:tab w:val="center" w:pos="4252"/>
        </w:tabs>
        <w:spacing w:line="240" w:lineRule="auto"/>
        <w:rPr>
          <w:rFonts w:ascii="Times New Roman" w:hAnsi="Times New Roman" w:cs="Times New Roman"/>
          <w:sz w:val="24"/>
          <w:szCs w:val="24"/>
          <w:lang w:val="es-CR"/>
        </w:rPr>
      </w:pPr>
    </w:p>
    <w:p w:rsidR="004A65C5" w:rsidRDefault="004A65C5" w:rsidP="00D643D7">
      <w:pPr>
        <w:tabs>
          <w:tab w:val="center" w:pos="4252"/>
        </w:tabs>
        <w:spacing w:line="240" w:lineRule="auto"/>
        <w:rPr>
          <w:rFonts w:ascii="Times New Roman" w:hAnsi="Times New Roman" w:cs="Times New Roman"/>
          <w:sz w:val="24"/>
          <w:szCs w:val="24"/>
          <w:lang w:val="es-CR"/>
        </w:rPr>
      </w:pPr>
      <w:bookmarkStart w:id="0" w:name="_GoBack"/>
      <w:bookmarkEnd w:id="0"/>
    </w:p>
    <w:p w:rsidR="00301F36" w:rsidRPr="0091786D" w:rsidRDefault="00301F36" w:rsidP="00D643D7">
      <w:pPr>
        <w:tabs>
          <w:tab w:val="center" w:pos="4252"/>
        </w:tabs>
        <w:spacing w:line="240" w:lineRule="auto"/>
        <w:rPr>
          <w:rFonts w:ascii="Times New Roman" w:hAnsi="Times New Roman" w:cs="Times New Roman"/>
          <w:sz w:val="24"/>
          <w:szCs w:val="24"/>
          <w:lang w:val="es-CR"/>
        </w:rPr>
      </w:pPr>
    </w:p>
    <w:p w:rsidR="005B10DA" w:rsidRPr="00463D61" w:rsidRDefault="00CE6E78" w:rsidP="00D96501">
      <w:pPr>
        <w:pStyle w:val="Prrafodelista"/>
        <w:numPr>
          <w:ilvl w:val="0"/>
          <w:numId w:val="19"/>
        </w:numPr>
        <w:tabs>
          <w:tab w:val="center" w:pos="4252"/>
        </w:tabs>
        <w:spacing w:line="240" w:lineRule="auto"/>
        <w:rPr>
          <w:rFonts w:ascii="Times New Roman" w:hAnsi="Times New Roman" w:cs="Times New Roman"/>
          <w:b/>
          <w:sz w:val="24"/>
          <w:szCs w:val="24"/>
          <w:lang w:val="es-CR"/>
        </w:rPr>
      </w:pPr>
      <w:r w:rsidRPr="00463D61">
        <w:rPr>
          <w:rFonts w:ascii="Times New Roman" w:hAnsi="Times New Roman" w:cs="Times New Roman"/>
          <w:b/>
          <w:sz w:val="24"/>
          <w:szCs w:val="24"/>
          <w:lang w:val="es-CR"/>
        </w:rPr>
        <w:t>BIBLIOGRAFÍA</w:t>
      </w:r>
    </w:p>
    <w:p w:rsidR="004A65C5" w:rsidRDefault="004A65C5" w:rsidP="00D834EF">
      <w:pPr>
        <w:spacing w:line="240" w:lineRule="auto"/>
        <w:jc w:val="both"/>
        <w:rPr>
          <w:rFonts w:ascii="Times New Roman" w:hAnsi="Times New Roman" w:cs="Times New Roman"/>
          <w:bCs/>
          <w:iCs/>
          <w:sz w:val="24"/>
          <w:szCs w:val="24"/>
          <w:lang w:val="es-CR"/>
        </w:rPr>
      </w:pPr>
    </w:p>
    <w:p w:rsidR="004A65C5" w:rsidRDefault="004A65C5"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BCCR. (2020). Informe de Política Monetaria. </w:t>
      </w:r>
    </w:p>
    <w:p w:rsidR="007866B1" w:rsidRDefault="00D643D7"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Benítez, J. (2008). </w:t>
      </w:r>
      <w:r w:rsidR="007866B1" w:rsidRPr="00D643D7">
        <w:rPr>
          <w:rFonts w:ascii="Times New Roman" w:hAnsi="Times New Roman" w:cs="Times New Roman"/>
          <w:bCs/>
          <w:i/>
          <w:iCs/>
          <w:sz w:val="24"/>
          <w:szCs w:val="24"/>
          <w:lang w:val="es-CR"/>
        </w:rPr>
        <w:t xml:space="preserve">Estimación de la curva de rendimiento mexicana utilizando el modelo de componentes principales y el modelo de </w:t>
      </w:r>
      <w:r w:rsidRPr="00D643D7">
        <w:rPr>
          <w:rFonts w:ascii="Times New Roman" w:hAnsi="Times New Roman" w:cs="Times New Roman"/>
          <w:bCs/>
          <w:i/>
          <w:iCs/>
          <w:sz w:val="24"/>
          <w:szCs w:val="24"/>
          <w:lang w:val="es-CR"/>
        </w:rPr>
        <w:t>Diebold-L</w:t>
      </w:r>
      <w:r w:rsidR="007866B1" w:rsidRPr="00D643D7">
        <w:rPr>
          <w:rFonts w:ascii="Times New Roman" w:hAnsi="Times New Roman" w:cs="Times New Roman"/>
          <w:bCs/>
          <w:i/>
          <w:iCs/>
          <w:sz w:val="24"/>
          <w:szCs w:val="24"/>
          <w:lang w:val="es-CR"/>
        </w:rPr>
        <w:t>i</w:t>
      </w:r>
      <w:r>
        <w:rPr>
          <w:rFonts w:ascii="Times New Roman" w:hAnsi="Times New Roman" w:cs="Times New Roman"/>
          <w:bCs/>
          <w:iCs/>
          <w:sz w:val="24"/>
          <w:szCs w:val="24"/>
          <w:lang w:val="es-CR"/>
        </w:rPr>
        <w:t xml:space="preserve"> [Tesis para optar por el grado de Doctorado en A</w:t>
      </w:r>
      <w:r w:rsidRPr="00D643D7">
        <w:rPr>
          <w:rFonts w:ascii="Times New Roman" w:hAnsi="Times New Roman" w:cs="Times New Roman"/>
          <w:bCs/>
          <w:iCs/>
          <w:sz w:val="24"/>
          <w:szCs w:val="24"/>
          <w:lang w:val="es-CR"/>
        </w:rPr>
        <w:t>dministración</w:t>
      </w:r>
      <w:r>
        <w:rPr>
          <w:rFonts w:ascii="Times New Roman" w:hAnsi="Times New Roman" w:cs="Times New Roman"/>
          <w:bCs/>
          <w:iCs/>
          <w:sz w:val="24"/>
          <w:szCs w:val="24"/>
          <w:lang w:val="es-CR"/>
        </w:rPr>
        <w:t>]. Instituto T</w:t>
      </w:r>
      <w:r w:rsidRPr="00D643D7">
        <w:rPr>
          <w:rFonts w:ascii="Times New Roman" w:hAnsi="Times New Roman" w:cs="Times New Roman"/>
          <w:bCs/>
          <w:iCs/>
          <w:sz w:val="24"/>
          <w:szCs w:val="24"/>
          <w:lang w:val="es-CR"/>
        </w:rPr>
        <w:t>ecno</w:t>
      </w:r>
      <w:r>
        <w:rPr>
          <w:rFonts w:ascii="Times New Roman" w:hAnsi="Times New Roman" w:cs="Times New Roman"/>
          <w:bCs/>
          <w:iCs/>
          <w:sz w:val="24"/>
          <w:szCs w:val="24"/>
          <w:lang w:val="es-CR"/>
        </w:rPr>
        <w:t>lógico y de Estudios Superiores de M</w:t>
      </w:r>
      <w:r w:rsidRPr="00D643D7">
        <w:rPr>
          <w:rFonts w:ascii="Times New Roman" w:hAnsi="Times New Roman" w:cs="Times New Roman"/>
          <w:bCs/>
          <w:iCs/>
          <w:sz w:val="24"/>
          <w:szCs w:val="24"/>
          <w:lang w:val="es-CR"/>
        </w:rPr>
        <w:t>onterrey</w:t>
      </w:r>
      <w:r>
        <w:rPr>
          <w:rFonts w:ascii="Times New Roman" w:hAnsi="Times New Roman" w:cs="Times New Roman"/>
          <w:bCs/>
          <w:iCs/>
          <w:sz w:val="24"/>
          <w:szCs w:val="24"/>
          <w:lang w:val="es-CR"/>
        </w:rPr>
        <w:t>.</w:t>
      </w:r>
    </w:p>
    <w:p w:rsidR="00D834EF" w:rsidRDefault="00D834EF" w:rsidP="00D834EF">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Cháverri, F., Neciosup, E. (2017). </w:t>
      </w:r>
      <w:r w:rsidRPr="00D834EF">
        <w:rPr>
          <w:rFonts w:ascii="Times New Roman" w:hAnsi="Times New Roman" w:cs="Times New Roman"/>
          <w:bCs/>
          <w:i/>
          <w:iCs/>
          <w:sz w:val="24"/>
          <w:szCs w:val="24"/>
          <w:lang w:val="es-CR"/>
        </w:rPr>
        <w:t>Desarrollo de la curva de rendimientos para los bonos soberanos en soles: evidencia de cambios en la forma y los factores que afectan la estructura de plazos</w:t>
      </w:r>
      <w:r>
        <w:rPr>
          <w:rFonts w:ascii="Times New Roman" w:hAnsi="Times New Roman" w:cs="Times New Roman"/>
          <w:bCs/>
          <w:i/>
          <w:iCs/>
          <w:sz w:val="24"/>
          <w:szCs w:val="24"/>
          <w:lang w:val="es-CR"/>
        </w:rPr>
        <w:t xml:space="preserve"> </w:t>
      </w:r>
      <w:r w:rsidRPr="00D834EF">
        <w:rPr>
          <w:rFonts w:ascii="Times New Roman" w:hAnsi="Times New Roman" w:cs="Times New Roman"/>
          <w:bCs/>
          <w:iCs/>
          <w:sz w:val="24"/>
          <w:szCs w:val="24"/>
          <w:lang w:val="es-CR"/>
        </w:rPr>
        <w:t>[Tesis para optar el grado de Magíster en Economía]</w:t>
      </w:r>
      <w:r w:rsidRPr="00D834EF">
        <w:rPr>
          <w:rFonts w:ascii="Times New Roman" w:hAnsi="Times New Roman" w:cs="Times New Roman"/>
          <w:bCs/>
          <w:i/>
          <w:iCs/>
          <w:sz w:val="24"/>
          <w:szCs w:val="24"/>
          <w:lang w:val="es-CR"/>
        </w:rPr>
        <w:t>.</w:t>
      </w:r>
      <w:r w:rsidRPr="00D834EF">
        <w:rPr>
          <w:lang w:val="es-CR"/>
        </w:rPr>
        <w:t xml:space="preserve"> </w:t>
      </w:r>
      <w:r>
        <w:rPr>
          <w:rFonts w:ascii="Times New Roman" w:hAnsi="Times New Roman" w:cs="Times New Roman"/>
          <w:bCs/>
          <w:iCs/>
          <w:sz w:val="24"/>
          <w:szCs w:val="24"/>
          <w:lang w:val="es-CR"/>
        </w:rPr>
        <w:t>Pontificia Universidad Católica del Perú.</w:t>
      </w:r>
    </w:p>
    <w:p w:rsidR="00E00C11" w:rsidRDefault="00EB4FE8"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Delfiner, M. (2004).</w:t>
      </w:r>
      <w:r w:rsidRPr="00EB4FE8">
        <w:rPr>
          <w:rFonts w:ascii="Times New Roman" w:hAnsi="Times New Roman" w:cs="Times New Roman"/>
          <w:bCs/>
          <w:iCs/>
          <w:sz w:val="24"/>
          <w:szCs w:val="24"/>
          <w:lang w:val="es-CR"/>
        </w:rPr>
        <w:t xml:space="preserve"> </w:t>
      </w:r>
      <w:r w:rsidRPr="00EB4FE8">
        <w:rPr>
          <w:rFonts w:ascii="Times New Roman" w:hAnsi="Times New Roman" w:cs="Times New Roman"/>
          <w:bCs/>
          <w:i/>
          <w:iCs/>
          <w:sz w:val="24"/>
          <w:szCs w:val="24"/>
          <w:lang w:val="es-CR"/>
        </w:rPr>
        <w:t>Patrones de fluctuación de la curva de rendimientos en Argentina</w:t>
      </w:r>
      <w:r>
        <w:rPr>
          <w:rFonts w:ascii="Times New Roman" w:hAnsi="Times New Roman" w:cs="Times New Roman"/>
          <w:bCs/>
          <w:iCs/>
          <w:sz w:val="24"/>
          <w:szCs w:val="24"/>
          <w:lang w:val="es-CR"/>
        </w:rPr>
        <w:t>. Serie Documentos de Trabajo: (259).</w:t>
      </w:r>
      <w:r w:rsidRPr="00EB4FE8">
        <w:rPr>
          <w:rFonts w:ascii="Times New Roman" w:hAnsi="Times New Roman" w:cs="Times New Roman"/>
          <w:bCs/>
          <w:iCs/>
          <w:sz w:val="24"/>
          <w:szCs w:val="24"/>
          <w:lang w:val="es-CR"/>
        </w:rPr>
        <w:t xml:space="preserve"> </w:t>
      </w:r>
    </w:p>
    <w:p w:rsidR="00ED41F4" w:rsidRDefault="00ED41F4" w:rsidP="00EB4FE8">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Domínguez, M., Blancas, F., Guerrero, F.; González, M. (2011). </w:t>
      </w:r>
      <w:r w:rsidRPr="00ED41F4">
        <w:rPr>
          <w:rFonts w:ascii="Times New Roman" w:hAnsi="Times New Roman" w:cs="Times New Roman"/>
          <w:bCs/>
          <w:i/>
          <w:iCs/>
          <w:sz w:val="24"/>
          <w:szCs w:val="24"/>
          <w:lang w:val="es-CR"/>
        </w:rPr>
        <w:t>Una revisión crítica para la construcción de indicadores sintéticos.</w:t>
      </w:r>
      <w:r>
        <w:rPr>
          <w:rFonts w:ascii="Times New Roman" w:hAnsi="Times New Roman" w:cs="Times New Roman"/>
          <w:bCs/>
          <w:iCs/>
          <w:sz w:val="24"/>
          <w:szCs w:val="24"/>
          <w:lang w:val="es-CR"/>
        </w:rPr>
        <w:t xml:space="preserve"> </w:t>
      </w:r>
      <w:r w:rsidRPr="00ED41F4">
        <w:rPr>
          <w:rFonts w:ascii="Times New Roman" w:hAnsi="Times New Roman" w:cs="Times New Roman"/>
          <w:bCs/>
          <w:iCs/>
          <w:sz w:val="24"/>
          <w:szCs w:val="24"/>
          <w:lang w:val="es-CR"/>
        </w:rPr>
        <w:t xml:space="preserve">Revista de Métodos Cuantitativos para la Economía y </w:t>
      </w:r>
      <w:r>
        <w:rPr>
          <w:rFonts w:ascii="Times New Roman" w:hAnsi="Times New Roman" w:cs="Times New Roman"/>
          <w:bCs/>
          <w:iCs/>
          <w:sz w:val="24"/>
          <w:szCs w:val="24"/>
          <w:lang w:val="es-CR"/>
        </w:rPr>
        <w:t>la Empresa: 11</w:t>
      </w:r>
      <w:r w:rsidRPr="00ED41F4">
        <w:rPr>
          <w:rFonts w:ascii="Times New Roman" w:hAnsi="Times New Roman" w:cs="Times New Roman"/>
          <w:bCs/>
          <w:iCs/>
          <w:sz w:val="24"/>
          <w:szCs w:val="24"/>
          <w:lang w:val="es-CR"/>
        </w:rPr>
        <w:t>, pp. 41-70</w:t>
      </w:r>
      <w:r>
        <w:rPr>
          <w:rFonts w:ascii="Times New Roman" w:hAnsi="Times New Roman" w:cs="Times New Roman"/>
          <w:bCs/>
          <w:iCs/>
          <w:sz w:val="24"/>
          <w:szCs w:val="24"/>
          <w:lang w:val="es-CR"/>
        </w:rPr>
        <w:t>.</w:t>
      </w:r>
    </w:p>
    <w:p w:rsidR="0091786D" w:rsidRDefault="0091786D" w:rsidP="00EB4FE8">
      <w:pPr>
        <w:spacing w:line="240" w:lineRule="auto"/>
        <w:jc w:val="both"/>
        <w:rPr>
          <w:rFonts w:ascii="Times New Roman" w:hAnsi="Times New Roman" w:cs="Times New Roman"/>
          <w:bCs/>
          <w:iCs/>
          <w:sz w:val="24"/>
          <w:szCs w:val="24"/>
          <w:lang w:val="es-CR"/>
        </w:rPr>
      </w:pPr>
      <w:r w:rsidRPr="00D16258">
        <w:rPr>
          <w:rFonts w:ascii="Times New Roman" w:hAnsi="Times New Roman" w:cs="Times New Roman"/>
          <w:bCs/>
          <w:iCs/>
          <w:sz w:val="24"/>
          <w:szCs w:val="24"/>
          <w:lang w:val="es-CR"/>
        </w:rPr>
        <w:t xml:space="preserve">Hernández, O. (2013). </w:t>
      </w:r>
      <w:r w:rsidRPr="00D16258">
        <w:rPr>
          <w:rFonts w:ascii="Times New Roman" w:hAnsi="Times New Roman" w:cs="Times New Roman"/>
          <w:bCs/>
          <w:i/>
          <w:iCs/>
          <w:sz w:val="24"/>
          <w:szCs w:val="24"/>
          <w:lang w:val="es-CR"/>
        </w:rPr>
        <w:t>Temas de análisis estadístico multivariante</w:t>
      </w:r>
      <w:r>
        <w:rPr>
          <w:rFonts w:ascii="Times New Roman" w:hAnsi="Times New Roman" w:cs="Times New Roman"/>
          <w:bCs/>
          <w:iCs/>
          <w:sz w:val="24"/>
          <w:szCs w:val="24"/>
          <w:lang w:val="es-CR"/>
        </w:rPr>
        <w:t>. Editorial UCR.</w:t>
      </w:r>
    </w:p>
    <w:p w:rsidR="00312D7B" w:rsidRDefault="00312D7B" w:rsidP="00EB4FE8">
      <w:pPr>
        <w:spacing w:line="240" w:lineRule="auto"/>
        <w:jc w:val="both"/>
        <w:rPr>
          <w:rFonts w:ascii="Times New Roman" w:hAnsi="Times New Roman" w:cs="Times New Roman"/>
          <w:bCs/>
          <w:iCs/>
          <w:sz w:val="24"/>
          <w:szCs w:val="24"/>
          <w:lang w:val="es-CR"/>
        </w:rPr>
      </w:pPr>
      <w:r w:rsidRPr="00312D7B">
        <w:rPr>
          <w:rFonts w:ascii="Times New Roman" w:hAnsi="Times New Roman" w:cs="Times New Roman"/>
          <w:bCs/>
          <w:iCs/>
          <w:sz w:val="24"/>
          <w:szCs w:val="24"/>
          <w:lang w:val="es-CR"/>
        </w:rPr>
        <w:t>Inf</w:t>
      </w:r>
      <w:r>
        <w:rPr>
          <w:rFonts w:ascii="Times New Roman" w:hAnsi="Times New Roman" w:cs="Times New Roman"/>
          <w:bCs/>
          <w:iCs/>
          <w:sz w:val="24"/>
          <w:szCs w:val="24"/>
          <w:lang w:val="es-CR"/>
        </w:rPr>
        <w:t xml:space="preserve">orme Estado de la Nación. (2019). </w:t>
      </w:r>
      <w:r w:rsidRPr="00312D7B">
        <w:rPr>
          <w:rFonts w:ascii="Times New Roman" w:hAnsi="Times New Roman" w:cs="Times New Roman"/>
          <w:bCs/>
          <w:i/>
          <w:iCs/>
          <w:sz w:val="24"/>
          <w:szCs w:val="24"/>
          <w:lang w:val="es-CR"/>
        </w:rPr>
        <w:t>Seguimiento de las finanzas públicas y gestión de la deuda.</w:t>
      </w:r>
    </w:p>
    <w:p w:rsidR="003649E6" w:rsidRDefault="003649E6" w:rsidP="00EB4FE8">
      <w:pPr>
        <w:spacing w:line="240" w:lineRule="auto"/>
        <w:jc w:val="both"/>
        <w:rPr>
          <w:rFonts w:ascii="Times New Roman" w:hAnsi="Times New Roman" w:cs="Times New Roman"/>
          <w:bCs/>
          <w:iCs/>
          <w:sz w:val="24"/>
          <w:szCs w:val="24"/>
          <w:lang w:val="es-CR"/>
        </w:rPr>
      </w:pPr>
      <w:r w:rsidRPr="003649E6">
        <w:rPr>
          <w:rFonts w:ascii="Times New Roman" w:hAnsi="Times New Roman" w:cs="Times New Roman"/>
          <w:bCs/>
          <w:iCs/>
          <w:sz w:val="24"/>
          <w:szCs w:val="24"/>
          <w:lang w:val="es-CR"/>
        </w:rPr>
        <w:t>Núñez</w:t>
      </w:r>
      <w:r>
        <w:rPr>
          <w:rFonts w:ascii="Times New Roman" w:hAnsi="Times New Roman" w:cs="Times New Roman"/>
          <w:bCs/>
          <w:iCs/>
          <w:sz w:val="24"/>
          <w:szCs w:val="24"/>
          <w:lang w:val="es-CR"/>
        </w:rPr>
        <w:t>,</w:t>
      </w:r>
      <w:r w:rsidRPr="003649E6">
        <w:rPr>
          <w:rFonts w:ascii="Times New Roman" w:hAnsi="Times New Roman" w:cs="Times New Roman"/>
          <w:bCs/>
          <w:iCs/>
          <w:sz w:val="24"/>
          <w:szCs w:val="24"/>
          <w:lang w:val="es-CR"/>
        </w:rPr>
        <w:t xml:space="preserve"> </w:t>
      </w:r>
      <w:r>
        <w:rPr>
          <w:rFonts w:ascii="Times New Roman" w:hAnsi="Times New Roman" w:cs="Times New Roman"/>
          <w:bCs/>
          <w:iCs/>
          <w:sz w:val="24"/>
          <w:szCs w:val="24"/>
          <w:lang w:val="es-CR"/>
        </w:rPr>
        <w:t>J., Martínez, C. (2011).</w:t>
      </w:r>
      <w:r w:rsidRPr="003649E6">
        <w:rPr>
          <w:rFonts w:ascii="Times New Roman" w:hAnsi="Times New Roman" w:cs="Times New Roman"/>
          <w:bCs/>
          <w:iCs/>
          <w:sz w:val="24"/>
          <w:szCs w:val="24"/>
          <w:lang w:val="es-CR"/>
        </w:rPr>
        <w:t xml:space="preserve"> </w:t>
      </w:r>
      <w:r w:rsidRPr="003649E6">
        <w:rPr>
          <w:rFonts w:ascii="Times New Roman" w:hAnsi="Times New Roman" w:cs="Times New Roman"/>
          <w:bCs/>
          <w:i/>
          <w:iCs/>
          <w:sz w:val="24"/>
          <w:szCs w:val="24"/>
          <w:lang w:val="es-CR"/>
        </w:rPr>
        <w:t>Análisis de componentes principales de la estructura a plazos de las tasas de interés en México</w:t>
      </w:r>
      <w:r>
        <w:rPr>
          <w:rFonts w:ascii="Times New Roman" w:hAnsi="Times New Roman" w:cs="Times New Roman"/>
          <w:bCs/>
          <w:iCs/>
          <w:sz w:val="24"/>
          <w:szCs w:val="24"/>
          <w:lang w:val="es-CR"/>
        </w:rPr>
        <w:t>. Revista de estudios económicos: 7 (</w:t>
      </w:r>
      <w:r w:rsidRPr="003649E6">
        <w:rPr>
          <w:rFonts w:ascii="Times New Roman" w:hAnsi="Times New Roman" w:cs="Times New Roman"/>
          <w:bCs/>
          <w:iCs/>
          <w:sz w:val="24"/>
          <w:szCs w:val="24"/>
          <w:lang w:val="es-CR"/>
        </w:rPr>
        <w:t>33</w:t>
      </w:r>
      <w:r>
        <w:rPr>
          <w:rFonts w:ascii="Times New Roman" w:hAnsi="Times New Roman" w:cs="Times New Roman"/>
          <w:bCs/>
          <w:iCs/>
          <w:sz w:val="24"/>
          <w:szCs w:val="24"/>
          <w:lang w:val="es-CR"/>
        </w:rPr>
        <w:t>).</w:t>
      </w:r>
    </w:p>
    <w:p w:rsidR="003649E6" w:rsidRPr="00D834EF" w:rsidRDefault="008023A5" w:rsidP="008023A5">
      <w:pPr>
        <w:spacing w:line="240" w:lineRule="auto"/>
        <w:jc w:val="both"/>
        <w:rPr>
          <w:rFonts w:ascii="Times New Roman" w:hAnsi="Times New Roman" w:cs="Times New Roman"/>
          <w:bCs/>
          <w:iCs/>
          <w:sz w:val="24"/>
          <w:szCs w:val="24"/>
          <w:lang w:val="es-CR"/>
        </w:rPr>
      </w:pPr>
      <w:r>
        <w:rPr>
          <w:rFonts w:ascii="Times New Roman" w:hAnsi="Times New Roman" w:cs="Times New Roman"/>
          <w:bCs/>
          <w:iCs/>
          <w:sz w:val="24"/>
          <w:szCs w:val="24"/>
          <w:lang w:val="es-CR"/>
        </w:rPr>
        <w:t xml:space="preserve">Perada, J. (2009). </w:t>
      </w:r>
      <w:r w:rsidRPr="000C055B">
        <w:rPr>
          <w:rFonts w:ascii="Times New Roman" w:hAnsi="Times New Roman" w:cs="Times New Roman"/>
          <w:bCs/>
          <w:i/>
          <w:iCs/>
          <w:sz w:val="24"/>
          <w:szCs w:val="24"/>
          <w:lang w:val="es-CR"/>
        </w:rPr>
        <w:t>Estimación de la curva de rendimiento para el Perú y su uso para el análisis monetario</w:t>
      </w:r>
      <w:r>
        <w:rPr>
          <w:rFonts w:ascii="Times New Roman" w:hAnsi="Times New Roman" w:cs="Times New Roman"/>
          <w:bCs/>
          <w:iCs/>
          <w:sz w:val="24"/>
          <w:szCs w:val="24"/>
          <w:lang w:val="es-CR"/>
        </w:rPr>
        <w:t xml:space="preserve">. </w:t>
      </w:r>
      <w:r w:rsidR="000C055B">
        <w:rPr>
          <w:rFonts w:ascii="Times New Roman" w:hAnsi="Times New Roman" w:cs="Times New Roman"/>
          <w:bCs/>
          <w:iCs/>
          <w:sz w:val="24"/>
          <w:szCs w:val="24"/>
          <w:lang w:val="es-CR"/>
        </w:rPr>
        <w:t>N</w:t>
      </w:r>
      <w:r w:rsidR="000C055B" w:rsidRPr="008023A5">
        <w:rPr>
          <w:rFonts w:ascii="Times New Roman" w:hAnsi="Times New Roman" w:cs="Times New Roman"/>
          <w:bCs/>
          <w:iCs/>
          <w:sz w:val="24"/>
          <w:szCs w:val="24"/>
          <w:lang w:val="es-CR"/>
        </w:rPr>
        <w:t>otas de estudios del BCRP</w:t>
      </w:r>
      <w:r>
        <w:rPr>
          <w:rFonts w:ascii="Times New Roman" w:hAnsi="Times New Roman" w:cs="Times New Roman"/>
          <w:bCs/>
          <w:iCs/>
          <w:sz w:val="24"/>
          <w:szCs w:val="24"/>
          <w:lang w:val="es-CR"/>
        </w:rPr>
        <w:t>:</w:t>
      </w:r>
      <w:r w:rsidR="000C055B">
        <w:rPr>
          <w:rFonts w:ascii="Times New Roman" w:hAnsi="Times New Roman" w:cs="Times New Roman"/>
          <w:bCs/>
          <w:iCs/>
          <w:sz w:val="24"/>
          <w:szCs w:val="24"/>
          <w:lang w:val="es-CR"/>
        </w:rPr>
        <w:t xml:space="preserve"> (26)</w:t>
      </w:r>
    </w:p>
    <w:p w:rsidR="008B5BCC" w:rsidRDefault="008B5BCC" w:rsidP="0025156E">
      <w:pPr>
        <w:spacing w:line="240" w:lineRule="auto"/>
        <w:jc w:val="both"/>
        <w:rPr>
          <w:rFonts w:ascii="Times New Roman" w:hAnsi="Times New Roman" w:cs="Times New Roman"/>
          <w:bCs/>
          <w:iCs/>
          <w:sz w:val="24"/>
          <w:szCs w:val="24"/>
          <w:lang w:val="es-CR"/>
        </w:rPr>
      </w:pPr>
    </w:p>
    <w:p w:rsidR="00312D7B" w:rsidRPr="00D16258" w:rsidRDefault="00312D7B">
      <w:pPr>
        <w:spacing w:line="240" w:lineRule="auto"/>
        <w:jc w:val="both"/>
        <w:rPr>
          <w:rFonts w:ascii="Times New Roman" w:hAnsi="Times New Roman" w:cs="Times New Roman"/>
          <w:bCs/>
          <w:iCs/>
          <w:sz w:val="24"/>
          <w:szCs w:val="24"/>
          <w:lang w:val="es-CR"/>
        </w:rPr>
      </w:pPr>
    </w:p>
    <w:sectPr w:rsidR="00312D7B" w:rsidRPr="00D16258" w:rsidSect="00A0207C">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751" w:rsidRDefault="001A1751" w:rsidP="00FD2B3D">
      <w:pPr>
        <w:spacing w:after="0" w:line="240" w:lineRule="auto"/>
      </w:pPr>
      <w:r>
        <w:separator/>
      </w:r>
    </w:p>
  </w:endnote>
  <w:endnote w:type="continuationSeparator" w:id="0">
    <w:p w:rsidR="001A1751" w:rsidRDefault="001A1751" w:rsidP="00FD2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49E6" w:rsidRDefault="003649E6" w:rsidP="006304C4">
    <w:pPr>
      <w:pStyle w:val="Piedepgina"/>
    </w:pPr>
  </w:p>
  <w:p w:rsidR="003649E6" w:rsidRDefault="003649E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751" w:rsidRDefault="001A1751" w:rsidP="00FD2B3D">
      <w:pPr>
        <w:spacing w:after="0" w:line="240" w:lineRule="auto"/>
      </w:pPr>
      <w:r>
        <w:separator/>
      </w:r>
    </w:p>
  </w:footnote>
  <w:footnote w:type="continuationSeparator" w:id="0">
    <w:p w:rsidR="001A1751" w:rsidRDefault="001A1751" w:rsidP="00FD2B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80296"/>
      <w:docPartObj>
        <w:docPartGallery w:val="Page Numbers (Top of Page)"/>
        <w:docPartUnique/>
      </w:docPartObj>
    </w:sdtPr>
    <w:sdtEndPr/>
    <w:sdtContent>
      <w:p w:rsidR="003649E6" w:rsidRDefault="003649E6">
        <w:pPr>
          <w:pStyle w:val="Encabezado"/>
          <w:jc w:val="right"/>
        </w:pPr>
        <w:r>
          <w:fldChar w:fldCharType="begin"/>
        </w:r>
        <w:r>
          <w:instrText>PAGE   \* MERGEFORMAT</w:instrText>
        </w:r>
        <w:r>
          <w:fldChar w:fldCharType="separate"/>
        </w:r>
        <w:r w:rsidR="00C93CA0" w:rsidRPr="00C93CA0">
          <w:rPr>
            <w:noProof/>
            <w:lang w:val="es-ES"/>
          </w:rPr>
          <w:t>2</w:t>
        </w:r>
        <w:r>
          <w:fldChar w:fldCharType="end"/>
        </w:r>
      </w:p>
    </w:sdtContent>
  </w:sdt>
  <w:p w:rsidR="003649E6" w:rsidRDefault="003649E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B4B90"/>
    <w:multiLevelType w:val="hybridMultilevel"/>
    <w:tmpl w:val="6FAA3782"/>
    <w:lvl w:ilvl="0" w:tplc="0C0A000F">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3213DBF"/>
    <w:multiLevelType w:val="hybridMultilevel"/>
    <w:tmpl w:val="2AEAD47E"/>
    <w:lvl w:ilvl="0" w:tplc="DE5065C8">
      <w:start w:val="1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50916"/>
    <w:multiLevelType w:val="hybridMultilevel"/>
    <w:tmpl w:val="10C0DA94"/>
    <w:lvl w:ilvl="0" w:tplc="62C0ED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C5C43"/>
    <w:multiLevelType w:val="hybridMultilevel"/>
    <w:tmpl w:val="C2E8E6CA"/>
    <w:lvl w:ilvl="0" w:tplc="7B2606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52D5D"/>
    <w:multiLevelType w:val="hybridMultilevel"/>
    <w:tmpl w:val="C3AC535C"/>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03FA2"/>
    <w:multiLevelType w:val="multilevel"/>
    <w:tmpl w:val="F6943F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980B7F"/>
    <w:multiLevelType w:val="hybridMultilevel"/>
    <w:tmpl w:val="2E468D3A"/>
    <w:lvl w:ilvl="0" w:tplc="3E2213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407BB"/>
    <w:multiLevelType w:val="multilevel"/>
    <w:tmpl w:val="8BF6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B649A"/>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B31212"/>
    <w:multiLevelType w:val="hybridMultilevel"/>
    <w:tmpl w:val="23387B70"/>
    <w:lvl w:ilvl="0" w:tplc="D6503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B07B50"/>
    <w:multiLevelType w:val="hybridMultilevel"/>
    <w:tmpl w:val="0C56AD46"/>
    <w:lvl w:ilvl="0" w:tplc="D678402C">
      <w:start w:val="1"/>
      <w:numFmt w:val="bullet"/>
      <w:lvlText w:val=""/>
      <w:lvlJc w:val="left"/>
      <w:pPr>
        <w:tabs>
          <w:tab w:val="num" w:pos="720"/>
        </w:tabs>
        <w:ind w:left="720" w:hanging="360"/>
      </w:pPr>
      <w:rPr>
        <w:rFonts w:ascii="Wingdings" w:hAnsi="Wingdings" w:hint="default"/>
      </w:rPr>
    </w:lvl>
    <w:lvl w:ilvl="1" w:tplc="631203FA" w:tentative="1">
      <w:start w:val="1"/>
      <w:numFmt w:val="bullet"/>
      <w:lvlText w:val=""/>
      <w:lvlJc w:val="left"/>
      <w:pPr>
        <w:tabs>
          <w:tab w:val="num" w:pos="1440"/>
        </w:tabs>
        <w:ind w:left="1440" w:hanging="360"/>
      </w:pPr>
      <w:rPr>
        <w:rFonts w:ascii="Wingdings" w:hAnsi="Wingdings" w:hint="default"/>
      </w:rPr>
    </w:lvl>
    <w:lvl w:ilvl="2" w:tplc="D0D62BB2" w:tentative="1">
      <w:start w:val="1"/>
      <w:numFmt w:val="bullet"/>
      <w:lvlText w:val=""/>
      <w:lvlJc w:val="left"/>
      <w:pPr>
        <w:tabs>
          <w:tab w:val="num" w:pos="2160"/>
        </w:tabs>
        <w:ind w:left="2160" w:hanging="360"/>
      </w:pPr>
      <w:rPr>
        <w:rFonts w:ascii="Wingdings" w:hAnsi="Wingdings" w:hint="default"/>
      </w:rPr>
    </w:lvl>
    <w:lvl w:ilvl="3" w:tplc="DA769B46" w:tentative="1">
      <w:start w:val="1"/>
      <w:numFmt w:val="bullet"/>
      <w:lvlText w:val=""/>
      <w:lvlJc w:val="left"/>
      <w:pPr>
        <w:tabs>
          <w:tab w:val="num" w:pos="2880"/>
        </w:tabs>
        <w:ind w:left="2880" w:hanging="360"/>
      </w:pPr>
      <w:rPr>
        <w:rFonts w:ascii="Wingdings" w:hAnsi="Wingdings" w:hint="default"/>
      </w:rPr>
    </w:lvl>
    <w:lvl w:ilvl="4" w:tplc="653E6466" w:tentative="1">
      <w:start w:val="1"/>
      <w:numFmt w:val="bullet"/>
      <w:lvlText w:val=""/>
      <w:lvlJc w:val="left"/>
      <w:pPr>
        <w:tabs>
          <w:tab w:val="num" w:pos="3600"/>
        </w:tabs>
        <w:ind w:left="3600" w:hanging="360"/>
      </w:pPr>
      <w:rPr>
        <w:rFonts w:ascii="Wingdings" w:hAnsi="Wingdings" w:hint="default"/>
      </w:rPr>
    </w:lvl>
    <w:lvl w:ilvl="5" w:tplc="216467C4" w:tentative="1">
      <w:start w:val="1"/>
      <w:numFmt w:val="bullet"/>
      <w:lvlText w:val=""/>
      <w:lvlJc w:val="left"/>
      <w:pPr>
        <w:tabs>
          <w:tab w:val="num" w:pos="4320"/>
        </w:tabs>
        <w:ind w:left="4320" w:hanging="360"/>
      </w:pPr>
      <w:rPr>
        <w:rFonts w:ascii="Wingdings" w:hAnsi="Wingdings" w:hint="default"/>
      </w:rPr>
    </w:lvl>
    <w:lvl w:ilvl="6" w:tplc="25021AF2" w:tentative="1">
      <w:start w:val="1"/>
      <w:numFmt w:val="bullet"/>
      <w:lvlText w:val=""/>
      <w:lvlJc w:val="left"/>
      <w:pPr>
        <w:tabs>
          <w:tab w:val="num" w:pos="5040"/>
        </w:tabs>
        <w:ind w:left="5040" w:hanging="360"/>
      </w:pPr>
      <w:rPr>
        <w:rFonts w:ascii="Wingdings" w:hAnsi="Wingdings" w:hint="default"/>
      </w:rPr>
    </w:lvl>
    <w:lvl w:ilvl="7" w:tplc="3942F0F4" w:tentative="1">
      <w:start w:val="1"/>
      <w:numFmt w:val="bullet"/>
      <w:lvlText w:val=""/>
      <w:lvlJc w:val="left"/>
      <w:pPr>
        <w:tabs>
          <w:tab w:val="num" w:pos="5760"/>
        </w:tabs>
        <w:ind w:left="5760" w:hanging="360"/>
      </w:pPr>
      <w:rPr>
        <w:rFonts w:ascii="Wingdings" w:hAnsi="Wingdings" w:hint="default"/>
      </w:rPr>
    </w:lvl>
    <w:lvl w:ilvl="8" w:tplc="78027424"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3C2D8D"/>
    <w:multiLevelType w:val="hybridMultilevel"/>
    <w:tmpl w:val="8E82ADC0"/>
    <w:lvl w:ilvl="0" w:tplc="30D0EE16">
      <w:start w:val="1"/>
      <w:numFmt w:val="bullet"/>
      <w:lvlText w:val=""/>
      <w:lvlJc w:val="left"/>
      <w:pPr>
        <w:tabs>
          <w:tab w:val="num" w:pos="720"/>
        </w:tabs>
        <w:ind w:left="720" w:hanging="360"/>
      </w:pPr>
      <w:rPr>
        <w:rFonts w:ascii="Wingdings" w:hAnsi="Wingdings" w:hint="default"/>
      </w:rPr>
    </w:lvl>
    <w:lvl w:ilvl="1" w:tplc="474E00D6" w:tentative="1">
      <w:start w:val="1"/>
      <w:numFmt w:val="bullet"/>
      <w:lvlText w:val=""/>
      <w:lvlJc w:val="left"/>
      <w:pPr>
        <w:tabs>
          <w:tab w:val="num" w:pos="1440"/>
        </w:tabs>
        <w:ind w:left="1440" w:hanging="360"/>
      </w:pPr>
      <w:rPr>
        <w:rFonts w:ascii="Wingdings" w:hAnsi="Wingdings" w:hint="default"/>
      </w:rPr>
    </w:lvl>
    <w:lvl w:ilvl="2" w:tplc="6B2CD590" w:tentative="1">
      <w:start w:val="1"/>
      <w:numFmt w:val="bullet"/>
      <w:lvlText w:val=""/>
      <w:lvlJc w:val="left"/>
      <w:pPr>
        <w:tabs>
          <w:tab w:val="num" w:pos="2160"/>
        </w:tabs>
        <w:ind w:left="2160" w:hanging="360"/>
      </w:pPr>
      <w:rPr>
        <w:rFonts w:ascii="Wingdings" w:hAnsi="Wingdings" w:hint="default"/>
      </w:rPr>
    </w:lvl>
    <w:lvl w:ilvl="3" w:tplc="9502D5BA" w:tentative="1">
      <w:start w:val="1"/>
      <w:numFmt w:val="bullet"/>
      <w:lvlText w:val=""/>
      <w:lvlJc w:val="left"/>
      <w:pPr>
        <w:tabs>
          <w:tab w:val="num" w:pos="2880"/>
        </w:tabs>
        <w:ind w:left="2880" w:hanging="360"/>
      </w:pPr>
      <w:rPr>
        <w:rFonts w:ascii="Wingdings" w:hAnsi="Wingdings" w:hint="default"/>
      </w:rPr>
    </w:lvl>
    <w:lvl w:ilvl="4" w:tplc="D1CC1F24" w:tentative="1">
      <w:start w:val="1"/>
      <w:numFmt w:val="bullet"/>
      <w:lvlText w:val=""/>
      <w:lvlJc w:val="left"/>
      <w:pPr>
        <w:tabs>
          <w:tab w:val="num" w:pos="3600"/>
        </w:tabs>
        <w:ind w:left="3600" w:hanging="360"/>
      </w:pPr>
      <w:rPr>
        <w:rFonts w:ascii="Wingdings" w:hAnsi="Wingdings" w:hint="default"/>
      </w:rPr>
    </w:lvl>
    <w:lvl w:ilvl="5" w:tplc="0BDE91E2" w:tentative="1">
      <w:start w:val="1"/>
      <w:numFmt w:val="bullet"/>
      <w:lvlText w:val=""/>
      <w:lvlJc w:val="left"/>
      <w:pPr>
        <w:tabs>
          <w:tab w:val="num" w:pos="4320"/>
        </w:tabs>
        <w:ind w:left="4320" w:hanging="360"/>
      </w:pPr>
      <w:rPr>
        <w:rFonts w:ascii="Wingdings" w:hAnsi="Wingdings" w:hint="default"/>
      </w:rPr>
    </w:lvl>
    <w:lvl w:ilvl="6" w:tplc="ED4294AC" w:tentative="1">
      <w:start w:val="1"/>
      <w:numFmt w:val="bullet"/>
      <w:lvlText w:val=""/>
      <w:lvlJc w:val="left"/>
      <w:pPr>
        <w:tabs>
          <w:tab w:val="num" w:pos="5040"/>
        </w:tabs>
        <w:ind w:left="5040" w:hanging="360"/>
      </w:pPr>
      <w:rPr>
        <w:rFonts w:ascii="Wingdings" w:hAnsi="Wingdings" w:hint="default"/>
      </w:rPr>
    </w:lvl>
    <w:lvl w:ilvl="7" w:tplc="2C5AFFC0" w:tentative="1">
      <w:start w:val="1"/>
      <w:numFmt w:val="bullet"/>
      <w:lvlText w:val=""/>
      <w:lvlJc w:val="left"/>
      <w:pPr>
        <w:tabs>
          <w:tab w:val="num" w:pos="5760"/>
        </w:tabs>
        <w:ind w:left="5760" w:hanging="360"/>
      </w:pPr>
      <w:rPr>
        <w:rFonts w:ascii="Wingdings" w:hAnsi="Wingdings" w:hint="default"/>
      </w:rPr>
    </w:lvl>
    <w:lvl w:ilvl="8" w:tplc="318E7E6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21035"/>
    <w:multiLevelType w:val="hybridMultilevel"/>
    <w:tmpl w:val="5950CB14"/>
    <w:lvl w:ilvl="0" w:tplc="1884FD62">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D5668"/>
    <w:multiLevelType w:val="hybridMultilevel"/>
    <w:tmpl w:val="7018C9AC"/>
    <w:lvl w:ilvl="0" w:tplc="F16695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3B62BF"/>
    <w:multiLevelType w:val="hybridMultilevel"/>
    <w:tmpl w:val="83BC44DA"/>
    <w:lvl w:ilvl="0" w:tplc="9FD64D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CD36CC"/>
    <w:multiLevelType w:val="hybridMultilevel"/>
    <w:tmpl w:val="39B89442"/>
    <w:lvl w:ilvl="0" w:tplc="7264EDB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2632C5"/>
    <w:multiLevelType w:val="hybridMultilevel"/>
    <w:tmpl w:val="5136F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E2853"/>
    <w:multiLevelType w:val="hybridMultilevel"/>
    <w:tmpl w:val="5E22B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2F6FFB"/>
    <w:multiLevelType w:val="hybridMultilevel"/>
    <w:tmpl w:val="5AE0C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17"/>
  </w:num>
  <w:num w:numId="4">
    <w:abstractNumId w:val="6"/>
  </w:num>
  <w:num w:numId="5">
    <w:abstractNumId w:val="12"/>
  </w:num>
  <w:num w:numId="6">
    <w:abstractNumId w:val="8"/>
  </w:num>
  <w:num w:numId="7">
    <w:abstractNumId w:val="13"/>
  </w:num>
  <w:num w:numId="8">
    <w:abstractNumId w:val="7"/>
  </w:num>
  <w:num w:numId="9">
    <w:abstractNumId w:val="9"/>
  </w:num>
  <w:num w:numId="10">
    <w:abstractNumId w:val="4"/>
  </w:num>
  <w:num w:numId="11">
    <w:abstractNumId w:val="0"/>
  </w:num>
  <w:num w:numId="12">
    <w:abstractNumId w:val="14"/>
  </w:num>
  <w:num w:numId="13">
    <w:abstractNumId w:val="11"/>
  </w:num>
  <w:num w:numId="14">
    <w:abstractNumId w:val="18"/>
  </w:num>
  <w:num w:numId="15">
    <w:abstractNumId w:val="10"/>
  </w:num>
  <w:num w:numId="16">
    <w:abstractNumId w:val="2"/>
  </w:num>
  <w:num w:numId="17">
    <w:abstractNumId w:val="1"/>
  </w:num>
  <w:num w:numId="18">
    <w:abstractNumId w:val="3"/>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7D"/>
    <w:rsid w:val="0000474A"/>
    <w:rsid w:val="00010F20"/>
    <w:rsid w:val="000262D9"/>
    <w:rsid w:val="00027EE1"/>
    <w:rsid w:val="0003035D"/>
    <w:rsid w:val="00037A3F"/>
    <w:rsid w:val="00043760"/>
    <w:rsid w:val="00045968"/>
    <w:rsid w:val="0005165B"/>
    <w:rsid w:val="00051CD6"/>
    <w:rsid w:val="00056852"/>
    <w:rsid w:val="00057184"/>
    <w:rsid w:val="00057788"/>
    <w:rsid w:val="0006284D"/>
    <w:rsid w:val="00062DBF"/>
    <w:rsid w:val="00067B76"/>
    <w:rsid w:val="00071434"/>
    <w:rsid w:val="00073974"/>
    <w:rsid w:val="000771A3"/>
    <w:rsid w:val="00080016"/>
    <w:rsid w:val="0008471A"/>
    <w:rsid w:val="00084841"/>
    <w:rsid w:val="00084F0A"/>
    <w:rsid w:val="000855A8"/>
    <w:rsid w:val="00086E9C"/>
    <w:rsid w:val="00092B39"/>
    <w:rsid w:val="0009549F"/>
    <w:rsid w:val="000962EF"/>
    <w:rsid w:val="00097EC6"/>
    <w:rsid w:val="000A0C10"/>
    <w:rsid w:val="000A5CE4"/>
    <w:rsid w:val="000A7A19"/>
    <w:rsid w:val="000A7D3F"/>
    <w:rsid w:val="000B1550"/>
    <w:rsid w:val="000B18C2"/>
    <w:rsid w:val="000B1C2D"/>
    <w:rsid w:val="000B3725"/>
    <w:rsid w:val="000B39BF"/>
    <w:rsid w:val="000B7FEA"/>
    <w:rsid w:val="000C055B"/>
    <w:rsid w:val="000C2506"/>
    <w:rsid w:val="000C75DE"/>
    <w:rsid w:val="000D0FE9"/>
    <w:rsid w:val="000D390F"/>
    <w:rsid w:val="000D43D7"/>
    <w:rsid w:val="000D4CE1"/>
    <w:rsid w:val="000D7802"/>
    <w:rsid w:val="000E3C49"/>
    <w:rsid w:val="000E5555"/>
    <w:rsid w:val="000E5A03"/>
    <w:rsid w:val="000E6124"/>
    <w:rsid w:val="000E66B0"/>
    <w:rsid w:val="000F00DE"/>
    <w:rsid w:val="000F2D2F"/>
    <w:rsid w:val="000F4D39"/>
    <w:rsid w:val="000F5C78"/>
    <w:rsid w:val="00113A9F"/>
    <w:rsid w:val="00114D77"/>
    <w:rsid w:val="00115C64"/>
    <w:rsid w:val="00116CD8"/>
    <w:rsid w:val="00132D0B"/>
    <w:rsid w:val="00132D4D"/>
    <w:rsid w:val="00136C5A"/>
    <w:rsid w:val="0013707E"/>
    <w:rsid w:val="00137D84"/>
    <w:rsid w:val="0014111B"/>
    <w:rsid w:val="0015344B"/>
    <w:rsid w:val="00154AD1"/>
    <w:rsid w:val="00157493"/>
    <w:rsid w:val="00165274"/>
    <w:rsid w:val="00170CFB"/>
    <w:rsid w:val="00171857"/>
    <w:rsid w:val="00173B3C"/>
    <w:rsid w:val="001742EB"/>
    <w:rsid w:val="00187445"/>
    <w:rsid w:val="00187574"/>
    <w:rsid w:val="001904A4"/>
    <w:rsid w:val="001932FE"/>
    <w:rsid w:val="00195BB8"/>
    <w:rsid w:val="0019764C"/>
    <w:rsid w:val="001A0F9D"/>
    <w:rsid w:val="001A1751"/>
    <w:rsid w:val="001A1807"/>
    <w:rsid w:val="001A3565"/>
    <w:rsid w:val="001A724D"/>
    <w:rsid w:val="001B1D54"/>
    <w:rsid w:val="001B27FF"/>
    <w:rsid w:val="001C3599"/>
    <w:rsid w:val="001C53E2"/>
    <w:rsid w:val="001D5D0B"/>
    <w:rsid w:val="001D5E0F"/>
    <w:rsid w:val="001D7C46"/>
    <w:rsid w:val="001E64D9"/>
    <w:rsid w:val="001E6676"/>
    <w:rsid w:val="001E6974"/>
    <w:rsid w:val="001F122D"/>
    <w:rsid w:val="001F3BDA"/>
    <w:rsid w:val="001F4125"/>
    <w:rsid w:val="001F45E3"/>
    <w:rsid w:val="0020054D"/>
    <w:rsid w:val="00202EA8"/>
    <w:rsid w:val="002034F8"/>
    <w:rsid w:val="00207E0F"/>
    <w:rsid w:val="00211402"/>
    <w:rsid w:val="00212032"/>
    <w:rsid w:val="002138BC"/>
    <w:rsid w:val="00215EA6"/>
    <w:rsid w:val="00222633"/>
    <w:rsid w:val="00225455"/>
    <w:rsid w:val="002263D7"/>
    <w:rsid w:val="002300E4"/>
    <w:rsid w:val="002308FC"/>
    <w:rsid w:val="00235317"/>
    <w:rsid w:val="00236DD6"/>
    <w:rsid w:val="00242F85"/>
    <w:rsid w:val="00243C0F"/>
    <w:rsid w:val="002449C5"/>
    <w:rsid w:val="0025156E"/>
    <w:rsid w:val="00252511"/>
    <w:rsid w:val="0025542D"/>
    <w:rsid w:val="002558DD"/>
    <w:rsid w:val="00256097"/>
    <w:rsid w:val="00262F3D"/>
    <w:rsid w:val="00266248"/>
    <w:rsid w:val="00267DB7"/>
    <w:rsid w:val="00271478"/>
    <w:rsid w:val="002771BA"/>
    <w:rsid w:val="00280631"/>
    <w:rsid w:val="00282D21"/>
    <w:rsid w:val="00284255"/>
    <w:rsid w:val="0028631D"/>
    <w:rsid w:val="002878F8"/>
    <w:rsid w:val="00292075"/>
    <w:rsid w:val="00292B9E"/>
    <w:rsid w:val="0029520C"/>
    <w:rsid w:val="002971E0"/>
    <w:rsid w:val="002974C2"/>
    <w:rsid w:val="002A06DD"/>
    <w:rsid w:val="002A4532"/>
    <w:rsid w:val="002A49E5"/>
    <w:rsid w:val="002B1DED"/>
    <w:rsid w:val="002B7C23"/>
    <w:rsid w:val="002C1FBE"/>
    <w:rsid w:val="002D1BAA"/>
    <w:rsid w:val="002D2476"/>
    <w:rsid w:val="002D439F"/>
    <w:rsid w:val="002D7240"/>
    <w:rsid w:val="002E33AF"/>
    <w:rsid w:val="002E45A3"/>
    <w:rsid w:val="002E4CA4"/>
    <w:rsid w:val="002E5E45"/>
    <w:rsid w:val="002E67EC"/>
    <w:rsid w:val="002E7603"/>
    <w:rsid w:val="00301F36"/>
    <w:rsid w:val="00310BD0"/>
    <w:rsid w:val="00312021"/>
    <w:rsid w:val="00312D7B"/>
    <w:rsid w:val="003133F3"/>
    <w:rsid w:val="003156A9"/>
    <w:rsid w:val="003166AF"/>
    <w:rsid w:val="00317E53"/>
    <w:rsid w:val="00325C1B"/>
    <w:rsid w:val="003273C0"/>
    <w:rsid w:val="00334CB4"/>
    <w:rsid w:val="00334E21"/>
    <w:rsid w:val="00340BD1"/>
    <w:rsid w:val="00341033"/>
    <w:rsid w:val="00343C1A"/>
    <w:rsid w:val="003442D5"/>
    <w:rsid w:val="00345773"/>
    <w:rsid w:val="00350ED1"/>
    <w:rsid w:val="003511BD"/>
    <w:rsid w:val="00352A0A"/>
    <w:rsid w:val="0035372A"/>
    <w:rsid w:val="00353E67"/>
    <w:rsid w:val="0035425E"/>
    <w:rsid w:val="003547B7"/>
    <w:rsid w:val="0035663D"/>
    <w:rsid w:val="003605A3"/>
    <w:rsid w:val="00360D68"/>
    <w:rsid w:val="003649E6"/>
    <w:rsid w:val="00365A71"/>
    <w:rsid w:val="003736D8"/>
    <w:rsid w:val="00374D57"/>
    <w:rsid w:val="0037608B"/>
    <w:rsid w:val="00377530"/>
    <w:rsid w:val="0038187D"/>
    <w:rsid w:val="00386E7E"/>
    <w:rsid w:val="00393DA0"/>
    <w:rsid w:val="00397152"/>
    <w:rsid w:val="00397368"/>
    <w:rsid w:val="00397591"/>
    <w:rsid w:val="003A1915"/>
    <w:rsid w:val="003A466D"/>
    <w:rsid w:val="003A5AFC"/>
    <w:rsid w:val="003A5EAB"/>
    <w:rsid w:val="003A6E25"/>
    <w:rsid w:val="003B051C"/>
    <w:rsid w:val="003B0D37"/>
    <w:rsid w:val="003B269F"/>
    <w:rsid w:val="003B3FD5"/>
    <w:rsid w:val="003B5E21"/>
    <w:rsid w:val="003C0684"/>
    <w:rsid w:val="003C0C94"/>
    <w:rsid w:val="003C3009"/>
    <w:rsid w:val="003C4E28"/>
    <w:rsid w:val="003C5A64"/>
    <w:rsid w:val="003D4F1D"/>
    <w:rsid w:val="003D5E2C"/>
    <w:rsid w:val="003D6512"/>
    <w:rsid w:val="003E0C83"/>
    <w:rsid w:val="003E23C9"/>
    <w:rsid w:val="003E30EA"/>
    <w:rsid w:val="003E4978"/>
    <w:rsid w:val="003E6498"/>
    <w:rsid w:val="003E66DF"/>
    <w:rsid w:val="003F1199"/>
    <w:rsid w:val="003F2F82"/>
    <w:rsid w:val="003F4412"/>
    <w:rsid w:val="00401EE3"/>
    <w:rsid w:val="0040695C"/>
    <w:rsid w:val="004108D5"/>
    <w:rsid w:val="00416053"/>
    <w:rsid w:val="00421FC3"/>
    <w:rsid w:val="00423408"/>
    <w:rsid w:val="00423EF0"/>
    <w:rsid w:val="00425C7B"/>
    <w:rsid w:val="004260EB"/>
    <w:rsid w:val="004275EA"/>
    <w:rsid w:val="00433E68"/>
    <w:rsid w:val="004344B7"/>
    <w:rsid w:val="00436923"/>
    <w:rsid w:val="00440825"/>
    <w:rsid w:val="00443AD3"/>
    <w:rsid w:val="004458AA"/>
    <w:rsid w:val="00447E26"/>
    <w:rsid w:val="004508D0"/>
    <w:rsid w:val="00455178"/>
    <w:rsid w:val="00456C55"/>
    <w:rsid w:val="00460E9D"/>
    <w:rsid w:val="00461426"/>
    <w:rsid w:val="00463D61"/>
    <w:rsid w:val="00470984"/>
    <w:rsid w:val="0047151E"/>
    <w:rsid w:val="00473702"/>
    <w:rsid w:val="00473755"/>
    <w:rsid w:val="00487254"/>
    <w:rsid w:val="0049506F"/>
    <w:rsid w:val="00497280"/>
    <w:rsid w:val="0049796E"/>
    <w:rsid w:val="00497A8B"/>
    <w:rsid w:val="004A3473"/>
    <w:rsid w:val="004A5742"/>
    <w:rsid w:val="004A65C5"/>
    <w:rsid w:val="004B009E"/>
    <w:rsid w:val="004B05B1"/>
    <w:rsid w:val="004B36CA"/>
    <w:rsid w:val="004B648D"/>
    <w:rsid w:val="004B66D9"/>
    <w:rsid w:val="004B6F90"/>
    <w:rsid w:val="004C04C4"/>
    <w:rsid w:val="004C17B1"/>
    <w:rsid w:val="004D0712"/>
    <w:rsid w:val="004D2060"/>
    <w:rsid w:val="004D3B06"/>
    <w:rsid w:val="004D6E62"/>
    <w:rsid w:val="004D752D"/>
    <w:rsid w:val="004E151D"/>
    <w:rsid w:val="004E4BA7"/>
    <w:rsid w:val="004E6DE9"/>
    <w:rsid w:val="004F1307"/>
    <w:rsid w:val="004F2259"/>
    <w:rsid w:val="004F5E5F"/>
    <w:rsid w:val="004F72C5"/>
    <w:rsid w:val="005007F5"/>
    <w:rsid w:val="00503EC0"/>
    <w:rsid w:val="0051069B"/>
    <w:rsid w:val="00513F5D"/>
    <w:rsid w:val="00514CAF"/>
    <w:rsid w:val="00516573"/>
    <w:rsid w:val="00520276"/>
    <w:rsid w:val="005259B0"/>
    <w:rsid w:val="0052736F"/>
    <w:rsid w:val="005330B8"/>
    <w:rsid w:val="00534877"/>
    <w:rsid w:val="00542EFF"/>
    <w:rsid w:val="00544377"/>
    <w:rsid w:val="00547072"/>
    <w:rsid w:val="00555449"/>
    <w:rsid w:val="0056536A"/>
    <w:rsid w:val="00567A4D"/>
    <w:rsid w:val="0057433F"/>
    <w:rsid w:val="0057672F"/>
    <w:rsid w:val="00580671"/>
    <w:rsid w:val="00581937"/>
    <w:rsid w:val="00582A02"/>
    <w:rsid w:val="005845A1"/>
    <w:rsid w:val="005856A5"/>
    <w:rsid w:val="00590BCA"/>
    <w:rsid w:val="005914F3"/>
    <w:rsid w:val="005A04C0"/>
    <w:rsid w:val="005A0A1D"/>
    <w:rsid w:val="005A23F0"/>
    <w:rsid w:val="005A2CCE"/>
    <w:rsid w:val="005A340C"/>
    <w:rsid w:val="005A3F7C"/>
    <w:rsid w:val="005A4737"/>
    <w:rsid w:val="005A6122"/>
    <w:rsid w:val="005A7122"/>
    <w:rsid w:val="005B10DA"/>
    <w:rsid w:val="005B206D"/>
    <w:rsid w:val="005B33E0"/>
    <w:rsid w:val="005B53FE"/>
    <w:rsid w:val="005B5A49"/>
    <w:rsid w:val="005C1215"/>
    <w:rsid w:val="005C1E20"/>
    <w:rsid w:val="005C2C0D"/>
    <w:rsid w:val="005C33C4"/>
    <w:rsid w:val="005D0393"/>
    <w:rsid w:val="005D25FF"/>
    <w:rsid w:val="005D4970"/>
    <w:rsid w:val="005D5BED"/>
    <w:rsid w:val="005F1A8A"/>
    <w:rsid w:val="005F43FD"/>
    <w:rsid w:val="005F45A8"/>
    <w:rsid w:val="00601F8D"/>
    <w:rsid w:val="006038AC"/>
    <w:rsid w:val="006043F7"/>
    <w:rsid w:val="00604D61"/>
    <w:rsid w:val="00613015"/>
    <w:rsid w:val="00614DF7"/>
    <w:rsid w:val="00614E12"/>
    <w:rsid w:val="0061560C"/>
    <w:rsid w:val="0062193A"/>
    <w:rsid w:val="0062499B"/>
    <w:rsid w:val="00626FD4"/>
    <w:rsid w:val="006304C4"/>
    <w:rsid w:val="00633B7D"/>
    <w:rsid w:val="00640D78"/>
    <w:rsid w:val="00642479"/>
    <w:rsid w:val="00646208"/>
    <w:rsid w:val="00646DC1"/>
    <w:rsid w:val="00661C44"/>
    <w:rsid w:val="00664234"/>
    <w:rsid w:val="00667BA2"/>
    <w:rsid w:val="00670212"/>
    <w:rsid w:val="00673448"/>
    <w:rsid w:val="00674D0C"/>
    <w:rsid w:val="00676660"/>
    <w:rsid w:val="006779A5"/>
    <w:rsid w:val="00682525"/>
    <w:rsid w:val="0068262F"/>
    <w:rsid w:val="00682DED"/>
    <w:rsid w:val="00685D33"/>
    <w:rsid w:val="0069039D"/>
    <w:rsid w:val="00691025"/>
    <w:rsid w:val="00695AB5"/>
    <w:rsid w:val="0069750A"/>
    <w:rsid w:val="006B787A"/>
    <w:rsid w:val="006C52C6"/>
    <w:rsid w:val="006D11CA"/>
    <w:rsid w:val="006D462B"/>
    <w:rsid w:val="006D520F"/>
    <w:rsid w:val="006D6731"/>
    <w:rsid w:val="006D69A9"/>
    <w:rsid w:val="006E1B7B"/>
    <w:rsid w:val="006E1DEC"/>
    <w:rsid w:val="006E216F"/>
    <w:rsid w:val="006E23E2"/>
    <w:rsid w:val="006E27EA"/>
    <w:rsid w:val="006E6C52"/>
    <w:rsid w:val="006F074B"/>
    <w:rsid w:val="006F519F"/>
    <w:rsid w:val="00700983"/>
    <w:rsid w:val="0070546F"/>
    <w:rsid w:val="007064BD"/>
    <w:rsid w:val="0071036A"/>
    <w:rsid w:val="0071249F"/>
    <w:rsid w:val="00713DE5"/>
    <w:rsid w:val="00715969"/>
    <w:rsid w:val="00717068"/>
    <w:rsid w:val="007212DB"/>
    <w:rsid w:val="007305E9"/>
    <w:rsid w:val="007312C6"/>
    <w:rsid w:val="00732090"/>
    <w:rsid w:val="00734DBE"/>
    <w:rsid w:val="0073608B"/>
    <w:rsid w:val="0074034F"/>
    <w:rsid w:val="00747081"/>
    <w:rsid w:val="00752AF3"/>
    <w:rsid w:val="00753DA0"/>
    <w:rsid w:val="00755B0C"/>
    <w:rsid w:val="00761D8D"/>
    <w:rsid w:val="0076413F"/>
    <w:rsid w:val="007642D7"/>
    <w:rsid w:val="0077258E"/>
    <w:rsid w:val="00772A5E"/>
    <w:rsid w:val="00772BAE"/>
    <w:rsid w:val="00777DC6"/>
    <w:rsid w:val="00782A6E"/>
    <w:rsid w:val="00785EA5"/>
    <w:rsid w:val="007866B1"/>
    <w:rsid w:val="00786A01"/>
    <w:rsid w:val="00790A97"/>
    <w:rsid w:val="00792853"/>
    <w:rsid w:val="00793488"/>
    <w:rsid w:val="00793675"/>
    <w:rsid w:val="0079427D"/>
    <w:rsid w:val="007963F7"/>
    <w:rsid w:val="00796AE7"/>
    <w:rsid w:val="00796C46"/>
    <w:rsid w:val="00796D97"/>
    <w:rsid w:val="007A0713"/>
    <w:rsid w:val="007A2D16"/>
    <w:rsid w:val="007A48B0"/>
    <w:rsid w:val="007A4E97"/>
    <w:rsid w:val="007A504E"/>
    <w:rsid w:val="007A61F4"/>
    <w:rsid w:val="007B3C7E"/>
    <w:rsid w:val="007B59C8"/>
    <w:rsid w:val="007B60C0"/>
    <w:rsid w:val="007B75A0"/>
    <w:rsid w:val="007C21C7"/>
    <w:rsid w:val="007C538E"/>
    <w:rsid w:val="007C741D"/>
    <w:rsid w:val="007D121E"/>
    <w:rsid w:val="007D1D17"/>
    <w:rsid w:val="007D3F67"/>
    <w:rsid w:val="007D4A23"/>
    <w:rsid w:val="007D623E"/>
    <w:rsid w:val="007E0DDC"/>
    <w:rsid w:val="007E1075"/>
    <w:rsid w:val="007E3B5A"/>
    <w:rsid w:val="007E3C11"/>
    <w:rsid w:val="007E4855"/>
    <w:rsid w:val="007E7865"/>
    <w:rsid w:val="007E788F"/>
    <w:rsid w:val="007F0332"/>
    <w:rsid w:val="007F3098"/>
    <w:rsid w:val="007F40CB"/>
    <w:rsid w:val="0080108A"/>
    <w:rsid w:val="00801F4D"/>
    <w:rsid w:val="0080208F"/>
    <w:rsid w:val="008023A5"/>
    <w:rsid w:val="00804297"/>
    <w:rsid w:val="00805608"/>
    <w:rsid w:val="0081123A"/>
    <w:rsid w:val="00812031"/>
    <w:rsid w:val="008151D3"/>
    <w:rsid w:val="0081560A"/>
    <w:rsid w:val="00815C33"/>
    <w:rsid w:val="008204F7"/>
    <w:rsid w:val="00821BF3"/>
    <w:rsid w:val="00821FB6"/>
    <w:rsid w:val="00826052"/>
    <w:rsid w:val="00826494"/>
    <w:rsid w:val="008279EE"/>
    <w:rsid w:val="00827BF3"/>
    <w:rsid w:val="00830350"/>
    <w:rsid w:val="00830F41"/>
    <w:rsid w:val="00833734"/>
    <w:rsid w:val="0084082A"/>
    <w:rsid w:val="0084284B"/>
    <w:rsid w:val="00842F2B"/>
    <w:rsid w:val="00845D47"/>
    <w:rsid w:val="0086036E"/>
    <w:rsid w:val="00860542"/>
    <w:rsid w:val="0086484C"/>
    <w:rsid w:val="00866E66"/>
    <w:rsid w:val="00867610"/>
    <w:rsid w:val="008700F0"/>
    <w:rsid w:val="0087226B"/>
    <w:rsid w:val="00873E2C"/>
    <w:rsid w:val="008752A0"/>
    <w:rsid w:val="0088059E"/>
    <w:rsid w:val="008809D0"/>
    <w:rsid w:val="00882998"/>
    <w:rsid w:val="00884ECE"/>
    <w:rsid w:val="00892DCA"/>
    <w:rsid w:val="00893E44"/>
    <w:rsid w:val="008977CA"/>
    <w:rsid w:val="008B06BA"/>
    <w:rsid w:val="008B1384"/>
    <w:rsid w:val="008B297B"/>
    <w:rsid w:val="008B5BCC"/>
    <w:rsid w:val="008B7189"/>
    <w:rsid w:val="008C1F51"/>
    <w:rsid w:val="008C4695"/>
    <w:rsid w:val="008C70E7"/>
    <w:rsid w:val="008D3159"/>
    <w:rsid w:val="008D39FF"/>
    <w:rsid w:val="008D3FA3"/>
    <w:rsid w:val="008D4DC1"/>
    <w:rsid w:val="008D51EF"/>
    <w:rsid w:val="008D7F5B"/>
    <w:rsid w:val="008E09A7"/>
    <w:rsid w:val="008E0E75"/>
    <w:rsid w:val="008E1764"/>
    <w:rsid w:val="008E1CB9"/>
    <w:rsid w:val="008E2AD4"/>
    <w:rsid w:val="008E3817"/>
    <w:rsid w:val="008E6A9D"/>
    <w:rsid w:val="008E7163"/>
    <w:rsid w:val="0090074D"/>
    <w:rsid w:val="00900A5C"/>
    <w:rsid w:val="00900AD0"/>
    <w:rsid w:val="00900D07"/>
    <w:rsid w:val="009021FD"/>
    <w:rsid w:val="00905A62"/>
    <w:rsid w:val="00905BC7"/>
    <w:rsid w:val="00913C20"/>
    <w:rsid w:val="009166CA"/>
    <w:rsid w:val="00916AE7"/>
    <w:rsid w:val="00916B49"/>
    <w:rsid w:val="0091786D"/>
    <w:rsid w:val="00921752"/>
    <w:rsid w:val="00923EDA"/>
    <w:rsid w:val="00924C69"/>
    <w:rsid w:val="00930412"/>
    <w:rsid w:val="00932E6F"/>
    <w:rsid w:val="0094156F"/>
    <w:rsid w:val="00941F03"/>
    <w:rsid w:val="00955BA7"/>
    <w:rsid w:val="00955D6E"/>
    <w:rsid w:val="00965885"/>
    <w:rsid w:val="00966460"/>
    <w:rsid w:val="009675C6"/>
    <w:rsid w:val="00967C26"/>
    <w:rsid w:val="00970E36"/>
    <w:rsid w:val="00973201"/>
    <w:rsid w:val="00983F32"/>
    <w:rsid w:val="00990D07"/>
    <w:rsid w:val="00991D9E"/>
    <w:rsid w:val="0099580A"/>
    <w:rsid w:val="00997721"/>
    <w:rsid w:val="009A3AC2"/>
    <w:rsid w:val="009A3B4B"/>
    <w:rsid w:val="009A6746"/>
    <w:rsid w:val="009A6CF1"/>
    <w:rsid w:val="009A7F05"/>
    <w:rsid w:val="009B4EE4"/>
    <w:rsid w:val="009B5799"/>
    <w:rsid w:val="009C0123"/>
    <w:rsid w:val="009D0B18"/>
    <w:rsid w:val="009D18BA"/>
    <w:rsid w:val="009E1D2B"/>
    <w:rsid w:val="009E3475"/>
    <w:rsid w:val="009E58BF"/>
    <w:rsid w:val="009F010A"/>
    <w:rsid w:val="009F1A35"/>
    <w:rsid w:val="009F5E1D"/>
    <w:rsid w:val="00A004B7"/>
    <w:rsid w:val="00A008DD"/>
    <w:rsid w:val="00A01A83"/>
    <w:rsid w:val="00A0207C"/>
    <w:rsid w:val="00A02AF4"/>
    <w:rsid w:val="00A04417"/>
    <w:rsid w:val="00A136E5"/>
    <w:rsid w:val="00A14551"/>
    <w:rsid w:val="00A160BF"/>
    <w:rsid w:val="00A21917"/>
    <w:rsid w:val="00A21AB5"/>
    <w:rsid w:val="00A30E94"/>
    <w:rsid w:val="00A32C17"/>
    <w:rsid w:val="00A3312C"/>
    <w:rsid w:val="00A3366B"/>
    <w:rsid w:val="00A36AF6"/>
    <w:rsid w:val="00A36B6B"/>
    <w:rsid w:val="00A37C22"/>
    <w:rsid w:val="00A40A1D"/>
    <w:rsid w:val="00A423C7"/>
    <w:rsid w:val="00A43844"/>
    <w:rsid w:val="00A46EC1"/>
    <w:rsid w:val="00A46EE0"/>
    <w:rsid w:val="00A523A1"/>
    <w:rsid w:val="00A52D2E"/>
    <w:rsid w:val="00A54D32"/>
    <w:rsid w:val="00A54EDF"/>
    <w:rsid w:val="00A55E0F"/>
    <w:rsid w:val="00A600BF"/>
    <w:rsid w:val="00A6086D"/>
    <w:rsid w:val="00A60ACD"/>
    <w:rsid w:val="00A61924"/>
    <w:rsid w:val="00A64B8A"/>
    <w:rsid w:val="00A65F3C"/>
    <w:rsid w:val="00A7152F"/>
    <w:rsid w:val="00A71B51"/>
    <w:rsid w:val="00A74AC8"/>
    <w:rsid w:val="00A74DA1"/>
    <w:rsid w:val="00A80AB4"/>
    <w:rsid w:val="00A86750"/>
    <w:rsid w:val="00A90472"/>
    <w:rsid w:val="00AA1428"/>
    <w:rsid w:val="00AA5271"/>
    <w:rsid w:val="00AA657A"/>
    <w:rsid w:val="00AB5AAB"/>
    <w:rsid w:val="00AB6792"/>
    <w:rsid w:val="00AC1776"/>
    <w:rsid w:val="00AC4ED4"/>
    <w:rsid w:val="00AC5338"/>
    <w:rsid w:val="00AC6FCC"/>
    <w:rsid w:val="00AD254F"/>
    <w:rsid w:val="00AD4386"/>
    <w:rsid w:val="00AD4D8B"/>
    <w:rsid w:val="00AD50B7"/>
    <w:rsid w:val="00AD6BDC"/>
    <w:rsid w:val="00AE0CB9"/>
    <w:rsid w:val="00AE1969"/>
    <w:rsid w:val="00AE36A0"/>
    <w:rsid w:val="00AE423F"/>
    <w:rsid w:val="00AE6CF4"/>
    <w:rsid w:val="00AF00D5"/>
    <w:rsid w:val="00AF26AE"/>
    <w:rsid w:val="00AF4432"/>
    <w:rsid w:val="00AF6619"/>
    <w:rsid w:val="00B02478"/>
    <w:rsid w:val="00B02CC5"/>
    <w:rsid w:val="00B03C74"/>
    <w:rsid w:val="00B11235"/>
    <w:rsid w:val="00B11282"/>
    <w:rsid w:val="00B134C5"/>
    <w:rsid w:val="00B136D6"/>
    <w:rsid w:val="00B153A5"/>
    <w:rsid w:val="00B1542D"/>
    <w:rsid w:val="00B1670B"/>
    <w:rsid w:val="00B1760D"/>
    <w:rsid w:val="00B225AC"/>
    <w:rsid w:val="00B24012"/>
    <w:rsid w:val="00B24632"/>
    <w:rsid w:val="00B248FD"/>
    <w:rsid w:val="00B3043E"/>
    <w:rsid w:val="00B341E8"/>
    <w:rsid w:val="00B37726"/>
    <w:rsid w:val="00B40EB1"/>
    <w:rsid w:val="00B456C4"/>
    <w:rsid w:val="00B46F9C"/>
    <w:rsid w:val="00B47A60"/>
    <w:rsid w:val="00B50FEA"/>
    <w:rsid w:val="00B5144C"/>
    <w:rsid w:val="00B51974"/>
    <w:rsid w:val="00B5204A"/>
    <w:rsid w:val="00B52100"/>
    <w:rsid w:val="00B53D30"/>
    <w:rsid w:val="00B57C56"/>
    <w:rsid w:val="00B60933"/>
    <w:rsid w:val="00B6132E"/>
    <w:rsid w:val="00B62FF4"/>
    <w:rsid w:val="00B637F6"/>
    <w:rsid w:val="00B64435"/>
    <w:rsid w:val="00B705DD"/>
    <w:rsid w:val="00B85447"/>
    <w:rsid w:val="00B85758"/>
    <w:rsid w:val="00B9012A"/>
    <w:rsid w:val="00B90E98"/>
    <w:rsid w:val="00B93A60"/>
    <w:rsid w:val="00B94CC6"/>
    <w:rsid w:val="00B94E18"/>
    <w:rsid w:val="00B9782D"/>
    <w:rsid w:val="00BA005F"/>
    <w:rsid w:val="00BA161C"/>
    <w:rsid w:val="00BA3DE5"/>
    <w:rsid w:val="00BA5BBB"/>
    <w:rsid w:val="00BC0944"/>
    <w:rsid w:val="00BC5DFA"/>
    <w:rsid w:val="00BD0826"/>
    <w:rsid w:val="00BD2523"/>
    <w:rsid w:val="00BD270A"/>
    <w:rsid w:val="00BD288B"/>
    <w:rsid w:val="00BD3708"/>
    <w:rsid w:val="00BD4E72"/>
    <w:rsid w:val="00BD5091"/>
    <w:rsid w:val="00BE4BC4"/>
    <w:rsid w:val="00BE600C"/>
    <w:rsid w:val="00BF1027"/>
    <w:rsid w:val="00BF2C0C"/>
    <w:rsid w:val="00C01251"/>
    <w:rsid w:val="00C01818"/>
    <w:rsid w:val="00C05B4E"/>
    <w:rsid w:val="00C05CD6"/>
    <w:rsid w:val="00C13777"/>
    <w:rsid w:val="00C21C39"/>
    <w:rsid w:val="00C2467B"/>
    <w:rsid w:val="00C24A22"/>
    <w:rsid w:val="00C27282"/>
    <w:rsid w:val="00C31D9B"/>
    <w:rsid w:val="00C32D23"/>
    <w:rsid w:val="00C356E3"/>
    <w:rsid w:val="00C4074D"/>
    <w:rsid w:val="00C416F8"/>
    <w:rsid w:val="00C425B4"/>
    <w:rsid w:val="00C4462B"/>
    <w:rsid w:val="00C514FE"/>
    <w:rsid w:val="00C536BE"/>
    <w:rsid w:val="00C54AEA"/>
    <w:rsid w:val="00C56CBE"/>
    <w:rsid w:val="00C60A21"/>
    <w:rsid w:val="00C613EC"/>
    <w:rsid w:val="00C615DC"/>
    <w:rsid w:val="00C61A82"/>
    <w:rsid w:val="00C64531"/>
    <w:rsid w:val="00C703D7"/>
    <w:rsid w:val="00C71444"/>
    <w:rsid w:val="00C72AA9"/>
    <w:rsid w:val="00C7571C"/>
    <w:rsid w:val="00C8181B"/>
    <w:rsid w:val="00C8272C"/>
    <w:rsid w:val="00C83BA3"/>
    <w:rsid w:val="00C87B6E"/>
    <w:rsid w:val="00C92211"/>
    <w:rsid w:val="00C9266F"/>
    <w:rsid w:val="00C93CA0"/>
    <w:rsid w:val="00C97392"/>
    <w:rsid w:val="00C97738"/>
    <w:rsid w:val="00C97BE0"/>
    <w:rsid w:val="00CA0680"/>
    <w:rsid w:val="00CA0CD0"/>
    <w:rsid w:val="00CA1809"/>
    <w:rsid w:val="00CA181B"/>
    <w:rsid w:val="00CA2812"/>
    <w:rsid w:val="00CA387F"/>
    <w:rsid w:val="00CA69E7"/>
    <w:rsid w:val="00CB0966"/>
    <w:rsid w:val="00CB27C0"/>
    <w:rsid w:val="00CB2F06"/>
    <w:rsid w:val="00CB666D"/>
    <w:rsid w:val="00CB6735"/>
    <w:rsid w:val="00CB78EB"/>
    <w:rsid w:val="00CB7E86"/>
    <w:rsid w:val="00CD00CA"/>
    <w:rsid w:val="00CD18DF"/>
    <w:rsid w:val="00CD3C93"/>
    <w:rsid w:val="00CD41CA"/>
    <w:rsid w:val="00CD64EF"/>
    <w:rsid w:val="00CE00EE"/>
    <w:rsid w:val="00CE11B5"/>
    <w:rsid w:val="00CE19A7"/>
    <w:rsid w:val="00CE3108"/>
    <w:rsid w:val="00CE6870"/>
    <w:rsid w:val="00CE6E78"/>
    <w:rsid w:val="00CF2596"/>
    <w:rsid w:val="00CF56FF"/>
    <w:rsid w:val="00CF579D"/>
    <w:rsid w:val="00CF5916"/>
    <w:rsid w:val="00CF6127"/>
    <w:rsid w:val="00CF6792"/>
    <w:rsid w:val="00CF6D7C"/>
    <w:rsid w:val="00CF7699"/>
    <w:rsid w:val="00D014A7"/>
    <w:rsid w:val="00D042B0"/>
    <w:rsid w:val="00D05136"/>
    <w:rsid w:val="00D063BF"/>
    <w:rsid w:val="00D14878"/>
    <w:rsid w:val="00D15605"/>
    <w:rsid w:val="00D16258"/>
    <w:rsid w:val="00D17C82"/>
    <w:rsid w:val="00D20D75"/>
    <w:rsid w:val="00D216EC"/>
    <w:rsid w:val="00D23A19"/>
    <w:rsid w:val="00D2512E"/>
    <w:rsid w:val="00D25520"/>
    <w:rsid w:val="00D25D9F"/>
    <w:rsid w:val="00D351E6"/>
    <w:rsid w:val="00D35C96"/>
    <w:rsid w:val="00D43595"/>
    <w:rsid w:val="00D46CC5"/>
    <w:rsid w:val="00D520BA"/>
    <w:rsid w:val="00D52582"/>
    <w:rsid w:val="00D526EE"/>
    <w:rsid w:val="00D55D98"/>
    <w:rsid w:val="00D5760E"/>
    <w:rsid w:val="00D57F5F"/>
    <w:rsid w:val="00D6002E"/>
    <w:rsid w:val="00D640EC"/>
    <w:rsid w:val="00D643D7"/>
    <w:rsid w:val="00D66D5D"/>
    <w:rsid w:val="00D66E59"/>
    <w:rsid w:val="00D706DF"/>
    <w:rsid w:val="00D70DC7"/>
    <w:rsid w:val="00D7295D"/>
    <w:rsid w:val="00D73992"/>
    <w:rsid w:val="00D753A4"/>
    <w:rsid w:val="00D7785F"/>
    <w:rsid w:val="00D77DD2"/>
    <w:rsid w:val="00D81B6D"/>
    <w:rsid w:val="00D834EF"/>
    <w:rsid w:val="00D87094"/>
    <w:rsid w:val="00D87F44"/>
    <w:rsid w:val="00D96501"/>
    <w:rsid w:val="00DA0DA1"/>
    <w:rsid w:val="00DA13C8"/>
    <w:rsid w:val="00DA565D"/>
    <w:rsid w:val="00DB29C0"/>
    <w:rsid w:val="00DB4387"/>
    <w:rsid w:val="00DB6523"/>
    <w:rsid w:val="00DC7650"/>
    <w:rsid w:val="00DD05B5"/>
    <w:rsid w:val="00DD198C"/>
    <w:rsid w:val="00DD49B5"/>
    <w:rsid w:val="00DD4B55"/>
    <w:rsid w:val="00DD6C90"/>
    <w:rsid w:val="00DE00EB"/>
    <w:rsid w:val="00DE0F0C"/>
    <w:rsid w:val="00DE2C49"/>
    <w:rsid w:val="00DE2F42"/>
    <w:rsid w:val="00DE727B"/>
    <w:rsid w:val="00DF2079"/>
    <w:rsid w:val="00DF3370"/>
    <w:rsid w:val="00DF35B2"/>
    <w:rsid w:val="00DF59A5"/>
    <w:rsid w:val="00DF656F"/>
    <w:rsid w:val="00E00C11"/>
    <w:rsid w:val="00E017C7"/>
    <w:rsid w:val="00E03CED"/>
    <w:rsid w:val="00E07150"/>
    <w:rsid w:val="00E11B32"/>
    <w:rsid w:val="00E150C8"/>
    <w:rsid w:val="00E161B6"/>
    <w:rsid w:val="00E16B11"/>
    <w:rsid w:val="00E23ABE"/>
    <w:rsid w:val="00E23C5F"/>
    <w:rsid w:val="00E267CE"/>
    <w:rsid w:val="00E30CBB"/>
    <w:rsid w:val="00E316C1"/>
    <w:rsid w:val="00E31E9B"/>
    <w:rsid w:val="00E32225"/>
    <w:rsid w:val="00E343DA"/>
    <w:rsid w:val="00E354C9"/>
    <w:rsid w:val="00E360C5"/>
    <w:rsid w:val="00E405B1"/>
    <w:rsid w:val="00E407C3"/>
    <w:rsid w:val="00E45807"/>
    <w:rsid w:val="00E460AD"/>
    <w:rsid w:val="00E5422A"/>
    <w:rsid w:val="00E55FB3"/>
    <w:rsid w:val="00E5678D"/>
    <w:rsid w:val="00E57813"/>
    <w:rsid w:val="00E639A1"/>
    <w:rsid w:val="00E6461A"/>
    <w:rsid w:val="00E64BC6"/>
    <w:rsid w:val="00E64BEA"/>
    <w:rsid w:val="00E672B1"/>
    <w:rsid w:val="00E71638"/>
    <w:rsid w:val="00E73F23"/>
    <w:rsid w:val="00E878A5"/>
    <w:rsid w:val="00E9065E"/>
    <w:rsid w:val="00E925BD"/>
    <w:rsid w:val="00E927F4"/>
    <w:rsid w:val="00E969C7"/>
    <w:rsid w:val="00E97338"/>
    <w:rsid w:val="00EA0C00"/>
    <w:rsid w:val="00EA3A59"/>
    <w:rsid w:val="00EA48BB"/>
    <w:rsid w:val="00EA54AF"/>
    <w:rsid w:val="00EB038A"/>
    <w:rsid w:val="00EB1CFA"/>
    <w:rsid w:val="00EB20DB"/>
    <w:rsid w:val="00EB227A"/>
    <w:rsid w:val="00EB4209"/>
    <w:rsid w:val="00EB4FE8"/>
    <w:rsid w:val="00EC2008"/>
    <w:rsid w:val="00EC4311"/>
    <w:rsid w:val="00ED0C93"/>
    <w:rsid w:val="00ED265C"/>
    <w:rsid w:val="00ED3A92"/>
    <w:rsid w:val="00ED41F4"/>
    <w:rsid w:val="00ED7C9C"/>
    <w:rsid w:val="00EE156E"/>
    <w:rsid w:val="00EE22A7"/>
    <w:rsid w:val="00EE2809"/>
    <w:rsid w:val="00EE2DC3"/>
    <w:rsid w:val="00EE30DC"/>
    <w:rsid w:val="00EE481E"/>
    <w:rsid w:val="00EE4C4F"/>
    <w:rsid w:val="00EE5F88"/>
    <w:rsid w:val="00EF1E98"/>
    <w:rsid w:val="00EF4CE1"/>
    <w:rsid w:val="00EF7793"/>
    <w:rsid w:val="00F02D50"/>
    <w:rsid w:val="00F04779"/>
    <w:rsid w:val="00F04900"/>
    <w:rsid w:val="00F06F0A"/>
    <w:rsid w:val="00F161D2"/>
    <w:rsid w:val="00F16752"/>
    <w:rsid w:val="00F16B81"/>
    <w:rsid w:val="00F227D7"/>
    <w:rsid w:val="00F22839"/>
    <w:rsid w:val="00F23D43"/>
    <w:rsid w:val="00F31BCF"/>
    <w:rsid w:val="00F34266"/>
    <w:rsid w:val="00F36EEE"/>
    <w:rsid w:val="00F41792"/>
    <w:rsid w:val="00F42A90"/>
    <w:rsid w:val="00F42C37"/>
    <w:rsid w:val="00F42E32"/>
    <w:rsid w:val="00F638FD"/>
    <w:rsid w:val="00F7372B"/>
    <w:rsid w:val="00F74A56"/>
    <w:rsid w:val="00F74FA5"/>
    <w:rsid w:val="00F75FE2"/>
    <w:rsid w:val="00F76C23"/>
    <w:rsid w:val="00F77C03"/>
    <w:rsid w:val="00F8266C"/>
    <w:rsid w:val="00F86171"/>
    <w:rsid w:val="00F86E28"/>
    <w:rsid w:val="00F92DBE"/>
    <w:rsid w:val="00F93A19"/>
    <w:rsid w:val="00F96430"/>
    <w:rsid w:val="00F9697C"/>
    <w:rsid w:val="00F96AA2"/>
    <w:rsid w:val="00FA1435"/>
    <w:rsid w:val="00FA2099"/>
    <w:rsid w:val="00FA52B8"/>
    <w:rsid w:val="00FB120A"/>
    <w:rsid w:val="00FB2B92"/>
    <w:rsid w:val="00FB4CB3"/>
    <w:rsid w:val="00FB4E2C"/>
    <w:rsid w:val="00FB594D"/>
    <w:rsid w:val="00FB6F7F"/>
    <w:rsid w:val="00FC5E4A"/>
    <w:rsid w:val="00FC6A23"/>
    <w:rsid w:val="00FD2B3D"/>
    <w:rsid w:val="00FD367D"/>
    <w:rsid w:val="00FD3922"/>
    <w:rsid w:val="00FE0ECE"/>
    <w:rsid w:val="00FE1F64"/>
    <w:rsid w:val="00FE2A95"/>
    <w:rsid w:val="00FF0122"/>
    <w:rsid w:val="00FF6699"/>
    <w:rsid w:val="00FF7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BF195"/>
  <w15:docId w15:val="{6EFB53F2-41E7-45F3-AE1D-C4C72AF5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4D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905B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905B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2B3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2B3D"/>
  </w:style>
  <w:style w:type="paragraph" w:styleId="Piedepgina">
    <w:name w:val="footer"/>
    <w:basedOn w:val="Normal"/>
    <w:link w:val="PiedepginaCar"/>
    <w:uiPriority w:val="99"/>
    <w:unhideWhenUsed/>
    <w:rsid w:val="00FD2B3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2B3D"/>
  </w:style>
  <w:style w:type="paragraph" w:customStyle="1" w:styleId="Default">
    <w:name w:val="Default"/>
    <w:rsid w:val="00674D0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74D0C"/>
    <w:rPr>
      <w:rFonts w:asciiTheme="majorHAnsi" w:eastAsiaTheme="majorEastAsia" w:hAnsiTheme="majorHAnsi" w:cstheme="majorBidi"/>
      <w:color w:val="2E74B5" w:themeColor="accent1" w:themeShade="BF"/>
      <w:sz w:val="32"/>
      <w:szCs w:val="32"/>
    </w:rPr>
  </w:style>
  <w:style w:type="character" w:styleId="Refdenotaalpie">
    <w:name w:val="footnote reference"/>
    <w:uiPriority w:val="99"/>
    <w:rsid w:val="00A14551"/>
    <w:rPr>
      <w:color w:val="000000"/>
    </w:rPr>
  </w:style>
  <w:style w:type="paragraph" w:styleId="Prrafodelista">
    <w:name w:val="List Paragraph"/>
    <w:basedOn w:val="Normal"/>
    <w:uiPriority w:val="34"/>
    <w:qFormat/>
    <w:rsid w:val="00503EC0"/>
    <w:pPr>
      <w:ind w:left="720"/>
      <w:contextualSpacing/>
    </w:pPr>
  </w:style>
  <w:style w:type="table" w:styleId="Tablaconcuadrcula">
    <w:name w:val="Table Grid"/>
    <w:basedOn w:val="Tablanormal"/>
    <w:uiPriority w:val="39"/>
    <w:rsid w:val="00350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semiHidden/>
    <w:rsid w:val="00905BC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905BC7"/>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830F41"/>
    <w:rPr>
      <w:color w:val="808080"/>
    </w:rPr>
  </w:style>
  <w:style w:type="paragraph" w:styleId="Textodeglobo">
    <w:name w:val="Balloon Text"/>
    <w:basedOn w:val="Normal"/>
    <w:link w:val="TextodegloboCar"/>
    <w:uiPriority w:val="99"/>
    <w:semiHidden/>
    <w:unhideWhenUsed/>
    <w:rsid w:val="0038187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187D"/>
    <w:rPr>
      <w:rFonts w:ascii="Tahoma" w:hAnsi="Tahoma" w:cs="Tahoma"/>
      <w:sz w:val="16"/>
      <w:szCs w:val="16"/>
    </w:rPr>
  </w:style>
  <w:style w:type="character" w:styleId="Hipervnculo">
    <w:name w:val="Hyperlink"/>
    <w:basedOn w:val="Fuentedeprrafopredeter"/>
    <w:uiPriority w:val="99"/>
    <w:unhideWhenUsed/>
    <w:rsid w:val="00900AD0"/>
    <w:rPr>
      <w:color w:val="0000FF"/>
      <w:u w:val="single"/>
    </w:rPr>
  </w:style>
  <w:style w:type="table" w:customStyle="1" w:styleId="Tablanormal31">
    <w:name w:val="Tabla normal 31"/>
    <w:basedOn w:val="Tablanormal"/>
    <w:uiPriority w:val="43"/>
    <w:rsid w:val="00D7785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visitado">
    <w:name w:val="FollowedHyperlink"/>
    <w:basedOn w:val="Fuentedeprrafopredeter"/>
    <w:uiPriority w:val="99"/>
    <w:semiHidden/>
    <w:unhideWhenUsed/>
    <w:rsid w:val="008E1764"/>
    <w:rPr>
      <w:color w:val="954F72" w:themeColor="followedHyperlink"/>
      <w:u w:val="single"/>
    </w:rPr>
  </w:style>
  <w:style w:type="paragraph" w:styleId="HTMLconformatoprevio">
    <w:name w:val="HTML Preformatted"/>
    <w:basedOn w:val="Normal"/>
    <w:link w:val="HTMLconformatoprevioCar"/>
    <w:uiPriority w:val="99"/>
    <w:semiHidden/>
    <w:unhideWhenUsed/>
    <w:rsid w:val="000A7A1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A7A19"/>
    <w:rPr>
      <w:rFonts w:ascii="Consolas" w:hAnsi="Consolas"/>
      <w:sz w:val="20"/>
      <w:szCs w:val="20"/>
    </w:rPr>
  </w:style>
  <w:style w:type="table" w:styleId="Tabladecuadrcula4">
    <w:name w:val="Grid Table 4"/>
    <w:basedOn w:val="Tablanormal"/>
    <w:uiPriority w:val="49"/>
    <w:rsid w:val="004A34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7F03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5773">
      <w:bodyDiv w:val="1"/>
      <w:marLeft w:val="0"/>
      <w:marRight w:val="0"/>
      <w:marTop w:val="0"/>
      <w:marBottom w:val="0"/>
      <w:divBdr>
        <w:top w:val="none" w:sz="0" w:space="0" w:color="auto"/>
        <w:left w:val="none" w:sz="0" w:space="0" w:color="auto"/>
        <w:bottom w:val="none" w:sz="0" w:space="0" w:color="auto"/>
        <w:right w:val="none" w:sz="0" w:space="0" w:color="auto"/>
      </w:divBdr>
    </w:div>
    <w:div w:id="67047163">
      <w:bodyDiv w:val="1"/>
      <w:marLeft w:val="0"/>
      <w:marRight w:val="0"/>
      <w:marTop w:val="0"/>
      <w:marBottom w:val="0"/>
      <w:divBdr>
        <w:top w:val="none" w:sz="0" w:space="0" w:color="auto"/>
        <w:left w:val="none" w:sz="0" w:space="0" w:color="auto"/>
        <w:bottom w:val="none" w:sz="0" w:space="0" w:color="auto"/>
        <w:right w:val="none" w:sz="0" w:space="0" w:color="auto"/>
      </w:divBdr>
    </w:div>
    <w:div w:id="77757196">
      <w:bodyDiv w:val="1"/>
      <w:marLeft w:val="0"/>
      <w:marRight w:val="0"/>
      <w:marTop w:val="0"/>
      <w:marBottom w:val="0"/>
      <w:divBdr>
        <w:top w:val="none" w:sz="0" w:space="0" w:color="auto"/>
        <w:left w:val="none" w:sz="0" w:space="0" w:color="auto"/>
        <w:bottom w:val="none" w:sz="0" w:space="0" w:color="auto"/>
        <w:right w:val="none" w:sz="0" w:space="0" w:color="auto"/>
      </w:divBdr>
    </w:div>
    <w:div w:id="137454563">
      <w:bodyDiv w:val="1"/>
      <w:marLeft w:val="0"/>
      <w:marRight w:val="0"/>
      <w:marTop w:val="0"/>
      <w:marBottom w:val="0"/>
      <w:divBdr>
        <w:top w:val="none" w:sz="0" w:space="0" w:color="auto"/>
        <w:left w:val="none" w:sz="0" w:space="0" w:color="auto"/>
        <w:bottom w:val="none" w:sz="0" w:space="0" w:color="auto"/>
        <w:right w:val="none" w:sz="0" w:space="0" w:color="auto"/>
      </w:divBdr>
    </w:div>
    <w:div w:id="149568584">
      <w:bodyDiv w:val="1"/>
      <w:marLeft w:val="0"/>
      <w:marRight w:val="0"/>
      <w:marTop w:val="0"/>
      <w:marBottom w:val="0"/>
      <w:divBdr>
        <w:top w:val="none" w:sz="0" w:space="0" w:color="auto"/>
        <w:left w:val="none" w:sz="0" w:space="0" w:color="auto"/>
        <w:bottom w:val="none" w:sz="0" w:space="0" w:color="auto"/>
        <w:right w:val="none" w:sz="0" w:space="0" w:color="auto"/>
      </w:divBdr>
    </w:div>
    <w:div w:id="160240556">
      <w:bodyDiv w:val="1"/>
      <w:marLeft w:val="0"/>
      <w:marRight w:val="0"/>
      <w:marTop w:val="0"/>
      <w:marBottom w:val="0"/>
      <w:divBdr>
        <w:top w:val="none" w:sz="0" w:space="0" w:color="auto"/>
        <w:left w:val="none" w:sz="0" w:space="0" w:color="auto"/>
        <w:bottom w:val="none" w:sz="0" w:space="0" w:color="auto"/>
        <w:right w:val="none" w:sz="0" w:space="0" w:color="auto"/>
      </w:divBdr>
    </w:div>
    <w:div w:id="182061841">
      <w:bodyDiv w:val="1"/>
      <w:marLeft w:val="0"/>
      <w:marRight w:val="0"/>
      <w:marTop w:val="0"/>
      <w:marBottom w:val="0"/>
      <w:divBdr>
        <w:top w:val="none" w:sz="0" w:space="0" w:color="auto"/>
        <w:left w:val="none" w:sz="0" w:space="0" w:color="auto"/>
        <w:bottom w:val="none" w:sz="0" w:space="0" w:color="auto"/>
        <w:right w:val="none" w:sz="0" w:space="0" w:color="auto"/>
      </w:divBdr>
    </w:div>
    <w:div w:id="213540003">
      <w:bodyDiv w:val="1"/>
      <w:marLeft w:val="0"/>
      <w:marRight w:val="0"/>
      <w:marTop w:val="0"/>
      <w:marBottom w:val="0"/>
      <w:divBdr>
        <w:top w:val="none" w:sz="0" w:space="0" w:color="auto"/>
        <w:left w:val="none" w:sz="0" w:space="0" w:color="auto"/>
        <w:bottom w:val="none" w:sz="0" w:space="0" w:color="auto"/>
        <w:right w:val="none" w:sz="0" w:space="0" w:color="auto"/>
      </w:divBdr>
    </w:div>
    <w:div w:id="216671224">
      <w:bodyDiv w:val="1"/>
      <w:marLeft w:val="0"/>
      <w:marRight w:val="0"/>
      <w:marTop w:val="0"/>
      <w:marBottom w:val="0"/>
      <w:divBdr>
        <w:top w:val="none" w:sz="0" w:space="0" w:color="auto"/>
        <w:left w:val="none" w:sz="0" w:space="0" w:color="auto"/>
        <w:bottom w:val="none" w:sz="0" w:space="0" w:color="auto"/>
        <w:right w:val="none" w:sz="0" w:space="0" w:color="auto"/>
      </w:divBdr>
    </w:div>
    <w:div w:id="253132070">
      <w:bodyDiv w:val="1"/>
      <w:marLeft w:val="0"/>
      <w:marRight w:val="0"/>
      <w:marTop w:val="0"/>
      <w:marBottom w:val="0"/>
      <w:divBdr>
        <w:top w:val="none" w:sz="0" w:space="0" w:color="auto"/>
        <w:left w:val="none" w:sz="0" w:space="0" w:color="auto"/>
        <w:bottom w:val="none" w:sz="0" w:space="0" w:color="auto"/>
        <w:right w:val="none" w:sz="0" w:space="0" w:color="auto"/>
      </w:divBdr>
    </w:div>
    <w:div w:id="323894514">
      <w:bodyDiv w:val="1"/>
      <w:marLeft w:val="0"/>
      <w:marRight w:val="0"/>
      <w:marTop w:val="0"/>
      <w:marBottom w:val="0"/>
      <w:divBdr>
        <w:top w:val="none" w:sz="0" w:space="0" w:color="auto"/>
        <w:left w:val="none" w:sz="0" w:space="0" w:color="auto"/>
        <w:bottom w:val="none" w:sz="0" w:space="0" w:color="auto"/>
        <w:right w:val="none" w:sz="0" w:space="0" w:color="auto"/>
      </w:divBdr>
    </w:div>
    <w:div w:id="331377765">
      <w:bodyDiv w:val="1"/>
      <w:marLeft w:val="0"/>
      <w:marRight w:val="0"/>
      <w:marTop w:val="0"/>
      <w:marBottom w:val="0"/>
      <w:divBdr>
        <w:top w:val="none" w:sz="0" w:space="0" w:color="auto"/>
        <w:left w:val="none" w:sz="0" w:space="0" w:color="auto"/>
        <w:bottom w:val="none" w:sz="0" w:space="0" w:color="auto"/>
        <w:right w:val="none" w:sz="0" w:space="0" w:color="auto"/>
      </w:divBdr>
    </w:div>
    <w:div w:id="398942801">
      <w:bodyDiv w:val="1"/>
      <w:marLeft w:val="0"/>
      <w:marRight w:val="0"/>
      <w:marTop w:val="0"/>
      <w:marBottom w:val="0"/>
      <w:divBdr>
        <w:top w:val="none" w:sz="0" w:space="0" w:color="auto"/>
        <w:left w:val="none" w:sz="0" w:space="0" w:color="auto"/>
        <w:bottom w:val="none" w:sz="0" w:space="0" w:color="auto"/>
        <w:right w:val="none" w:sz="0" w:space="0" w:color="auto"/>
      </w:divBdr>
    </w:div>
    <w:div w:id="410204705">
      <w:bodyDiv w:val="1"/>
      <w:marLeft w:val="0"/>
      <w:marRight w:val="0"/>
      <w:marTop w:val="0"/>
      <w:marBottom w:val="0"/>
      <w:divBdr>
        <w:top w:val="none" w:sz="0" w:space="0" w:color="auto"/>
        <w:left w:val="none" w:sz="0" w:space="0" w:color="auto"/>
        <w:bottom w:val="none" w:sz="0" w:space="0" w:color="auto"/>
        <w:right w:val="none" w:sz="0" w:space="0" w:color="auto"/>
      </w:divBdr>
    </w:div>
    <w:div w:id="420611364">
      <w:bodyDiv w:val="1"/>
      <w:marLeft w:val="0"/>
      <w:marRight w:val="0"/>
      <w:marTop w:val="0"/>
      <w:marBottom w:val="0"/>
      <w:divBdr>
        <w:top w:val="none" w:sz="0" w:space="0" w:color="auto"/>
        <w:left w:val="none" w:sz="0" w:space="0" w:color="auto"/>
        <w:bottom w:val="none" w:sz="0" w:space="0" w:color="auto"/>
        <w:right w:val="none" w:sz="0" w:space="0" w:color="auto"/>
      </w:divBdr>
    </w:div>
    <w:div w:id="446122630">
      <w:bodyDiv w:val="1"/>
      <w:marLeft w:val="0"/>
      <w:marRight w:val="0"/>
      <w:marTop w:val="0"/>
      <w:marBottom w:val="0"/>
      <w:divBdr>
        <w:top w:val="none" w:sz="0" w:space="0" w:color="auto"/>
        <w:left w:val="none" w:sz="0" w:space="0" w:color="auto"/>
        <w:bottom w:val="none" w:sz="0" w:space="0" w:color="auto"/>
        <w:right w:val="none" w:sz="0" w:space="0" w:color="auto"/>
      </w:divBdr>
    </w:div>
    <w:div w:id="462575158">
      <w:bodyDiv w:val="1"/>
      <w:marLeft w:val="0"/>
      <w:marRight w:val="0"/>
      <w:marTop w:val="0"/>
      <w:marBottom w:val="0"/>
      <w:divBdr>
        <w:top w:val="none" w:sz="0" w:space="0" w:color="auto"/>
        <w:left w:val="none" w:sz="0" w:space="0" w:color="auto"/>
        <w:bottom w:val="none" w:sz="0" w:space="0" w:color="auto"/>
        <w:right w:val="none" w:sz="0" w:space="0" w:color="auto"/>
      </w:divBdr>
    </w:div>
    <w:div w:id="539362212">
      <w:bodyDiv w:val="1"/>
      <w:marLeft w:val="0"/>
      <w:marRight w:val="0"/>
      <w:marTop w:val="0"/>
      <w:marBottom w:val="0"/>
      <w:divBdr>
        <w:top w:val="none" w:sz="0" w:space="0" w:color="auto"/>
        <w:left w:val="none" w:sz="0" w:space="0" w:color="auto"/>
        <w:bottom w:val="none" w:sz="0" w:space="0" w:color="auto"/>
        <w:right w:val="none" w:sz="0" w:space="0" w:color="auto"/>
      </w:divBdr>
    </w:div>
    <w:div w:id="579292403">
      <w:bodyDiv w:val="1"/>
      <w:marLeft w:val="0"/>
      <w:marRight w:val="0"/>
      <w:marTop w:val="0"/>
      <w:marBottom w:val="0"/>
      <w:divBdr>
        <w:top w:val="none" w:sz="0" w:space="0" w:color="auto"/>
        <w:left w:val="none" w:sz="0" w:space="0" w:color="auto"/>
        <w:bottom w:val="none" w:sz="0" w:space="0" w:color="auto"/>
        <w:right w:val="none" w:sz="0" w:space="0" w:color="auto"/>
      </w:divBdr>
    </w:div>
    <w:div w:id="637494160">
      <w:bodyDiv w:val="1"/>
      <w:marLeft w:val="0"/>
      <w:marRight w:val="0"/>
      <w:marTop w:val="0"/>
      <w:marBottom w:val="0"/>
      <w:divBdr>
        <w:top w:val="none" w:sz="0" w:space="0" w:color="auto"/>
        <w:left w:val="none" w:sz="0" w:space="0" w:color="auto"/>
        <w:bottom w:val="none" w:sz="0" w:space="0" w:color="auto"/>
        <w:right w:val="none" w:sz="0" w:space="0" w:color="auto"/>
      </w:divBdr>
      <w:divsChild>
        <w:div w:id="381441425">
          <w:marLeft w:val="-225"/>
          <w:marRight w:val="-225"/>
          <w:marTop w:val="0"/>
          <w:marBottom w:val="0"/>
          <w:divBdr>
            <w:top w:val="none" w:sz="0" w:space="0" w:color="auto"/>
            <w:left w:val="none" w:sz="0" w:space="0" w:color="auto"/>
            <w:bottom w:val="none" w:sz="0" w:space="0" w:color="auto"/>
            <w:right w:val="none" w:sz="0" w:space="0" w:color="auto"/>
          </w:divBdr>
          <w:divsChild>
            <w:div w:id="1753505506">
              <w:marLeft w:val="0"/>
              <w:marRight w:val="0"/>
              <w:marTop w:val="0"/>
              <w:marBottom w:val="0"/>
              <w:divBdr>
                <w:top w:val="none" w:sz="0" w:space="0" w:color="auto"/>
                <w:left w:val="none" w:sz="0" w:space="0" w:color="auto"/>
                <w:bottom w:val="none" w:sz="0" w:space="0" w:color="auto"/>
                <w:right w:val="none" w:sz="0" w:space="0" w:color="auto"/>
              </w:divBdr>
            </w:div>
          </w:divsChild>
        </w:div>
        <w:div w:id="149753337">
          <w:marLeft w:val="-225"/>
          <w:marRight w:val="-225"/>
          <w:marTop w:val="0"/>
          <w:marBottom w:val="0"/>
          <w:divBdr>
            <w:top w:val="none" w:sz="0" w:space="0" w:color="auto"/>
            <w:left w:val="none" w:sz="0" w:space="0" w:color="auto"/>
            <w:bottom w:val="none" w:sz="0" w:space="0" w:color="auto"/>
            <w:right w:val="none" w:sz="0" w:space="0" w:color="auto"/>
          </w:divBdr>
          <w:divsChild>
            <w:div w:id="85577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027">
      <w:bodyDiv w:val="1"/>
      <w:marLeft w:val="0"/>
      <w:marRight w:val="0"/>
      <w:marTop w:val="0"/>
      <w:marBottom w:val="0"/>
      <w:divBdr>
        <w:top w:val="none" w:sz="0" w:space="0" w:color="auto"/>
        <w:left w:val="none" w:sz="0" w:space="0" w:color="auto"/>
        <w:bottom w:val="none" w:sz="0" w:space="0" w:color="auto"/>
        <w:right w:val="none" w:sz="0" w:space="0" w:color="auto"/>
      </w:divBdr>
    </w:div>
    <w:div w:id="651326602">
      <w:bodyDiv w:val="1"/>
      <w:marLeft w:val="0"/>
      <w:marRight w:val="0"/>
      <w:marTop w:val="0"/>
      <w:marBottom w:val="0"/>
      <w:divBdr>
        <w:top w:val="none" w:sz="0" w:space="0" w:color="auto"/>
        <w:left w:val="none" w:sz="0" w:space="0" w:color="auto"/>
        <w:bottom w:val="none" w:sz="0" w:space="0" w:color="auto"/>
        <w:right w:val="none" w:sz="0" w:space="0" w:color="auto"/>
      </w:divBdr>
    </w:div>
    <w:div w:id="651521265">
      <w:bodyDiv w:val="1"/>
      <w:marLeft w:val="0"/>
      <w:marRight w:val="0"/>
      <w:marTop w:val="0"/>
      <w:marBottom w:val="0"/>
      <w:divBdr>
        <w:top w:val="none" w:sz="0" w:space="0" w:color="auto"/>
        <w:left w:val="none" w:sz="0" w:space="0" w:color="auto"/>
        <w:bottom w:val="none" w:sz="0" w:space="0" w:color="auto"/>
        <w:right w:val="none" w:sz="0" w:space="0" w:color="auto"/>
      </w:divBdr>
    </w:div>
    <w:div w:id="719594063">
      <w:bodyDiv w:val="1"/>
      <w:marLeft w:val="0"/>
      <w:marRight w:val="0"/>
      <w:marTop w:val="0"/>
      <w:marBottom w:val="0"/>
      <w:divBdr>
        <w:top w:val="none" w:sz="0" w:space="0" w:color="auto"/>
        <w:left w:val="none" w:sz="0" w:space="0" w:color="auto"/>
        <w:bottom w:val="none" w:sz="0" w:space="0" w:color="auto"/>
        <w:right w:val="none" w:sz="0" w:space="0" w:color="auto"/>
      </w:divBdr>
    </w:div>
    <w:div w:id="722413948">
      <w:bodyDiv w:val="1"/>
      <w:marLeft w:val="0"/>
      <w:marRight w:val="0"/>
      <w:marTop w:val="0"/>
      <w:marBottom w:val="0"/>
      <w:divBdr>
        <w:top w:val="none" w:sz="0" w:space="0" w:color="auto"/>
        <w:left w:val="none" w:sz="0" w:space="0" w:color="auto"/>
        <w:bottom w:val="none" w:sz="0" w:space="0" w:color="auto"/>
        <w:right w:val="none" w:sz="0" w:space="0" w:color="auto"/>
      </w:divBdr>
    </w:div>
    <w:div w:id="722994364">
      <w:bodyDiv w:val="1"/>
      <w:marLeft w:val="0"/>
      <w:marRight w:val="0"/>
      <w:marTop w:val="0"/>
      <w:marBottom w:val="0"/>
      <w:divBdr>
        <w:top w:val="none" w:sz="0" w:space="0" w:color="auto"/>
        <w:left w:val="none" w:sz="0" w:space="0" w:color="auto"/>
        <w:bottom w:val="none" w:sz="0" w:space="0" w:color="auto"/>
        <w:right w:val="none" w:sz="0" w:space="0" w:color="auto"/>
      </w:divBdr>
      <w:divsChild>
        <w:div w:id="206183994">
          <w:marLeft w:val="547"/>
          <w:marRight w:val="0"/>
          <w:marTop w:val="0"/>
          <w:marBottom w:val="0"/>
          <w:divBdr>
            <w:top w:val="none" w:sz="0" w:space="0" w:color="auto"/>
            <w:left w:val="none" w:sz="0" w:space="0" w:color="auto"/>
            <w:bottom w:val="none" w:sz="0" w:space="0" w:color="auto"/>
            <w:right w:val="none" w:sz="0" w:space="0" w:color="auto"/>
          </w:divBdr>
        </w:div>
      </w:divsChild>
    </w:div>
    <w:div w:id="749887254">
      <w:bodyDiv w:val="1"/>
      <w:marLeft w:val="0"/>
      <w:marRight w:val="0"/>
      <w:marTop w:val="0"/>
      <w:marBottom w:val="0"/>
      <w:divBdr>
        <w:top w:val="none" w:sz="0" w:space="0" w:color="auto"/>
        <w:left w:val="none" w:sz="0" w:space="0" w:color="auto"/>
        <w:bottom w:val="none" w:sz="0" w:space="0" w:color="auto"/>
        <w:right w:val="none" w:sz="0" w:space="0" w:color="auto"/>
      </w:divBdr>
    </w:div>
    <w:div w:id="846944549">
      <w:bodyDiv w:val="1"/>
      <w:marLeft w:val="0"/>
      <w:marRight w:val="0"/>
      <w:marTop w:val="0"/>
      <w:marBottom w:val="0"/>
      <w:divBdr>
        <w:top w:val="none" w:sz="0" w:space="0" w:color="auto"/>
        <w:left w:val="none" w:sz="0" w:space="0" w:color="auto"/>
        <w:bottom w:val="none" w:sz="0" w:space="0" w:color="auto"/>
        <w:right w:val="none" w:sz="0" w:space="0" w:color="auto"/>
      </w:divBdr>
    </w:div>
    <w:div w:id="847717838">
      <w:bodyDiv w:val="1"/>
      <w:marLeft w:val="0"/>
      <w:marRight w:val="0"/>
      <w:marTop w:val="0"/>
      <w:marBottom w:val="0"/>
      <w:divBdr>
        <w:top w:val="none" w:sz="0" w:space="0" w:color="auto"/>
        <w:left w:val="none" w:sz="0" w:space="0" w:color="auto"/>
        <w:bottom w:val="none" w:sz="0" w:space="0" w:color="auto"/>
        <w:right w:val="none" w:sz="0" w:space="0" w:color="auto"/>
      </w:divBdr>
    </w:div>
    <w:div w:id="848831600">
      <w:bodyDiv w:val="1"/>
      <w:marLeft w:val="0"/>
      <w:marRight w:val="0"/>
      <w:marTop w:val="0"/>
      <w:marBottom w:val="0"/>
      <w:divBdr>
        <w:top w:val="none" w:sz="0" w:space="0" w:color="auto"/>
        <w:left w:val="none" w:sz="0" w:space="0" w:color="auto"/>
        <w:bottom w:val="none" w:sz="0" w:space="0" w:color="auto"/>
        <w:right w:val="none" w:sz="0" w:space="0" w:color="auto"/>
      </w:divBdr>
      <w:divsChild>
        <w:div w:id="1028340102">
          <w:marLeft w:val="446"/>
          <w:marRight w:val="0"/>
          <w:marTop w:val="0"/>
          <w:marBottom w:val="0"/>
          <w:divBdr>
            <w:top w:val="none" w:sz="0" w:space="0" w:color="auto"/>
            <w:left w:val="none" w:sz="0" w:space="0" w:color="auto"/>
            <w:bottom w:val="none" w:sz="0" w:space="0" w:color="auto"/>
            <w:right w:val="none" w:sz="0" w:space="0" w:color="auto"/>
          </w:divBdr>
        </w:div>
        <w:div w:id="270555194">
          <w:marLeft w:val="446"/>
          <w:marRight w:val="0"/>
          <w:marTop w:val="0"/>
          <w:marBottom w:val="0"/>
          <w:divBdr>
            <w:top w:val="none" w:sz="0" w:space="0" w:color="auto"/>
            <w:left w:val="none" w:sz="0" w:space="0" w:color="auto"/>
            <w:bottom w:val="none" w:sz="0" w:space="0" w:color="auto"/>
            <w:right w:val="none" w:sz="0" w:space="0" w:color="auto"/>
          </w:divBdr>
        </w:div>
        <w:div w:id="723333862">
          <w:marLeft w:val="446"/>
          <w:marRight w:val="0"/>
          <w:marTop w:val="0"/>
          <w:marBottom w:val="0"/>
          <w:divBdr>
            <w:top w:val="none" w:sz="0" w:space="0" w:color="auto"/>
            <w:left w:val="none" w:sz="0" w:space="0" w:color="auto"/>
            <w:bottom w:val="none" w:sz="0" w:space="0" w:color="auto"/>
            <w:right w:val="none" w:sz="0" w:space="0" w:color="auto"/>
          </w:divBdr>
        </w:div>
      </w:divsChild>
    </w:div>
    <w:div w:id="892273426">
      <w:bodyDiv w:val="1"/>
      <w:marLeft w:val="0"/>
      <w:marRight w:val="0"/>
      <w:marTop w:val="0"/>
      <w:marBottom w:val="0"/>
      <w:divBdr>
        <w:top w:val="none" w:sz="0" w:space="0" w:color="auto"/>
        <w:left w:val="none" w:sz="0" w:space="0" w:color="auto"/>
        <w:bottom w:val="none" w:sz="0" w:space="0" w:color="auto"/>
        <w:right w:val="none" w:sz="0" w:space="0" w:color="auto"/>
      </w:divBdr>
    </w:div>
    <w:div w:id="969244533">
      <w:bodyDiv w:val="1"/>
      <w:marLeft w:val="0"/>
      <w:marRight w:val="0"/>
      <w:marTop w:val="0"/>
      <w:marBottom w:val="0"/>
      <w:divBdr>
        <w:top w:val="none" w:sz="0" w:space="0" w:color="auto"/>
        <w:left w:val="none" w:sz="0" w:space="0" w:color="auto"/>
        <w:bottom w:val="none" w:sz="0" w:space="0" w:color="auto"/>
        <w:right w:val="none" w:sz="0" w:space="0" w:color="auto"/>
      </w:divBdr>
    </w:div>
    <w:div w:id="1017582245">
      <w:bodyDiv w:val="1"/>
      <w:marLeft w:val="0"/>
      <w:marRight w:val="0"/>
      <w:marTop w:val="0"/>
      <w:marBottom w:val="0"/>
      <w:divBdr>
        <w:top w:val="none" w:sz="0" w:space="0" w:color="auto"/>
        <w:left w:val="none" w:sz="0" w:space="0" w:color="auto"/>
        <w:bottom w:val="none" w:sz="0" w:space="0" w:color="auto"/>
        <w:right w:val="none" w:sz="0" w:space="0" w:color="auto"/>
      </w:divBdr>
    </w:div>
    <w:div w:id="1143699105">
      <w:bodyDiv w:val="1"/>
      <w:marLeft w:val="0"/>
      <w:marRight w:val="0"/>
      <w:marTop w:val="0"/>
      <w:marBottom w:val="0"/>
      <w:divBdr>
        <w:top w:val="none" w:sz="0" w:space="0" w:color="auto"/>
        <w:left w:val="none" w:sz="0" w:space="0" w:color="auto"/>
        <w:bottom w:val="none" w:sz="0" w:space="0" w:color="auto"/>
        <w:right w:val="none" w:sz="0" w:space="0" w:color="auto"/>
      </w:divBdr>
    </w:div>
    <w:div w:id="1145976046">
      <w:bodyDiv w:val="1"/>
      <w:marLeft w:val="0"/>
      <w:marRight w:val="0"/>
      <w:marTop w:val="0"/>
      <w:marBottom w:val="0"/>
      <w:divBdr>
        <w:top w:val="none" w:sz="0" w:space="0" w:color="auto"/>
        <w:left w:val="none" w:sz="0" w:space="0" w:color="auto"/>
        <w:bottom w:val="none" w:sz="0" w:space="0" w:color="auto"/>
        <w:right w:val="none" w:sz="0" w:space="0" w:color="auto"/>
      </w:divBdr>
    </w:div>
    <w:div w:id="1159423025">
      <w:bodyDiv w:val="1"/>
      <w:marLeft w:val="0"/>
      <w:marRight w:val="0"/>
      <w:marTop w:val="0"/>
      <w:marBottom w:val="0"/>
      <w:divBdr>
        <w:top w:val="none" w:sz="0" w:space="0" w:color="auto"/>
        <w:left w:val="none" w:sz="0" w:space="0" w:color="auto"/>
        <w:bottom w:val="none" w:sz="0" w:space="0" w:color="auto"/>
        <w:right w:val="none" w:sz="0" w:space="0" w:color="auto"/>
      </w:divBdr>
    </w:div>
    <w:div w:id="1194535548">
      <w:bodyDiv w:val="1"/>
      <w:marLeft w:val="0"/>
      <w:marRight w:val="0"/>
      <w:marTop w:val="0"/>
      <w:marBottom w:val="0"/>
      <w:divBdr>
        <w:top w:val="none" w:sz="0" w:space="0" w:color="auto"/>
        <w:left w:val="none" w:sz="0" w:space="0" w:color="auto"/>
        <w:bottom w:val="none" w:sz="0" w:space="0" w:color="auto"/>
        <w:right w:val="none" w:sz="0" w:space="0" w:color="auto"/>
      </w:divBdr>
    </w:div>
    <w:div w:id="1257208805">
      <w:bodyDiv w:val="1"/>
      <w:marLeft w:val="0"/>
      <w:marRight w:val="0"/>
      <w:marTop w:val="0"/>
      <w:marBottom w:val="0"/>
      <w:divBdr>
        <w:top w:val="none" w:sz="0" w:space="0" w:color="auto"/>
        <w:left w:val="none" w:sz="0" w:space="0" w:color="auto"/>
        <w:bottom w:val="none" w:sz="0" w:space="0" w:color="auto"/>
        <w:right w:val="none" w:sz="0" w:space="0" w:color="auto"/>
      </w:divBdr>
    </w:div>
    <w:div w:id="1266838899">
      <w:bodyDiv w:val="1"/>
      <w:marLeft w:val="0"/>
      <w:marRight w:val="0"/>
      <w:marTop w:val="0"/>
      <w:marBottom w:val="0"/>
      <w:divBdr>
        <w:top w:val="none" w:sz="0" w:space="0" w:color="auto"/>
        <w:left w:val="none" w:sz="0" w:space="0" w:color="auto"/>
        <w:bottom w:val="none" w:sz="0" w:space="0" w:color="auto"/>
        <w:right w:val="none" w:sz="0" w:space="0" w:color="auto"/>
      </w:divBdr>
    </w:div>
    <w:div w:id="1274098405">
      <w:bodyDiv w:val="1"/>
      <w:marLeft w:val="0"/>
      <w:marRight w:val="0"/>
      <w:marTop w:val="0"/>
      <w:marBottom w:val="0"/>
      <w:divBdr>
        <w:top w:val="none" w:sz="0" w:space="0" w:color="auto"/>
        <w:left w:val="none" w:sz="0" w:space="0" w:color="auto"/>
        <w:bottom w:val="none" w:sz="0" w:space="0" w:color="auto"/>
        <w:right w:val="none" w:sz="0" w:space="0" w:color="auto"/>
      </w:divBdr>
    </w:div>
    <w:div w:id="1295604700">
      <w:bodyDiv w:val="1"/>
      <w:marLeft w:val="0"/>
      <w:marRight w:val="0"/>
      <w:marTop w:val="0"/>
      <w:marBottom w:val="0"/>
      <w:divBdr>
        <w:top w:val="none" w:sz="0" w:space="0" w:color="auto"/>
        <w:left w:val="none" w:sz="0" w:space="0" w:color="auto"/>
        <w:bottom w:val="none" w:sz="0" w:space="0" w:color="auto"/>
        <w:right w:val="none" w:sz="0" w:space="0" w:color="auto"/>
      </w:divBdr>
    </w:div>
    <w:div w:id="1356077249">
      <w:bodyDiv w:val="1"/>
      <w:marLeft w:val="0"/>
      <w:marRight w:val="0"/>
      <w:marTop w:val="0"/>
      <w:marBottom w:val="0"/>
      <w:divBdr>
        <w:top w:val="none" w:sz="0" w:space="0" w:color="auto"/>
        <w:left w:val="none" w:sz="0" w:space="0" w:color="auto"/>
        <w:bottom w:val="none" w:sz="0" w:space="0" w:color="auto"/>
        <w:right w:val="none" w:sz="0" w:space="0" w:color="auto"/>
      </w:divBdr>
    </w:div>
    <w:div w:id="1367172348">
      <w:bodyDiv w:val="1"/>
      <w:marLeft w:val="0"/>
      <w:marRight w:val="0"/>
      <w:marTop w:val="0"/>
      <w:marBottom w:val="0"/>
      <w:divBdr>
        <w:top w:val="none" w:sz="0" w:space="0" w:color="auto"/>
        <w:left w:val="none" w:sz="0" w:space="0" w:color="auto"/>
        <w:bottom w:val="none" w:sz="0" w:space="0" w:color="auto"/>
        <w:right w:val="none" w:sz="0" w:space="0" w:color="auto"/>
      </w:divBdr>
    </w:div>
    <w:div w:id="1439449266">
      <w:bodyDiv w:val="1"/>
      <w:marLeft w:val="0"/>
      <w:marRight w:val="0"/>
      <w:marTop w:val="0"/>
      <w:marBottom w:val="0"/>
      <w:divBdr>
        <w:top w:val="none" w:sz="0" w:space="0" w:color="auto"/>
        <w:left w:val="none" w:sz="0" w:space="0" w:color="auto"/>
        <w:bottom w:val="none" w:sz="0" w:space="0" w:color="auto"/>
        <w:right w:val="none" w:sz="0" w:space="0" w:color="auto"/>
      </w:divBdr>
    </w:div>
    <w:div w:id="1501656128">
      <w:bodyDiv w:val="1"/>
      <w:marLeft w:val="0"/>
      <w:marRight w:val="0"/>
      <w:marTop w:val="0"/>
      <w:marBottom w:val="0"/>
      <w:divBdr>
        <w:top w:val="none" w:sz="0" w:space="0" w:color="auto"/>
        <w:left w:val="none" w:sz="0" w:space="0" w:color="auto"/>
        <w:bottom w:val="none" w:sz="0" w:space="0" w:color="auto"/>
        <w:right w:val="none" w:sz="0" w:space="0" w:color="auto"/>
      </w:divBdr>
      <w:divsChild>
        <w:div w:id="1121191612">
          <w:marLeft w:val="547"/>
          <w:marRight w:val="0"/>
          <w:marTop w:val="0"/>
          <w:marBottom w:val="0"/>
          <w:divBdr>
            <w:top w:val="none" w:sz="0" w:space="0" w:color="auto"/>
            <w:left w:val="none" w:sz="0" w:space="0" w:color="auto"/>
            <w:bottom w:val="none" w:sz="0" w:space="0" w:color="auto"/>
            <w:right w:val="none" w:sz="0" w:space="0" w:color="auto"/>
          </w:divBdr>
        </w:div>
      </w:divsChild>
    </w:div>
    <w:div w:id="1503927977">
      <w:bodyDiv w:val="1"/>
      <w:marLeft w:val="0"/>
      <w:marRight w:val="0"/>
      <w:marTop w:val="0"/>
      <w:marBottom w:val="0"/>
      <w:divBdr>
        <w:top w:val="none" w:sz="0" w:space="0" w:color="auto"/>
        <w:left w:val="none" w:sz="0" w:space="0" w:color="auto"/>
        <w:bottom w:val="none" w:sz="0" w:space="0" w:color="auto"/>
        <w:right w:val="none" w:sz="0" w:space="0" w:color="auto"/>
      </w:divBdr>
    </w:div>
    <w:div w:id="1545020911">
      <w:bodyDiv w:val="1"/>
      <w:marLeft w:val="0"/>
      <w:marRight w:val="0"/>
      <w:marTop w:val="0"/>
      <w:marBottom w:val="0"/>
      <w:divBdr>
        <w:top w:val="none" w:sz="0" w:space="0" w:color="auto"/>
        <w:left w:val="none" w:sz="0" w:space="0" w:color="auto"/>
        <w:bottom w:val="none" w:sz="0" w:space="0" w:color="auto"/>
        <w:right w:val="none" w:sz="0" w:space="0" w:color="auto"/>
      </w:divBdr>
    </w:div>
    <w:div w:id="1578972946">
      <w:bodyDiv w:val="1"/>
      <w:marLeft w:val="0"/>
      <w:marRight w:val="0"/>
      <w:marTop w:val="0"/>
      <w:marBottom w:val="0"/>
      <w:divBdr>
        <w:top w:val="none" w:sz="0" w:space="0" w:color="auto"/>
        <w:left w:val="none" w:sz="0" w:space="0" w:color="auto"/>
        <w:bottom w:val="none" w:sz="0" w:space="0" w:color="auto"/>
        <w:right w:val="none" w:sz="0" w:space="0" w:color="auto"/>
      </w:divBdr>
    </w:div>
    <w:div w:id="1602057914">
      <w:bodyDiv w:val="1"/>
      <w:marLeft w:val="0"/>
      <w:marRight w:val="0"/>
      <w:marTop w:val="0"/>
      <w:marBottom w:val="0"/>
      <w:divBdr>
        <w:top w:val="none" w:sz="0" w:space="0" w:color="auto"/>
        <w:left w:val="none" w:sz="0" w:space="0" w:color="auto"/>
        <w:bottom w:val="none" w:sz="0" w:space="0" w:color="auto"/>
        <w:right w:val="none" w:sz="0" w:space="0" w:color="auto"/>
      </w:divBdr>
    </w:div>
    <w:div w:id="1616592737">
      <w:bodyDiv w:val="1"/>
      <w:marLeft w:val="0"/>
      <w:marRight w:val="0"/>
      <w:marTop w:val="0"/>
      <w:marBottom w:val="0"/>
      <w:divBdr>
        <w:top w:val="none" w:sz="0" w:space="0" w:color="auto"/>
        <w:left w:val="none" w:sz="0" w:space="0" w:color="auto"/>
        <w:bottom w:val="none" w:sz="0" w:space="0" w:color="auto"/>
        <w:right w:val="none" w:sz="0" w:space="0" w:color="auto"/>
      </w:divBdr>
    </w:div>
    <w:div w:id="1623221484">
      <w:bodyDiv w:val="1"/>
      <w:marLeft w:val="0"/>
      <w:marRight w:val="0"/>
      <w:marTop w:val="0"/>
      <w:marBottom w:val="0"/>
      <w:divBdr>
        <w:top w:val="none" w:sz="0" w:space="0" w:color="auto"/>
        <w:left w:val="none" w:sz="0" w:space="0" w:color="auto"/>
        <w:bottom w:val="none" w:sz="0" w:space="0" w:color="auto"/>
        <w:right w:val="none" w:sz="0" w:space="0" w:color="auto"/>
      </w:divBdr>
    </w:div>
    <w:div w:id="1629820899">
      <w:bodyDiv w:val="1"/>
      <w:marLeft w:val="0"/>
      <w:marRight w:val="0"/>
      <w:marTop w:val="0"/>
      <w:marBottom w:val="0"/>
      <w:divBdr>
        <w:top w:val="none" w:sz="0" w:space="0" w:color="auto"/>
        <w:left w:val="none" w:sz="0" w:space="0" w:color="auto"/>
        <w:bottom w:val="none" w:sz="0" w:space="0" w:color="auto"/>
        <w:right w:val="none" w:sz="0" w:space="0" w:color="auto"/>
      </w:divBdr>
    </w:div>
    <w:div w:id="1730688942">
      <w:bodyDiv w:val="1"/>
      <w:marLeft w:val="0"/>
      <w:marRight w:val="0"/>
      <w:marTop w:val="0"/>
      <w:marBottom w:val="0"/>
      <w:divBdr>
        <w:top w:val="none" w:sz="0" w:space="0" w:color="auto"/>
        <w:left w:val="none" w:sz="0" w:space="0" w:color="auto"/>
        <w:bottom w:val="none" w:sz="0" w:space="0" w:color="auto"/>
        <w:right w:val="none" w:sz="0" w:space="0" w:color="auto"/>
      </w:divBdr>
      <w:divsChild>
        <w:div w:id="1204053966">
          <w:marLeft w:val="0"/>
          <w:marRight w:val="0"/>
          <w:marTop w:val="0"/>
          <w:marBottom w:val="0"/>
          <w:divBdr>
            <w:top w:val="none" w:sz="0" w:space="0" w:color="auto"/>
            <w:left w:val="none" w:sz="0" w:space="0" w:color="auto"/>
            <w:bottom w:val="none" w:sz="0" w:space="0" w:color="auto"/>
            <w:right w:val="none" w:sz="0" w:space="0" w:color="auto"/>
          </w:divBdr>
        </w:div>
      </w:divsChild>
    </w:div>
    <w:div w:id="1766879661">
      <w:bodyDiv w:val="1"/>
      <w:marLeft w:val="0"/>
      <w:marRight w:val="0"/>
      <w:marTop w:val="0"/>
      <w:marBottom w:val="0"/>
      <w:divBdr>
        <w:top w:val="none" w:sz="0" w:space="0" w:color="auto"/>
        <w:left w:val="none" w:sz="0" w:space="0" w:color="auto"/>
        <w:bottom w:val="none" w:sz="0" w:space="0" w:color="auto"/>
        <w:right w:val="none" w:sz="0" w:space="0" w:color="auto"/>
      </w:divBdr>
    </w:div>
    <w:div w:id="1801722334">
      <w:bodyDiv w:val="1"/>
      <w:marLeft w:val="0"/>
      <w:marRight w:val="0"/>
      <w:marTop w:val="0"/>
      <w:marBottom w:val="0"/>
      <w:divBdr>
        <w:top w:val="none" w:sz="0" w:space="0" w:color="auto"/>
        <w:left w:val="none" w:sz="0" w:space="0" w:color="auto"/>
        <w:bottom w:val="none" w:sz="0" w:space="0" w:color="auto"/>
        <w:right w:val="none" w:sz="0" w:space="0" w:color="auto"/>
      </w:divBdr>
    </w:div>
    <w:div w:id="1863933648">
      <w:bodyDiv w:val="1"/>
      <w:marLeft w:val="0"/>
      <w:marRight w:val="0"/>
      <w:marTop w:val="0"/>
      <w:marBottom w:val="0"/>
      <w:divBdr>
        <w:top w:val="none" w:sz="0" w:space="0" w:color="auto"/>
        <w:left w:val="none" w:sz="0" w:space="0" w:color="auto"/>
        <w:bottom w:val="none" w:sz="0" w:space="0" w:color="auto"/>
        <w:right w:val="none" w:sz="0" w:space="0" w:color="auto"/>
      </w:divBdr>
    </w:div>
    <w:div w:id="1917743578">
      <w:bodyDiv w:val="1"/>
      <w:marLeft w:val="0"/>
      <w:marRight w:val="0"/>
      <w:marTop w:val="0"/>
      <w:marBottom w:val="0"/>
      <w:divBdr>
        <w:top w:val="none" w:sz="0" w:space="0" w:color="auto"/>
        <w:left w:val="none" w:sz="0" w:space="0" w:color="auto"/>
        <w:bottom w:val="none" w:sz="0" w:space="0" w:color="auto"/>
        <w:right w:val="none" w:sz="0" w:space="0" w:color="auto"/>
      </w:divBdr>
    </w:div>
    <w:div w:id="1918244138">
      <w:bodyDiv w:val="1"/>
      <w:marLeft w:val="0"/>
      <w:marRight w:val="0"/>
      <w:marTop w:val="0"/>
      <w:marBottom w:val="0"/>
      <w:divBdr>
        <w:top w:val="none" w:sz="0" w:space="0" w:color="auto"/>
        <w:left w:val="none" w:sz="0" w:space="0" w:color="auto"/>
        <w:bottom w:val="none" w:sz="0" w:space="0" w:color="auto"/>
        <w:right w:val="none" w:sz="0" w:space="0" w:color="auto"/>
      </w:divBdr>
    </w:div>
    <w:div w:id="1966888826">
      <w:bodyDiv w:val="1"/>
      <w:marLeft w:val="0"/>
      <w:marRight w:val="0"/>
      <w:marTop w:val="0"/>
      <w:marBottom w:val="0"/>
      <w:divBdr>
        <w:top w:val="none" w:sz="0" w:space="0" w:color="auto"/>
        <w:left w:val="none" w:sz="0" w:space="0" w:color="auto"/>
        <w:bottom w:val="none" w:sz="0" w:space="0" w:color="auto"/>
        <w:right w:val="none" w:sz="0" w:space="0" w:color="auto"/>
      </w:divBdr>
    </w:div>
    <w:div w:id="1975869731">
      <w:bodyDiv w:val="1"/>
      <w:marLeft w:val="0"/>
      <w:marRight w:val="0"/>
      <w:marTop w:val="0"/>
      <w:marBottom w:val="0"/>
      <w:divBdr>
        <w:top w:val="none" w:sz="0" w:space="0" w:color="auto"/>
        <w:left w:val="none" w:sz="0" w:space="0" w:color="auto"/>
        <w:bottom w:val="none" w:sz="0" w:space="0" w:color="auto"/>
        <w:right w:val="none" w:sz="0" w:space="0" w:color="auto"/>
      </w:divBdr>
    </w:div>
    <w:div w:id="1986625054">
      <w:bodyDiv w:val="1"/>
      <w:marLeft w:val="0"/>
      <w:marRight w:val="0"/>
      <w:marTop w:val="0"/>
      <w:marBottom w:val="0"/>
      <w:divBdr>
        <w:top w:val="none" w:sz="0" w:space="0" w:color="auto"/>
        <w:left w:val="none" w:sz="0" w:space="0" w:color="auto"/>
        <w:bottom w:val="none" w:sz="0" w:space="0" w:color="auto"/>
        <w:right w:val="none" w:sz="0" w:space="0" w:color="auto"/>
      </w:divBdr>
    </w:div>
    <w:div w:id="1993177618">
      <w:bodyDiv w:val="1"/>
      <w:marLeft w:val="0"/>
      <w:marRight w:val="0"/>
      <w:marTop w:val="0"/>
      <w:marBottom w:val="0"/>
      <w:divBdr>
        <w:top w:val="none" w:sz="0" w:space="0" w:color="auto"/>
        <w:left w:val="none" w:sz="0" w:space="0" w:color="auto"/>
        <w:bottom w:val="none" w:sz="0" w:space="0" w:color="auto"/>
        <w:right w:val="none" w:sz="0" w:space="0" w:color="auto"/>
      </w:divBdr>
    </w:div>
    <w:div w:id="2054841142">
      <w:bodyDiv w:val="1"/>
      <w:marLeft w:val="0"/>
      <w:marRight w:val="0"/>
      <w:marTop w:val="0"/>
      <w:marBottom w:val="0"/>
      <w:divBdr>
        <w:top w:val="none" w:sz="0" w:space="0" w:color="auto"/>
        <w:left w:val="none" w:sz="0" w:space="0" w:color="auto"/>
        <w:bottom w:val="none" w:sz="0" w:space="0" w:color="auto"/>
        <w:right w:val="none" w:sz="0" w:space="0" w:color="auto"/>
      </w:divBdr>
    </w:div>
    <w:div w:id="2081973579">
      <w:bodyDiv w:val="1"/>
      <w:marLeft w:val="0"/>
      <w:marRight w:val="0"/>
      <w:marTop w:val="0"/>
      <w:marBottom w:val="0"/>
      <w:divBdr>
        <w:top w:val="none" w:sz="0" w:space="0" w:color="auto"/>
        <w:left w:val="none" w:sz="0" w:space="0" w:color="auto"/>
        <w:bottom w:val="none" w:sz="0" w:space="0" w:color="auto"/>
        <w:right w:val="none" w:sz="0" w:space="0" w:color="auto"/>
      </w:divBdr>
    </w:div>
    <w:div w:id="21031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B322E-09BA-40AA-9FC5-8A16C58F8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10243</TotalTime>
  <Pages>11</Pages>
  <Words>2143</Words>
  <Characters>12220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Natalia</dc:creator>
  <cp:lastModifiedBy>Natalia</cp:lastModifiedBy>
  <cp:revision>437</cp:revision>
  <cp:lastPrinted>2019-04-24T19:58:00Z</cp:lastPrinted>
  <dcterms:created xsi:type="dcterms:W3CDTF">2019-03-24T23:17:00Z</dcterms:created>
  <dcterms:modified xsi:type="dcterms:W3CDTF">2020-12-03T05:56:00Z</dcterms:modified>
</cp:coreProperties>
</file>