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2921" w14:textId="04FD0D2D" w:rsidR="007744BB" w:rsidRPr="002C6C63" w:rsidRDefault="00442458" w:rsidP="000C1B79">
      <w:pPr>
        <w:pStyle w:val="Heading2"/>
        <w:contextualSpacing/>
      </w:pPr>
      <w:r>
        <w:t xml:space="preserve">Qué es </w:t>
      </w:r>
      <w:proofErr w:type="spellStart"/>
      <w:r>
        <w:t>Typhoon</w:t>
      </w:r>
      <w:proofErr w:type="spellEnd"/>
    </w:p>
    <w:p w14:paraId="10771FD5" w14:textId="489200F5" w:rsidR="000C1B79" w:rsidRPr="000C1B79" w:rsidRDefault="000C1B79" w:rsidP="000C1B79">
      <w:pPr>
        <w:contextualSpacing/>
      </w:pPr>
      <w:proofErr w:type="spellStart"/>
      <w:r w:rsidRPr="000C1B79">
        <w:t>Typhoon</w:t>
      </w:r>
      <w:proofErr w:type="spellEnd"/>
      <w:r w:rsidRPr="000C1B79">
        <w:t xml:space="preserve"> (también referenciado en la arquitectura como </w:t>
      </w:r>
      <w:proofErr w:type="spellStart"/>
      <w:r w:rsidRPr="000C1B79">
        <w:t>Market</w:t>
      </w:r>
      <w:proofErr w:type="spellEnd"/>
      <w:r w:rsidRPr="000C1B79">
        <w:t xml:space="preserve"> Data Server o MDS) es una herramienta centralizada de gestión y provisión de datos de mercado. Su propósito principal dentro de la infraestructura tecnológica es orquestar y aplicar la lógica de control de datos de mercado para el resto de los sistemas de la rama de Global </w:t>
      </w:r>
      <w:proofErr w:type="spellStart"/>
      <w:r w:rsidRPr="000C1B79">
        <w:t>Markets</w:t>
      </w:r>
      <w:proofErr w:type="spellEnd"/>
    </w:p>
    <w:p w14:paraId="1A66BE8D" w14:textId="243B84EE" w:rsidR="000C1B79" w:rsidRPr="000C1B79" w:rsidRDefault="000C1B79" w:rsidP="000C1B79">
      <w:pPr>
        <w:contextualSpacing/>
      </w:pPr>
      <w:r w:rsidRPr="000C1B79">
        <w:t>A nivel funcional y técnico, podemos resumir su rol en los siguientes puntos clave:</w:t>
      </w:r>
    </w:p>
    <w:p w14:paraId="72A8F166" w14:textId="57DCE7BB" w:rsidR="000C1B79" w:rsidRPr="000C1B79" w:rsidRDefault="000C1B79" w:rsidP="000C1B79">
      <w:pPr>
        <w:pStyle w:val="ListParagraph"/>
        <w:numPr>
          <w:ilvl w:val="0"/>
          <w:numId w:val="7"/>
        </w:numPr>
      </w:pPr>
      <w:r w:rsidRPr="000C1B79">
        <w:t xml:space="preserve">Aprovisionamiento de Datos: Se alimenta de una amplia red de proveedores de datos. Estos incluyen fuentes externas (como Bloomberg, </w:t>
      </w:r>
      <w:proofErr w:type="spellStart"/>
      <w:r w:rsidRPr="000C1B79">
        <w:t>Refinitiv</w:t>
      </w:r>
      <w:proofErr w:type="spellEnd"/>
      <w:r w:rsidRPr="000C1B79">
        <w:t xml:space="preserve">, Stoxx, BCE, Eurex e IHS </w:t>
      </w:r>
      <w:proofErr w:type="spellStart"/>
      <w:r w:rsidRPr="000C1B79">
        <w:t>Markit</w:t>
      </w:r>
      <w:proofErr w:type="spellEnd"/>
      <w:r w:rsidRPr="000C1B79">
        <w:t xml:space="preserve">) para la ingesta de precios en tiempo real y datos de referencia, así como sistemas internos de BBVA (como </w:t>
      </w:r>
      <w:proofErr w:type="spellStart"/>
      <w:r w:rsidRPr="000C1B79">
        <w:t>Asset</w:t>
      </w:r>
      <w:proofErr w:type="spellEnd"/>
      <w:r w:rsidRPr="000C1B79">
        <w:t xml:space="preserve"> Control, IPV Manager y </w:t>
      </w:r>
      <w:proofErr w:type="spellStart"/>
      <w:r w:rsidRPr="000C1B79">
        <w:t>Datio</w:t>
      </w:r>
      <w:proofErr w:type="spellEnd"/>
      <w:r w:rsidRPr="000C1B79">
        <w:t>).</w:t>
      </w:r>
    </w:p>
    <w:p w14:paraId="5641CF83" w14:textId="77472E04" w:rsidR="000C1B79" w:rsidRPr="000C1B79" w:rsidRDefault="000C1B79" w:rsidP="000C1B79">
      <w:pPr>
        <w:pStyle w:val="ListParagraph"/>
        <w:numPr>
          <w:ilvl w:val="0"/>
          <w:numId w:val="7"/>
        </w:numPr>
      </w:pPr>
      <w:r w:rsidRPr="000C1B79">
        <w:t xml:space="preserve">Gestión y Enriquecimiento: Se encarga de recopilar, estructurar y aplicar validaciones internas sobre los datos intradía, de cierre e históricos (creando </w:t>
      </w:r>
      <w:proofErr w:type="spellStart"/>
      <w:r w:rsidRPr="000C1B79">
        <w:t>snapshots</w:t>
      </w:r>
      <w:proofErr w:type="spellEnd"/>
      <w:r w:rsidRPr="000C1B79">
        <w:t xml:space="preserve"> o conjuntos de datos consolidados) asegurando la fiabilidad de la información antes de su consumo.</w:t>
      </w:r>
    </w:p>
    <w:p w14:paraId="35C2BF5D" w14:textId="48021D67" w:rsidR="000C1B79" w:rsidRPr="000C1B79" w:rsidRDefault="000C1B79" w:rsidP="000C1B79">
      <w:pPr>
        <w:pStyle w:val="ListParagraph"/>
        <w:numPr>
          <w:ilvl w:val="0"/>
          <w:numId w:val="7"/>
        </w:numPr>
      </w:pPr>
      <w:r w:rsidRPr="000C1B79">
        <w:t xml:space="preserve">Distribución Multicanal: Actúa como el motor que autoriza y distribuye los datos procesados a los diferentes sistemas consumidores (tales como Murex3, Telémaco, </w:t>
      </w:r>
      <w:proofErr w:type="spellStart"/>
      <w:r w:rsidRPr="000C1B79">
        <w:t>Risk</w:t>
      </w:r>
      <w:proofErr w:type="spellEnd"/>
      <w:r w:rsidRPr="000C1B79">
        <w:t xml:space="preserve"> </w:t>
      </w:r>
      <w:proofErr w:type="spellStart"/>
      <w:r w:rsidRPr="000C1B79">
        <w:t>Viewer</w:t>
      </w:r>
      <w:proofErr w:type="spellEnd"/>
      <w:r w:rsidRPr="000C1B79">
        <w:t xml:space="preserve">, </w:t>
      </w:r>
      <w:proofErr w:type="spellStart"/>
      <w:r w:rsidRPr="000C1B79">
        <w:t>Calypso</w:t>
      </w:r>
      <w:proofErr w:type="spellEnd"/>
      <w:r w:rsidRPr="000C1B79">
        <w:t xml:space="preserve"> o DATIO). Esta distribución se realiza a través de varias modalidades tecnológicas adaptadas a cada consumidor: mediante servicios de petición/respuesta (</w:t>
      </w:r>
      <w:proofErr w:type="spellStart"/>
      <w:r w:rsidRPr="000C1B79">
        <w:t>APIs</w:t>
      </w:r>
      <w:proofErr w:type="spellEnd"/>
      <w:r w:rsidRPr="000C1B79">
        <w:t xml:space="preserve">), difusión online en </w:t>
      </w:r>
      <w:proofErr w:type="spellStart"/>
      <w:r w:rsidRPr="000C1B79">
        <w:t>streaming</w:t>
      </w:r>
      <w:proofErr w:type="spellEnd"/>
      <w:r w:rsidRPr="000C1B79">
        <w:t xml:space="preserve"> vía bus de integración (ESB), o a través de exportación y transferencias de ficheros (Control-M/Nova Transfer). </w:t>
      </w:r>
    </w:p>
    <w:p w14:paraId="0B342669" w14:textId="77777777" w:rsidR="000C1B79" w:rsidRPr="000C1B79" w:rsidRDefault="000C1B79" w:rsidP="000C1B79">
      <w:pPr>
        <w:contextualSpacing/>
      </w:pPr>
    </w:p>
    <w:p w14:paraId="6AE59A67" w14:textId="6AB23287" w:rsidR="009961E0" w:rsidRDefault="000C1B79" w:rsidP="000C1B79">
      <w:pPr>
        <w:contextualSpacing/>
      </w:pPr>
      <w:r w:rsidRPr="000C1B79">
        <w:t>En su evolución más reciente (</w:t>
      </w:r>
      <w:proofErr w:type="spellStart"/>
      <w:r w:rsidRPr="000C1B79">
        <w:t>Typhoon</w:t>
      </w:r>
      <w:proofErr w:type="spellEnd"/>
      <w:r w:rsidRPr="000C1B79">
        <w:t xml:space="preserve"> 2.0 en arquitectura Nova), el sistema ha sido optimizado con nuevas tecnologías para garantizar la alta disponibilidad y actuar como una pieza crítica, redundada y escalable dentro de los procesos de contratación y evaluación de riesgos.</w:t>
      </w:r>
    </w:p>
    <w:p w14:paraId="3E6094E3" w14:textId="6B55ADE1" w:rsidR="00442458" w:rsidRPr="002C6C63" w:rsidRDefault="00442458" w:rsidP="000C1B79">
      <w:pPr>
        <w:pStyle w:val="Heading2"/>
        <w:contextualSpacing/>
      </w:pPr>
      <w:r>
        <w:t xml:space="preserve">Arquitectura </w:t>
      </w:r>
      <w:proofErr w:type="spellStart"/>
      <w:r>
        <w:t>Typhoon</w:t>
      </w:r>
      <w:proofErr w:type="spellEnd"/>
    </w:p>
    <w:p w14:paraId="4177B230" w14:textId="77777777" w:rsidR="000C1B79" w:rsidRDefault="000C1B79" w:rsidP="000C1B79">
      <w:pPr>
        <w:contextualSpacing/>
      </w:pPr>
      <w:r w:rsidRPr="000C1B79">
        <w:t>A nivel técnico, la arquitectura se estructura en las siguientes capas y componentes fundamentales:</w:t>
      </w:r>
    </w:p>
    <w:p w14:paraId="17148986" w14:textId="77777777" w:rsidR="000C1B79" w:rsidRPr="000C1B79" w:rsidRDefault="000C1B79" w:rsidP="000C1B79">
      <w:pPr>
        <w:contextualSpacing/>
      </w:pPr>
    </w:p>
    <w:p w14:paraId="5434DA97" w14:textId="4E8175E5" w:rsidR="000C1B79" w:rsidRPr="000C1B79" w:rsidRDefault="000C1B79" w:rsidP="000C1B79">
      <w:pPr>
        <w:pStyle w:val="ListParagraph"/>
        <w:numPr>
          <w:ilvl w:val="0"/>
          <w:numId w:val="11"/>
        </w:numPr>
        <w:rPr>
          <w:b/>
          <w:bCs/>
        </w:rPr>
      </w:pPr>
      <w:r w:rsidRPr="000C1B79">
        <w:rPr>
          <w:b/>
          <w:bCs/>
        </w:rPr>
        <w:t>Núcleo Orquestador (Core y Lógica de Datos)</w:t>
      </w:r>
    </w:p>
    <w:p w14:paraId="7BCB5477" w14:textId="77777777" w:rsidR="000C1B79" w:rsidRPr="000C1B79" w:rsidRDefault="000C1B79" w:rsidP="000C1B79">
      <w:pPr>
        <w:contextualSpacing/>
      </w:pPr>
      <w:r w:rsidRPr="000C1B79">
        <w:t xml:space="preserve">El cerebro del sistema es el servicio </w:t>
      </w:r>
      <w:r w:rsidRPr="000C1B79">
        <w:rPr>
          <w:b/>
          <w:bCs/>
        </w:rPr>
        <w:t>NOVA API Core</w:t>
      </w:r>
      <w:r w:rsidRPr="000C1B79">
        <w:t xml:space="preserve"> (desarrollado en Java 11), encargado de aplicar la lógica de negocio, procesar las peticiones del frontal de usuario, interactuar con la base de datos y actuar como el disparador de los demás microservicios de mercado.</w:t>
      </w:r>
    </w:p>
    <w:p w14:paraId="427455FC" w14:textId="77777777" w:rsidR="000C1B79" w:rsidRDefault="000C1B79" w:rsidP="000C1B79">
      <w:pPr>
        <w:contextualSpacing/>
      </w:pPr>
      <w:r w:rsidRPr="000C1B79">
        <w:t xml:space="preserve">Para garantizar un alto rendimiento y sincronía, se apoya intensivamente en un clúster de </w:t>
      </w:r>
      <w:proofErr w:type="spellStart"/>
      <w:r w:rsidRPr="000C1B79">
        <w:rPr>
          <w:b/>
          <w:bCs/>
        </w:rPr>
        <w:t>Hazelcast</w:t>
      </w:r>
      <w:proofErr w:type="spellEnd"/>
      <w:r w:rsidRPr="000C1B79">
        <w:t xml:space="preserve">, que funciona como una caché distribuida en memoria </w:t>
      </w:r>
      <w:r w:rsidRPr="000C1B79">
        <w:lastRenderedPageBreak/>
        <w:t>para el consumo de datos estáticos y la sincronización entre instancias concurrentes.</w:t>
      </w:r>
    </w:p>
    <w:p w14:paraId="00FF7966" w14:textId="77777777" w:rsidR="000C1B79" w:rsidRPr="000C1B79" w:rsidRDefault="000C1B79" w:rsidP="000C1B79">
      <w:pPr>
        <w:contextualSpacing/>
      </w:pPr>
    </w:p>
    <w:p w14:paraId="4465C532" w14:textId="04950D12" w:rsidR="000C1B79" w:rsidRPr="000C1B79" w:rsidRDefault="000C1B79" w:rsidP="000C1B79">
      <w:pPr>
        <w:pStyle w:val="ListParagraph"/>
        <w:numPr>
          <w:ilvl w:val="0"/>
          <w:numId w:val="11"/>
        </w:numPr>
        <w:rPr>
          <w:b/>
          <w:bCs/>
        </w:rPr>
      </w:pPr>
      <w:r w:rsidRPr="000C1B79">
        <w:rPr>
          <w:b/>
          <w:bCs/>
        </w:rPr>
        <w:t>Capa de Aprovisionamiento (Inputs)</w:t>
      </w:r>
    </w:p>
    <w:p w14:paraId="7D6290EC" w14:textId="77777777" w:rsidR="000C1B79" w:rsidRPr="000C1B79" w:rsidRDefault="000C1B79" w:rsidP="000C1B79">
      <w:pPr>
        <w:contextualSpacing/>
      </w:pPr>
      <w:r w:rsidRPr="000C1B79">
        <w:t xml:space="preserve">Para la ingesta de datos, </w:t>
      </w:r>
      <w:proofErr w:type="spellStart"/>
      <w:r w:rsidRPr="000C1B79">
        <w:t>Typhoon</w:t>
      </w:r>
      <w:proofErr w:type="spellEnd"/>
      <w:r w:rsidRPr="000C1B79">
        <w:t xml:space="preserve"> dispone de microservicios especializados según el proveedor y el tipo de conectividad:</w:t>
      </w:r>
    </w:p>
    <w:p w14:paraId="495EB355" w14:textId="77777777" w:rsidR="000C1B79" w:rsidRPr="000C1B79" w:rsidRDefault="000C1B79" w:rsidP="000C1B79">
      <w:pPr>
        <w:numPr>
          <w:ilvl w:val="0"/>
          <w:numId w:val="8"/>
        </w:numPr>
        <w:contextualSpacing/>
      </w:pPr>
      <w:r w:rsidRPr="000C1B79">
        <w:rPr>
          <w:b/>
          <w:bCs/>
        </w:rPr>
        <w:t>Servicios Real Time:</w:t>
      </w:r>
      <w:r w:rsidRPr="000C1B79">
        <w:t xml:space="preserve"> </w:t>
      </w:r>
      <w:proofErr w:type="spellStart"/>
      <w:r w:rsidRPr="000C1B79">
        <w:t>APIs</w:t>
      </w:r>
      <w:proofErr w:type="spellEnd"/>
      <w:r w:rsidRPr="000C1B79">
        <w:t xml:space="preserve"> que mantienen conexiones directas TCP/Socket para el consumo en </w:t>
      </w:r>
      <w:proofErr w:type="spellStart"/>
      <w:r w:rsidRPr="000C1B79">
        <w:rPr>
          <w:i/>
          <w:iCs/>
        </w:rPr>
        <w:t>streaming</w:t>
      </w:r>
      <w:proofErr w:type="spellEnd"/>
      <w:r w:rsidRPr="000C1B79">
        <w:t>, tales como KYUW B-Pipe (Bloomberg) y KYUW TREP (</w:t>
      </w:r>
      <w:proofErr w:type="spellStart"/>
      <w:r w:rsidRPr="000C1B79">
        <w:t>Refinitiv</w:t>
      </w:r>
      <w:proofErr w:type="spellEnd"/>
      <w:r w:rsidRPr="000C1B79">
        <w:t>).</w:t>
      </w:r>
    </w:p>
    <w:p w14:paraId="5112989F" w14:textId="77777777" w:rsidR="000C1B79" w:rsidRPr="000C1B79" w:rsidRDefault="000C1B79" w:rsidP="000C1B79">
      <w:pPr>
        <w:numPr>
          <w:ilvl w:val="0"/>
          <w:numId w:val="8"/>
        </w:numPr>
        <w:contextualSpacing/>
      </w:pPr>
      <w:r w:rsidRPr="000C1B79">
        <w:rPr>
          <w:b/>
          <w:bCs/>
        </w:rPr>
        <w:t>Servicios HTTP/REST y SFTP:</w:t>
      </w:r>
      <w:r w:rsidRPr="000C1B79">
        <w:t xml:space="preserve"> Microservicios (KYUW </w:t>
      </w:r>
      <w:proofErr w:type="spellStart"/>
      <w:r w:rsidRPr="000C1B79">
        <w:t>Tick</w:t>
      </w:r>
      <w:proofErr w:type="spellEnd"/>
      <w:r w:rsidRPr="000C1B79">
        <w:t xml:space="preserve"> / DSS, KYUW Data </w:t>
      </w:r>
      <w:proofErr w:type="spellStart"/>
      <w:r w:rsidRPr="000C1B79">
        <w:t>License</w:t>
      </w:r>
      <w:proofErr w:type="spellEnd"/>
      <w:r w:rsidRPr="000C1B79">
        <w:t xml:space="preserve">, KYUW </w:t>
      </w:r>
      <w:proofErr w:type="spellStart"/>
      <w:r w:rsidRPr="000C1B79">
        <w:t>Website</w:t>
      </w:r>
      <w:proofErr w:type="spellEnd"/>
      <w:r w:rsidRPr="000C1B79">
        <w:t xml:space="preserve">) que se conectan a proveedores externos como </w:t>
      </w:r>
      <w:proofErr w:type="spellStart"/>
      <w:r w:rsidRPr="000C1B79">
        <w:t>Refinitiv</w:t>
      </w:r>
      <w:proofErr w:type="spellEnd"/>
      <w:r w:rsidRPr="000C1B79">
        <w:t xml:space="preserve"> </w:t>
      </w:r>
      <w:proofErr w:type="spellStart"/>
      <w:r w:rsidRPr="000C1B79">
        <w:t>Tick</w:t>
      </w:r>
      <w:proofErr w:type="spellEnd"/>
      <w:r w:rsidRPr="000C1B79">
        <w:t xml:space="preserve"> </w:t>
      </w:r>
      <w:proofErr w:type="spellStart"/>
      <w:r w:rsidRPr="000C1B79">
        <w:t>History</w:t>
      </w:r>
      <w:proofErr w:type="spellEnd"/>
      <w:r w:rsidRPr="000C1B79">
        <w:t xml:space="preserve">, Bloomberg Data </w:t>
      </w:r>
      <w:proofErr w:type="spellStart"/>
      <w:r w:rsidRPr="000C1B79">
        <w:t>License</w:t>
      </w:r>
      <w:proofErr w:type="spellEnd"/>
      <w:r w:rsidRPr="000C1B79">
        <w:t xml:space="preserve">, IHS </w:t>
      </w:r>
      <w:proofErr w:type="spellStart"/>
      <w:r w:rsidRPr="000C1B79">
        <w:t>Markit</w:t>
      </w:r>
      <w:proofErr w:type="spellEnd"/>
      <w:r w:rsidRPr="000C1B79">
        <w:t xml:space="preserve">, BCE, Eurex y </w:t>
      </w:r>
      <w:proofErr w:type="spellStart"/>
      <w:r w:rsidRPr="000C1B79">
        <w:t>Alpima</w:t>
      </w:r>
      <w:proofErr w:type="spellEnd"/>
      <w:r w:rsidRPr="000C1B79">
        <w:t>.</w:t>
      </w:r>
    </w:p>
    <w:p w14:paraId="7E2DC2F9" w14:textId="279BE4CE" w:rsidR="00C56FAE" w:rsidRDefault="000C1B79" w:rsidP="00C56FAE">
      <w:pPr>
        <w:numPr>
          <w:ilvl w:val="0"/>
          <w:numId w:val="8"/>
        </w:numPr>
        <w:contextualSpacing/>
      </w:pPr>
      <w:r w:rsidRPr="000C1B79">
        <w:rPr>
          <w:b/>
          <w:bCs/>
        </w:rPr>
        <w:t>Demonios (</w:t>
      </w:r>
      <w:proofErr w:type="spellStart"/>
      <w:r w:rsidRPr="000C1B79">
        <w:rPr>
          <w:b/>
          <w:bCs/>
        </w:rPr>
        <w:t>FileWatchers</w:t>
      </w:r>
      <w:proofErr w:type="spellEnd"/>
      <w:r w:rsidRPr="000C1B79">
        <w:rPr>
          <w:b/>
          <w:bCs/>
        </w:rPr>
        <w:t>):</w:t>
      </w:r>
      <w:r w:rsidRPr="000C1B79">
        <w:t xml:space="preserve"> Componentes como el </w:t>
      </w:r>
      <w:proofErr w:type="spellStart"/>
      <w:r w:rsidRPr="000C1B79">
        <w:t>Demon</w:t>
      </w:r>
      <w:proofErr w:type="spellEnd"/>
      <w:r w:rsidRPr="000C1B79">
        <w:t xml:space="preserve"> NOVA (FW Core) que monitorizan el sistema de archivos de manera pasiva para detectar la llegada de ficheros desde sistemas origen (como </w:t>
      </w:r>
      <w:proofErr w:type="spellStart"/>
      <w:r w:rsidRPr="000C1B79">
        <w:t>Asset</w:t>
      </w:r>
      <w:proofErr w:type="spellEnd"/>
      <w:r w:rsidRPr="000C1B79">
        <w:t xml:space="preserve"> Control o IPV Manager) e invocar al Core para su procesamiento.</w:t>
      </w:r>
    </w:p>
    <w:p w14:paraId="432F84BD" w14:textId="77777777" w:rsidR="00C56FAE" w:rsidRPr="000C1B79" w:rsidRDefault="00C56FAE" w:rsidP="00C56FAE">
      <w:pPr>
        <w:contextualSpacing/>
      </w:pPr>
    </w:p>
    <w:p w14:paraId="635A62F5" w14:textId="0DEFF249" w:rsidR="00C56FAE" w:rsidRPr="00C56FAE" w:rsidRDefault="000C1B79" w:rsidP="00C56FAE">
      <w:pPr>
        <w:pStyle w:val="ListParagraph"/>
        <w:numPr>
          <w:ilvl w:val="0"/>
          <w:numId w:val="11"/>
        </w:numPr>
        <w:rPr>
          <w:b/>
          <w:bCs/>
        </w:rPr>
      </w:pPr>
      <w:r w:rsidRPr="00C56FAE">
        <w:rPr>
          <w:b/>
          <w:bCs/>
        </w:rPr>
        <w:t>Subsistemas de Calibración</w:t>
      </w:r>
    </w:p>
    <w:p w14:paraId="3524C268" w14:textId="77777777" w:rsidR="000C1B79" w:rsidRPr="000C1B79" w:rsidRDefault="000C1B79" w:rsidP="000C1B79">
      <w:pPr>
        <w:contextualSpacing/>
      </w:pPr>
      <w:r w:rsidRPr="000C1B79">
        <w:t>Para el enriquecimiento y validación matemática de los datos de mercado, la arquitectura incluye conectores dedicados que establecen comunicación TCP con sistemas analíticos internos (</w:t>
      </w:r>
      <w:proofErr w:type="spellStart"/>
      <w:r w:rsidRPr="000C1B79">
        <w:rPr>
          <w:i/>
          <w:iCs/>
        </w:rPr>
        <w:t>Financial</w:t>
      </w:r>
      <w:proofErr w:type="spellEnd"/>
      <w:r w:rsidRPr="000C1B79">
        <w:rPr>
          <w:i/>
          <w:iCs/>
        </w:rPr>
        <w:t xml:space="preserve"> </w:t>
      </w:r>
      <w:proofErr w:type="spellStart"/>
      <w:r w:rsidRPr="000C1B79">
        <w:rPr>
          <w:i/>
          <w:iCs/>
        </w:rPr>
        <w:t>Object</w:t>
      </w:r>
      <w:proofErr w:type="spellEnd"/>
      <w:r w:rsidRPr="000C1B79">
        <w:rPr>
          <w:i/>
          <w:iCs/>
        </w:rPr>
        <w:t xml:space="preserve"> Library</w:t>
      </w:r>
      <w:r w:rsidRPr="000C1B79">
        <w:t>).</w:t>
      </w:r>
    </w:p>
    <w:p w14:paraId="5E42E4D3" w14:textId="77777777" w:rsidR="000C1B79" w:rsidRDefault="000C1B79" w:rsidP="000C1B79">
      <w:pPr>
        <w:contextualSpacing/>
      </w:pPr>
      <w:r w:rsidRPr="000C1B79">
        <w:t xml:space="preserve">Destacan las </w:t>
      </w:r>
      <w:proofErr w:type="spellStart"/>
      <w:r w:rsidRPr="000C1B79">
        <w:t>APIs</w:t>
      </w:r>
      <w:proofErr w:type="spellEnd"/>
      <w:r w:rsidRPr="000C1B79">
        <w:t xml:space="preserve"> encargadas de comunicarse con </w:t>
      </w:r>
      <w:proofErr w:type="spellStart"/>
      <w:r w:rsidRPr="000C1B79">
        <w:rPr>
          <w:b/>
          <w:bCs/>
        </w:rPr>
        <w:t>Murex</w:t>
      </w:r>
      <w:proofErr w:type="spellEnd"/>
      <w:r w:rsidRPr="000C1B79">
        <w:rPr>
          <w:b/>
          <w:bCs/>
        </w:rPr>
        <w:t xml:space="preserve"> 3</w:t>
      </w:r>
      <w:r w:rsidRPr="000C1B79">
        <w:t xml:space="preserve">, los laboratorios de </w:t>
      </w:r>
      <w:proofErr w:type="spellStart"/>
      <w:r w:rsidRPr="000C1B79">
        <w:t>Murex</w:t>
      </w:r>
      <w:proofErr w:type="spellEnd"/>
      <w:r w:rsidRPr="000C1B79">
        <w:t xml:space="preserve"> en AWS, ORC y la FOL (</w:t>
      </w:r>
      <w:proofErr w:type="spellStart"/>
      <w:r w:rsidRPr="000C1B79">
        <w:t>Symphony</w:t>
      </w:r>
      <w:proofErr w:type="spellEnd"/>
      <w:r w:rsidRPr="000C1B79">
        <w:t>) para ceder datos crudos y recibir los conjuntos de parámetros calibrados.</w:t>
      </w:r>
    </w:p>
    <w:p w14:paraId="1A1B8089" w14:textId="77777777" w:rsidR="00C56FAE" w:rsidRPr="000C1B79" w:rsidRDefault="00C56FAE" w:rsidP="000C1B79">
      <w:pPr>
        <w:contextualSpacing/>
      </w:pPr>
    </w:p>
    <w:p w14:paraId="33FC1ACC" w14:textId="2FD6DF5C" w:rsidR="00C56FAE" w:rsidRPr="00C56FAE" w:rsidRDefault="000C1B79" w:rsidP="00C56FAE">
      <w:pPr>
        <w:pStyle w:val="ListParagraph"/>
        <w:numPr>
          <w:ilvl w:val="0"/>
          <w:numId w:val="11"/>
        </w:numPr>
        <w:rPr>
          <w:b/>
          <w:bCs/>
        </w:rPr>
      </w:pPr>
      <w:r w:rsidRPr="00C56FAE">
        <w:rPr>
          <w:b/>
          <w:bCs/>
        </w:rPr>
        <w:t>Ecosistema de Mensajería, Alertas y Gestión</w:t>
      </w:r>
    </w:p>
    <w:p w14:paraId="15DEE4B7" w14:textId="77777777" w:rsidR="000C1B79" w:rsidRPr="000C1B79" w:rsidRDefault="000C1B79" w:rsidP="000C1B79">
      <w:pPr>
        <w:contextualSpacing/>
      </w:pPr>
      <w:r w:rsidRPr="000C1B79">
        <w:t xml:space="preserve">La arquitectura orientada a eventos se orquesta a través de </w:t>
      </w:r>
      <w:r w:rsidRPr="000C1B79">
        <w:rPr>
          <w:b/>
          <w:bCs/>
        </w:rPr>
        <w:t xml:space="preserve">NOVA </w:t>
      </w:r>
      <w:proofErr w:type="spellStart"/>
      <w:r w:rsidRPr="000C1B79">
        <w:rPr>
          <w:b/>
          <w:bCs/>
        </w:rPr>
        <w:t>Broker</w:t>
      </w:r>
      <w:proofErr w:type="spellEnd"/>
      <w:r w:rsidRPr="000C1B79">
        <w:rPr>
          <w:b/>
          <w:bCs/>
        </w:rPr>
        <w:t xml:space="preserve"> (AMQP)</w:t>
      </w:r>
      <w:r w:rsidRPr="000C1B79">
        <w:t xml:space="preserve">, que recibe y canaliza los eventos internos de los distintos servicios. Un suscriptor denominado </w:t>
      </w:r>
      <w:proofErr w:type="spellStart"/>
      <w:r w:rsidRPr="000C1B79">
        <w:t>Demon</w:t>
      </w:r>
      <w:proofErr w:type="spellEnd"/>
      <w:r w:rsidRPr="000C1B79">
        <w:t xml:space="preserve"> NOVA (</w:t>
      </w:r>
      <w:proofErr w:type="spellStart"/>
      <w:r w:rsidRPr="000C1B79">
        <w:t>Alerts</w:t>
      </w:r>
      <w:proofErr w:type="spellEnd"/>
      <w:r w:rsidRPr="000C1B79">
        <w:t>) lee y consolida esta actividad.</w:t>
      </w:r>
    </w:p>
    <w:p w14:paraId="22F8F6BB" w14:textId="77777777" w:rsidR="000C1B79" w:rsidRDefault="000C1B79" w:rsidP="000C1B79">
      <w:pPr>
        <w:contextualSpacing/>
      </w:pPr>
      <w:r w:rsidRPr="000C1B79">
        <w:t>Además, se cuenta con una API de administración en Python (ANS Tool) para la gestión operativa del equipo de soporte, y se integra de forma directa con el Gestor de Notificaciones CIB (API G.N) para la emisión proactiva de alertas y correos electrónicos.</w:t>
      </w:r>
    </w:p>
    <w:p w14:paraId="778B3555" w14:textId="77777777" w:rsidR="00C56FAE" w:rsidRPr="000C1B79" w:rsidRDefault="00C56FAE" w:rsidP="000C1B79">
      <w:pPr>
        <w:contextualSpacing/>
      </w:pPr>
    </w:p>
    <w:p w14:paraId="72BFDF21" w14:textId="24BF6F0B" w:rsidR="00C56FAE" w:rsidRPr="00C56FAE" w:rsidRDefault="000C1B79" w:rsidP="00C56FAE">
      <w:pPr>
        <w:pStyle w:val="ListParagraph"/>
        <w:numPr>
          <w:ilvl w:val="0"/>
          <w:numId w:val="11"/>
        </w:numPr>
        <w:rPr>
          <w:b/>
          <w:bCs/>
        </w:rPr>
      </w:pPr>
      <w:r w:rsidRPr="00C56FAE">
        <w:rPr>
          <w:b/>
          <w:bCs/>
        </w:rPr>
        <w:t>Capa de Almacenamiento (Storage)</w:t>
      </w:r>
    </w:p>
    <w:p w14:paraId="54604731" w14:textId="77777777" w:rsidR="000C1B79" w:rsidRPr="000C1B79" w:rsidRDefault="000C1B79" w:rsidP="000C1B79">
      <w:pPr>
        <w:contextualSpacing/>
      </w:pPr>
      <w:r w:rsidRPr="000C1B79">
        <w:t>La persistencia del sistema está segmentada para optimizar el rendimiento y los costes:</w:t>
      </w:r>
    </w:p>
    <w:p w14:paraId="0C97FEE4" w14:textId="77777777" w:rsidR="000C1B79" w:rsidRPr="000C1B79" w:rsidRDefault="000C1B79" w:rsidP="000C1B79">
      <w:pPr>
        <w:numPr>
          <w:ilvl w:val="0"/>
          <w:numId w:val="9"/>
        </w:numPr>
        <w:contextualSpacing/>
      </w:pPr>
      <w:r w:rsidRPr="000C1B79">
        <w:rPr>
          <w:b/>
          <w:bCs/>
        </w:rPr>
        <w:t>Base de Datos Relacional:</w:t>
      </w:r>
      <w:r w:rsidRPr="000C1B79">
        <w:t xml:space="preserve"> Base de datos Oracle 19 asignada en exclusiva a la aplicación.</w:t>
      </w:r>
    </w:p>
    <w:p w14:paraId="3E1A2D5F" w14:textId="77777777" w:rsidR="000C1B79" w:rsidRPr="000C1B79" w:rsidRDefault="000C1B79" w:rsidP="000C1B79">
      <w:pPr>
        <w:numPr>
          <w:ilvl w:val="0"/>
          <w:numId w:val="9"/>
        </w:numPr>
        <w:contextualSpacing/>
      </w:pPr>
      <w:r w:rsidRPr="000C1B79">
        <w:rPr>
          <w:b/>
          <w:bCs/>
        </w:rPr>
        <w:lastRenderedPageBreak/>
        <w:t>Sistemas de Ficheros (NOVA FS):</w:t>
      </w:r>
      <w:r w:rsidRPr="000C1B79">
        <w:t xml:space="preserve"> Segmentados físicamente en </w:t>
      </w:r>
      <w:r w:rsidRPr="000C1B79">
        <w:rPr>
          <w:i/>
          <w:iCs/>
        </w:rPr>
        <w:t>FS IN</w:t>
      </w:r>
      <w:r w:rsidRPr="000C1B79">
        <w:t xml:space="preserve"> (zona de aterrizaje de entradas), </w:t>
      </w:r>
      <w:r w:rsidRPr="000C1B79">
        <w:rPr>
          <w:i/>
          <w:iCs/>
        </w:rPr>
        <w:t>FS OUT</w:t>
      </w:r>
      <w:r w:rsidRPr="000C1B79">
        <w:t xml:space="preserve"> (directorio para la consolidación de salidas) y </w:t>
      </w:r>
      <w:r w:rsidRPr="000C1B79">
        <w:rPr>
          <w:i/>
          <w:iCs/>
        </w:rPr>
        <w:t xml:space="preserve">FS </w:t>
      </w:r>
      <w:proofErr w:type="spellStart"/>
      <w:r w:rsidRPr="000C1B79">
        <w:rPr>
          <w:i/>
          <w:iCs/>
        </w:rPr>
        <w:t>Calibrations</w:t>
      </w:r>
      <w:proofErr w:type="spellEnd"/>
      <w:r w:rsidRPr="000C1B79">
        <w:t xml:space="preserve"> (área transitoria para el motor de calibración).</w:t>
      </w:r>
    </w:p>
    <w:p w14:paraId="1C63BABB" w14:textId="18F8F523" w:rsidR="00C56FAE" w:rsidRDefault="000C1B79" w:rsidP="00C56FAE">
      <w:pPr>
        <w:numPr>
          <w:ilvl w:val="0"/>
          <w:numId w:val="9"/>
        </w:numPr>
        <w:contextualSpacing/>
      </w:pPr>
      <w:proofErr w:type="spellStart"/>
      <w:r w:rsidRPr="000C1B79">
        <w:rPr>
          <w:b/>
          <w:bCs/>
        </w:rPr>
        <w:t>Buckets</w:t>
      </w:r>
      <w:proofErr w:type="spellEnd"/>
      <w:r w:rsidRPr="000C1B79">
        <w:rPr>
          <w:b/>
          <w:bCs/>
        </w:rPr>
        <w:t xml:space="preserve"> (</w:t>
      </w:r>
      <w:proofErr w:type="spellStart"/>
      <w:r w:rsidRPr="000C1B79">
        <w:rPr>
          <w:b/>
          <w:bCs/>
        </w:rPr>
        <w:t>Epsilon</w:t>
      </w:r>
      <w:proofErr w:type="spellEnd"/>
      <w:r w:rsidRPr="000C1B79">
        <w:rPr>
          <w:b/>
          <w:bCs/>
        </w:rPr>
        <w:t>):</w:t>
      </w:r>
      <w:r w:rsidRPr="000C1B79">
        <w:t xml:space="preserve"> Repositorios de almacenamiento de objetos utilizados para la </w:t>
      </w:r>
      <w:proofErr w:type="spellStart"/>
      <w:r w:rsidRPr="000C1B79">
        <w:t>historificación</w:t>
      </w:r>
      <w:proofErr w:type="spellEnd"/>
      <w:r w:rsidRPr="000C1B79">
        <w:t xml:space="preserve"> profunda de los archivos procesados y los </w:t>
      </w:r>
      <w:proofErr w:type="spellStart"/>
      <w:r w:rsidRPr="000C1B79">
        <w:rPr>
          <w:i/>
          <w:iCs/>
        </w:rPr>
        <w:t>snapshots</w:t>
      </w:r>
      <w:proofErr w:type="spellEnd"/>
      <w:r w:rsidRPr="000C1B79">
        <w:t xml:space="preserve"> generados por el motor.</w:t>
      </w:r>
    </w:p>
    <w:p w14:paraId="523C9E2A" w14:textId="77777777" w:rsidR="00C56FAE" w:rsidRPr="000C1B79" w:rsidRDefault="00C56FAE" w:rsidP="00C56FAE">
      <w:pPr>
        <w:contextualSpacing/>
      </w:pPr>
    </w:p>
    <w:p w14:paraId="7DE9226E" w14:textId="2C15E0CF" w:rsidR="00C56FAE" w:rsidRPr="00C56FAE" w:rsidRDefault="000C1B79" w:rsidP="00C56FAE">
      <w:pPr>
        <w:pStyle w:val="ListParagraph"/>
        <w:numPr>
          <w:ilvl w:val="0"/>
          <w:numId w:val="11"/>
        </w:numPr>
        <w:rPr>
          <w:b/>
          <w:bCs/>
        </w:rPr>
      </w:pPr>
      <w:r w:rsidRPr="00C56FAE">
        <w:rPr>
          <w:b/>
          <w:bCs/>
        </w:rPr>
        <w:t xml:space="preserve">Capa de Distribución (Outputs y </w:t>
      </w:r>
      <w:proofErr w:type="spellStart"/>
      <w:r w:rsidRPr="00C56FAE">
        <w:rPr>
          <w:b/>
          <w:bCs/>
        </w:rPr>
        <w:t>Consumers</w:t>
      </w:r>
      <w:proofErr w:type="spellEnd"/>
      <w:r w:rsidRPr="00C56FAE">
        <w:rPr>
          <w:b/>
          <w:bCs/>
        </w:rPr>
        <w:t>)</w:t>
      </w:r>
    </w:p>
    <w:p w14:paraId="1C68C9A9" w14:textId="77777777" w:rsidR="000C1B79" w:rsidRPr="000C1B79" w:rsidRDefault="000C1B79" w:rsidP="000C1B79">
      <w:pPr>
        <w:contextualSpacing/>
      </w:pPr>
      <w:r w:rsidRPr="000C1B79">
        <w:t>La difusión de los datos limpios hacia los sistemas consumidores se expone bajo varios patrones tecnológicos para adaptarse a las necesidades de cada receptor:</w:t>
      </w:r>
    </w:p>
    <w:p w14:paraId="7B0D2006" w14:textId="77777777" w:rsidR="000C1B79" w:rsidRPr="000C1B79" w:rsidRDefault="000C1B79" w:rsidP="000C1B79">
      <w:pPr>
        <w:numPr>
          <w:ilvl w:val="0"/>
          <w:numId w:val="10"/>
        </w:numPr>
        <w:contextualSpacing/>
      </w:pPr>
      <w:r w:rsidRPr="000C1B79">
        <w:rPr>
          <w:b/>
          <w:bCs/>
        </w:rPr>
        <w:t xml:space="preserve">Transmisión en </w:t>
      </w:r>
      <w:proofErr w:type="spellStart"/>
      <w:r w:rsidRPr="000C1B79">
        <w:rPr>
          <w:b/>
          <w:bCs/>
        </w:rPr>
        <w:t>Streaming</w:t>
      </w:r>
      <w:proofErr w:type="spellEnd"/>
      <w:r w:rsidRPr="000C1B79">
        <w:rPr>
          <w:b/>
          <w:bCs/>
        </w:rPr>
        <w:t>:</w:t>
      </w:r>
      <w:r w:rsidRPr="000C1B79">
        <w:t xml:space="preserve"> Consumo síncrono y asíncrono a través del bus de integración corporativo TIBCO ESB.</w:t>
      </w:r>
    </w:p>
    <w:p w14:paraId="419278E5" w14:textId="77777777" w:rsidR="000C1B79" w:rsidRPr="000C1B79" w:rsidRDefault="000C1B79" w:rsidP="000C1B79">
      <w:pPr>
        <w:numPr>
          <w:ilvl w:val="0"/>
          <w:numId w:val="10"/>
        </w:numPr>
        <w:contextualSpacing/>
      </w:pPr>
      <w:r w:rsidRPr="000C1B79">
        <w:rPr>
          <w:b/>
          <w:bCs/>
        </w:rPr>
        <w:t>Servicios API REST:</w:t>
      </w:r>
      <w:r w:rsidRPr="000C1B79">
        <w:t xml:space="preserve"> Consumo bajo demanda mediante </w:t>
      </w:r>
      <w:proofErr w:type="spellStart"/>
      <w:r w:rsidRPr="000C1B79">
        <w:rPr>
          <w:i/>
          <w:iCs/>
        </w:rPr>
        <w:t>endpoints</w:t>
      </w:r>
      <w:proofErr w:type="spellEnd"/>
      <w:r w:rsidRPr="000C1B79">
        <w:t xml:space="preserve"> </w:t>
      </w:r>
      <w:proofErr w:type="spellStart"/>
      <w:r w:rsidRPr="000C1B79">
        <w:t>securizados</w:t>
      </w:r>
      <w:proofErr w:type="spellEnd"/>
      <w:r w:rsidRPr="000C1B79">
        <w:t xml:space="preserve">. Se hace uso de un entorno táctico en </w:t>
      </w:r>
      <w:proofErr w:type="spellStart"/>
      <w:r w:rsidRPr="000C1B79">
        <w:t>Rancher</w:t>
      </w:r>
      <w:proofErr w:type="spellEnd"/>
      <w:r w:rsidRPr="000C1B79">
        <w:t xml:space="preserve"> que actúa como proxy (apantallado por la arquitectura de seguridad XMAS) para distribuir a consumidores como CFIT, Telémaco u ORC.</w:t>
      </w:r>
    </w:p>
    <w:p w14:paraId="2B34C6A1" w14:textId="77777777" w:rsidR="000C1B79" w:rsidRDefault="000C1B79" w:rsidP="000C1B79">
      <w:pPr>
        <w:numPr>
          <w:ilvl w:val="0"/>
          <w:numId w:val="10"/>
        </w:numPr>
        <w:contextualSpacing/>
      </w:pPr>
      <w:r w:rsidRPr="000C1B79">
        <w:rPr>
          <w:b/>
          <w:bCs/>
        </w:rPr>
        <w:t xml:space="preserve">Cesiones </w:t>
      </w:r>
      <w:proofErr w:type="spellStart"/>
      <w:r w:rsidRPr="000C1B79">
        <w:rPr>
          <w:b/>
          <w:bCs/>
        </w:rPr>
        <w:t>Batch</w:t>
      </w:r>
      <w:proofErr w:type="spellEnd"/>
      <w:r w:rsidRPr="000C1B79">
        <w:rPr>
          <w:b/>
          <w:bCs/>
        </w:rPr>
        <w:t>:</w:t>
      </w:r>
      <w:r w:rsidRPr="000C1B79">
        <w:t xml:space="preserve"> Envío de ficheros físicos masivos a ecosistemas Big Data o sistemas satélite orquestados por </w:t>
      </w:r>
      <w:proofErr w:type="spellStart"/>
      <w:r w:rsidRPr="000C1B79">
        <w:t>DataX</w:t>
      </w:r>
      <w:proofErr w:type="spellEnd"/>
      <w:r w:rsidRPr="000C1B79">
        <w:t>, Nova Transfer y protocolos SFTP.</w:t>
      </w:r>
    </w:p>
    <w:p w14:paraId="6CB4DEA0" w14:textId="77777777" w:rsidR="00C56FAE" w:rsidRPr="000C1B79" w:rsidRDefault="00C56FAE" w:rsidP="00C56FAE">
      <w:pPr>
        <w:contextualSpacing/>
      </w:pPr>
    </w:p>
    <w:p w14:paraId="76FA1A5D" w14:textId="051A5E37" w:rsidR="00C56FAE" w:rsidRPr="00C56FAE" w:rsidRDefault="000C1B79" w:rsidP="00C56FAE">
      <w:pPr>
        <w:pStyle w:val="ListParagraph"/>
        <w:numPr>
          <w:ilvl w:val="0"/>
          <w:numId w:val="11"/>
        </w:numPr>
        <w:rPr>
          <w:b/>
          <w:bCs/>
        </w:rPr>
      </w:pPr>
      <w:r w:rsidRPr="00C56FAE">
        <w:rPr>
          <w:b/>
          <w:bCs/>
        </w:rPr>
        <w:t>Capa de Presentación (</w:t>
      </w:r>
      <w:proofErr w:type="spellStart"/>
      <w:r w:rsidRPr="00C56FAE">
        <w:rPr>
          <w:b/>
          <w:bCs/>
        </w:rPr>
        <w:t>Frontend</w:t>
      </w:r>
      <w:proofErr w:type="spellEnd"/>
      <w:r w:rsidRPr="00C56FAE">
        <w:rPr>
          <w:b/>
          <w:bCs/>
        </w:rPr>
        <w:t>)</w:t>
      </w:r>
    </w:p>
    <w:p w14:paraId="0E6A70E9" w14:textId="77777777" w:rsidR="000C1B79" w:rsidRPr="000C1B79" w:rsidRDefault="000C1B79" w:rsidP="000C1B79">
      <w:pPr>
        <w:contextualSpacing/>
      </w:pPr>
      <w:r w:rsidRPr="000C1B79">
        <w:t xml:space="preserve">El acceso interactivo por parte de los operadores, equipos de riesgos y soporte técnico se materializa a través de un frontal SPA desarrollado en </w:t>
      </w:r>
      <w:r w:rsidRPr="000C1B79">
        <w:rPr>
          <w:b/>
          <w:bCs/>
        </w:rPr>
        <w:t>Angular</w:t>
      </w:r>
      <w:r w:rsidRPr="000C1B79">
        <w:t xml:space="preserve"> y servido mediante </w:t>
      </w:r>
      <w:r w:rsidRPr="000C1B79">
        <w:rPr>
          <w:b/>
          <w:bCs/>
        </w:rPr>
        <w:t>NOVA CDN</w:t>
      </w:r>
      <w:r w:rsidRPr="000C1B79">
        <w:t>.</w:t>
      </w:r>
    </w:p>
    <w:p w14:paraId="470AEEEC" w14:textId="5DD3DA26" w:rsidR="000C1B79" w:rsidRPr="000C1B79" w:rsidRDefault="000C1B79" w:rsidP="00C56FAE">
      <w:pPr>
        <w:contextualSpacing/>
      </w:pPr>
      <w:r w:rsidRPr="000C1B79">
        <w:t xml:space="preserve">Esta GUI (que implementa componentes avanzados de alto rendimiento como </w:t>
      </w:r>
      <w:r w:rsidRPr="000C1B79">
        <w:rPr>
          <w:i/>
          <w:iCs/>
        </w:rPr>
        <w:t>z-table</w:t>
      </w:r>
      <w:r w:rsidRPr="000C1B79">
        <w:t>) permite gestionar de forma visual los diccionarios de instrumentos, monitorizar trazas y salud del sistema, lanzar extracciones manuales y auditar los cierres de mercado.</w:t>
      </w:r>
    </w:p>
    <w:p w14:paraId="18E21BCE" w14:textId="77777777" w:rsidR="00442458" w:rsidRPr="009961E0" w:rsidRDefault="00442458" w:rsidP="000C1B79">
      <w:pPr>
        <w:contextualSpacing/>
      </w:pPr>
    </w:p>
    <w:sectPr w:rsidR="00442458" w:rsidRPr="009961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DE7"/>
    <w:multiLevelType w:val="multilevel"/>
    <w:tmpl w:val="670CB76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ED7D2B"/>
    <w:multiLevelType w:val="multilevel"/>
    <w:tmpl w:val="72F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7F40"/>
    <w:multiLevelType w:val="hybridMultilevel"/>
    <w:tmpl w:val="FBF825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37426"/>
    <w:multiLevelType w:val="multilevel"/>
    <w:tmpl w:val="55A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85E0E"/>
    <w:multiLevelType w:val="multilevel"/>
    <w:tmpl w:val="01F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B7FAD"/>
    <w:multiLevelType w:val="hybridMultilevel"/>
    <w:tmpl w:val="B956C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6461F"/>
    <w:multiLevelType w:val="hybridMultilevel"/>
    <w:tmpl w:val="A34C47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990B94"/>
    <w:multiLevelType w:val="hybridMultilevel"/>
    <w:tmpl w:val="C65C4B7C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CC37B87"/>
    <w:multiLevelType w:val="hybridMultilevel"/>
    <w:tmpl w:val="90129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EB3390"/>
    <w:multiLevelType w:val="hybridMultilevel"/>
    <w:tmpl w:val="91503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4655F"/>
    <w:multiLevelType w:val="hybridMultilevel"/>
    <w:tmpl w:val="6054F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454281">
    <w:abstractNumId w:val="0"/>
  </w:num>
  <w:num w:numId="2" w16cid:durableId="617106295">
    <w:abstractNumId w:val="7"/>
  </w:num>
  <w:num w:numId="3" w16cid:durableId="1877237918">
    <w:abstractNumId w:val="5"/>
  </w:num>
  <w:num w:numId="4" w16cid:durableId="865217827">
    <w:abstractNumId w:val="6"/>
  </w:num>
  <w:num w:numId="5" w16cid:durableId="388842072">
    <w:abstractNumId w:val="10"/>
  </w:num>
  <w:num w:numId="6" w16cid:durableId="1304116710">
    <w:abstractNumId w:val="9"/>
  </w:num>
  <w:num w:numId="7" w16cid:durableId="1950431934">
    <w:abstractNumId w:val="8"/>
  </w:num>
  <w:num w:numId="8" w16cid:durableId="219295314">
    <w:abstractNumId w:val="3"/>
  </w:num>
  <w:num w:numId="9" w16cid:durableId="252975398">
    <w:abstractNumId w:val="4"/>
  </w:num>
  <w:num w:numId="10" w16cid:durableId="1206061302">
    <w:abstractNumId w:val="1"/>
  </w:num>
  <w:num w:numId="11" w16cid:durableId="1069813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9F"/>
    <w:rsid w:val="000B323D"/>
    <w:rsid w:val="000C1B79"/>
    <w:rsid w:val="0015440C"/>
    <w:rsid w:val="002C6C63"/>
    <w:rsid w:val="00442458"/>
    <w:rsid w:val="0048479F"/>
    <w:rsid w:val="00490856"/>
    <w:rsid w:val="0052485E"/>
    <w:rsid w:val="00531C58"/>
    <w:rsid w:val="006E43AF"/>
    <w:rsid w:val="006F5465"/>
    <w:rsid w:val="007744BB"/>
    <w:rsid w:val="008F479D"/>
    <w:rsid w:val="00994EB8"/>
    <w:rsid w:val="009961E0"/>
    <w:rsid w:val="00B5162A"/>
    <w:rsid w:val="00C56FAE"/>
    <w:rsid w:val="00C96D3D"/>
    <w:rsid w:val="00CC1B55"/>
    <w:rsid w:val="00E96658"/>
    <w:rsid w:val="00F21556"/>
    <w:rsid w:val="00F30216"/>
    <w:rsid w:val="00F559E7"/>
    <w:rsid w:val="00F92E10"/>
    <w:rsid w:val="00F9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A976B"/>
  <w15:chartTrackingRefBased/>
  <w15:docId w15:val="{1B8D4ECF-BB96-4A9A-ACAB-40DCAF64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63"/>
    <w:pPr>
      <w:spacing w:before="240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6C63"/>
    <w:pPr>
      <w:keepNext/>
      <w:keepLines/>
      <w:numPr>
        <w:numId w:val="1"/>
      </w:numPr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6C63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744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8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922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BBVA</Company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WOUTERS D¿OPLINTER OLALDE, MIGUEL</dc:creator>
  <cp:keywords/>
  <dc:description/>
  <cp:lastModifiedBy>DE WOUTERS D¿OPLINTER OLALDE, MIGUEL</cp:lastModifiedBy>
  <cp:revision>9</cp:revision>
  <dcterms:created xsi:type="dcterms:W3CDTF">2026-06-02T20:33:00Z</dcterms:created>
  <dcterms:modified xsi:type="dcterms:W3CDTF">2026-06-30T22:57:00Z</dcterms:modified>
</cp:coreProperties>
</file>