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PwC Consulting Challenge FY26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52"/>
          <w:szCs w:val="52"/>
          <w:rtl w:val="0"/>
        </w:rPr>
        <w:t xml:space="preserve">SkiWell Sports — Crack the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8"/>
          <w:szCs w:val="28"/>
          <w:rtl w:val="0"/>
        </w:rPr>
        <w:t xml:space="preserve">Plano de Análise Estruturado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2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18"/>
          <w:szCs w:val="18"/>
          <w:rtl w:val="0"/>
        </w:rPr>
        <w:t xml:space="preserve">Documento de trabalho interno — v1.1 | Abril 2026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7f7f7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21"/>
                <w:szCs w:val="21"/>
                <w:rtl w:val="0"/>
              </w:rPr>
              <w:t xml:space="preserve">Sobre este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9"/>
                <w:szCs w:val="19"/>
                <w:rtl w:val="0"/>
              </w:rPr>
              <w:t xml:space="preserve">Plano analítico completo para a resolução do caso SkiWell Sports. O dataset contém 147.511 transações (2016–2027), cobrindo Europa, América do Norte e Ásia, com informação de vendas, custos de produção, custos de expedição, geografia, loja, categoria de produto e transportadora.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sdt>
              <w:sdtPr>
                <w:id w:val="37612514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As análises estão organizadas por eixo temático — cada análise cobre todos os níveis de granularidade necessários (global → região → país → loja), eliminando a distinção artificial entre análise global e análise geográfica.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Bdr>
          <w:bottom w:color="d04a02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0"/>
          <w:szCs w:val="30"/>
          <w:rtl w:val="0"/>
        </w:rPr>
        <w:t xml:space="preserve">0. Dados &amp; Pressupostos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0.1 Estrutura do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000"/>
        <w:gridCol w:w="3160"/>
        <w:tblGridChange w:id="0">
          <w:tblGrid>
            <w:gridCol w:w="2200"/>
            <w:gridCol w:w="4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Region /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Região (Asia, Europe, North America) e país (11 países)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300 nulos em 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Shop_ID / Year_Opened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ID da loja e ano de abertura — base para análise de maturidade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100 / 400 nulos respetivamente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Order_Date / 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Data do pedido (sem nulos) e data de entrega prevista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121.031 nulos em Due_Date (~82%)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Ano da transação (campo separado de Order_Date)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Inclui 2027 — verificar validade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Main_Category / 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Clothing, Accessories, Technical Equipment + subcategorias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Typos: 'Googgles', 'Sky socks', 'Hatts' — normalizar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Shipping_Company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SnowLogistics, SafeTrans, QuickMove, FastDelivery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121.031 nulos — 82% sem transportadora registada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Sales_Price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Preço final de venda (€) — descontos já incluídos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Sem nulos; €10–€1.200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Production_Cost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Custo direto de produção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Sem nulos; cobre matéria-prima, mão-de-obra, energia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Custo de expedição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121.031 nulos — consistente com Shipping_Company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0.2 Métricas Base &amp; Pressupostos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Moeda de reporte: Euro (€) para todas as geografias.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sdt>
        <w:sdtPr>
          <w:id w:val="13282069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12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Gross Profit (GP) = Sales_Price − Production_Cost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sdt>
        <w:sdtPr>
          <w:id w:val="88982042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12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Total Profit = Sales_Price − Production_Cost − Shipping_Cost (só pedidos com shipping preenchido)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Gross Margin % = GP / Sales_Price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Shipping Cost Ratio = Shipping_Cost / Sales_Price ×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sdt>
        <w:sdtPr>
          <w:id w:val="-49542348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12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Antiguidade da loja = Year_transação − Year_Opened (nulos: imputar mediana da região)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Subcategorias com typos normalizadas antes de qualquer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Pedidos sem Shipping_Cost tratados como vendas em loja física ou dado em falta — análises logísticas restringidas ao subconjunto de 26.480 pedidos válidos (18%).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Ano 2027 excluído da análise histórica ou tratado como flag — documentar na apresentação.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4a02" w:space="0" w:sz="16" w:val="single"/>
              <w:bottom w:color="000000" w:space="0" w:sz="0" w:val="nil"/>
              <w:right w:color="000000" w:space="0" w:sz="0" w:val="nil"/>
            </w:tcBorders>
            <w:shd w:fill="fde8d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9"/>
                <w:szCs w:val="19"/>
                <w:rtl w:val="0"/>
              </w:rPr>
              <w:t xml:space="preserve">⚠️  Todos os pressupostos assumidos devem ser identificados explicitamente na apresentação final (regra do Crack the Data).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d04a02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0"/>
          <w:szCs w:val="30"/>
          <w:rtl w:val="0"/>
        </w:rPr>
        <w:t xml:space="preserve">1. Eixo Financeiro — Rentabilidade &amp;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sdt>
        <w:sdtPr>
          <w:id w:val="-7296560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1272a"/>
              <w:sz w:val="20"/>
              <w:szCs w:val="20"/>
              <w:rtl w:val="0"/>
            </w:rPr>
            <w:t xml:space="preserve">Objetivo: avaliar a saúde financeira da SkiWell Sports em todos os níveis (global → região → país → loja), identificar onde a rentabilidade está a deteriorar e quantificar a magnitude.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1.1 KPIs — Eixo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500"/>
        <w:gridCol w:w="3200"/>
        <w:gridCol w:w="800"/>
        <w:gridCol w:w="1960"/>
        <w:tblGridChange w:id="0">
          <w:tblGrid>
            <w:gridCol w:w="900"/>
            <w:gridCol w:w="2500"/>
            <w:gridCol w:w="3200"/>
            <w:gridCol w:w="8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Fórmula /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SUM(Sales_Price)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Ano / Região / País / Loja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Gross Profit (GP)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-95316279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18"/>
                    <w:szCs w:val="18"/>
                    <w:rtl w:val="0"/>
                  </w:rPr>
                  <w:t xml:space="preserve">SUM(Sales_Price − Production_Cost)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Ano / Região / País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Total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63019998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18"/>
                    <w:szCs w:val="18"/>
                    <w:rtl w:val="0"/>
                  </w:rPr>
                  <w:t xml:space="preserve">SUM(Sales_Price − Production_Cost − Shipping_Cost)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Ano / Região /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Gross 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GP / Revenue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Ano / Região / País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Net 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Total Profit / Revenue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Ano / Região /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Production Cost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SUM(Production_Cost) / SUM(Sales_Price)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Categoria / País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YoY Revenue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-85335479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18"/>
                    <w:szCs w:val="18"/>
                    <w:rtl w:val="0"/>
                  </w:rPr>
                  <w:t xml:space="preserve">(Revenue_t − Revenue_t-1) / Revenue_t-1 × 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 / Região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Revenue_entidade / Revenue_total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Região / País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Ticket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AVG(Sales_Price)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Loja / País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982421875" w:hRule="atLeast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Volume de Transações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COUNT(Sales_Order_ID)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Mês / País / Loja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1.2 Análises — Eixo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F-A | Evolução Temporal da Rentabilidade (2020–2025)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1760"/>
        <w:gridCol w:w="1600"/>
        <w:tblGridChange w:id="0">
          <w:tblGrid>
            <w:gridCol w:w="600"/>
            <w:gridCol w:w="2200"/>
            <w:gridCol w:w="3200"/>
            <w:gridCol w:w="1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Revenue, GP e Margin por Ano (global e por região)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Série temporal de Revenue, Gross Profit e Gross Margin %. Comparar tendência global vs. cada região para perceber qual está a puxar a deterioração. Destacar 2022 como outlier 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F01; F02; F04; 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Confirmação e quantificação da deterioração global; identificação da(s) região(ões) motor.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YoY Variation absoluta e percentual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ΔRevenue e ΔGP face ao ano anterior, a nível global e por região. Identificar anos de viragem e amplitude da variação.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F07; ΔF01; ΔF02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Ano em que a queda se acelerou; regiões com maior volatilidade.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Análise do pico de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Desagregar o pico de 2022 por região, país e categoria: foi volume, preço ou mix? Perceber se foi estrutural ou conjuntural.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F01; F04; F10 por região/categoria em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2022 foi exceção conjuntural — o declínio subsequente é mais revelador da tendência real.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F-B | Performance por País — Scorecard e Deterioração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1760"/>
        <w:gridCol w:w="1600"/>
        <w:tblGridChange w:id="0">
          <w:tblGrid>
            <w:gridCol w:w="600"/>
            <w:gridCol w:w="2200"/>
            <w:gridCol w:w="3200"/>
            <w:gridCol w:w="1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Ranking de Países por Gross Margin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Ordenar os 11 países por Gross Margin % médio (2020–2025) e pela tendência recente (2023–2025). Separar países com margem estruturalmente baixa de países em deterioração recente.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F04 por país; trend 3Y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Mapa de países: alta margem estável / alta margem em queda / baixa margem crónica.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Share por País e 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Peso relativo de cada país no Revenue total da sua região, por ano. Identificar países cuja quota está a cair sistematicamente.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F08 por país/ano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sdt>
              <w:sdtPr>
                <w:id w:val="-98673228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8"/>
                    <w:szCs w:val="18"/>
                    <w:rtl w:val="0"/>
                  </w:rPr>
                  <w:t xml:space="preserve">Países com quota em declínio contínuo → candidatos a encerrar.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Países com Tendência de Queda Estrutural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Filtrar países onde Revenue 2024–2025 &lt; Revenue 2020–2021. Quantificar a quebra acumulada e a margem atual. Fundamento direto para a análise de encerramento.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F01; F04; ΔRevenue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Lista de países em deterioração estrutural com dimensão quantificada.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Scorecard Agregado por País (RAG)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Combinar F04, F07, F08 e outros KPIs num score composto por país. Classificar cada país em Red / Amber / Green.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Score composto ponderado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Lista priorizada de países por risco — Red = candidatos a encerrar.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F-C | Performance por 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1760"/>
        <w:gridCol w:w="1600"/>
        <w:tblGridChange w:id="0">
          <w:tblGrid>
            <w:gridCol w:w="600"/>
            <w:gridCol w:w="2200"/>
            <w:gridCol w:w="3200"/>
            <w:gridCol w:w="1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Dispersão de Margem entre Lojas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Para cada país, analisar a dispersão de Gross Margin entre lojas (há lojas rentáveis num país com média negativa?). Usar range e outliers.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F04 por loja; desvio-padrão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Perceber se o problema é do mercado (todas as lojas) ou de lojas específicas.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Ticket Médio por Loja e Antiguidade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Comparar ticket médio por loja e verificar se lojas mais antigas têm ticket superior (fidelização, mix premium).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F09 por loja; correlação com Year_Opened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Lojas maduras vendem produtos mais caros? Implicação na decisão de fechar lojas novas vs. antigas.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F-C3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Cohort de Maturidade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Agrupar lojas em cohorts (0–2, 3–5, 6–10, 10+ anos) e comparar Revenue médio e Gross Margin por cohort, desagregado por região.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F01; F04 por cohort ×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Em qual região lojas novas têm pior performance relativa? Break-even de maturidade por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pBdr>
          <w:bottom w:color="d04a02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0"/>
          <w:szCs w:val="30"/>
          <w:rtl w:val="0"/>
        </w:rPr>
        <w:t xml:space="preserve">2. Eixo Produto — Categorias, Subcategorias &amp; Pricing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identificar quais produtos sustentam a rentabilidade e quais a comprometem, e detectar incoerências de pricing entre mercados.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2.1 KPIs — Eixo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500"/>
        <w:gridCol w:w="3200"/>
        <w:gridCol w:w="800"/>
        <w:gridCol w:w="1960"/>
        <w:tblGridChange w:id="0">
          <w:tblGrid>
            <w:gridCol w:w="900"/>
            <w:gridCol w:w="2500"/>
            <w:gridCol w:w="3200"/>
            <w:gridCol w:w="8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Fórmula /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GP por Categoria/Subcategoria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SUM(GP) GROUP BY Main_Category, 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Categoria / País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Gross Margin % por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GP / Revenue × 100 por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Subcategoria / País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Production Cost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Production_Cost / Sales_Price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Subcategoria /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Share por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Revenue_cat / Revenue_total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Categoria / Região / 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Coeficiente de Variação de 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StdDev(Sales_Price) / AVG(Sales_Price) por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Product_ID ×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Volume por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COUNT(Sales_Order_ID) por 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 / Categoria / 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2.2 Análises — Eixo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P-A | Rentabilidade por Categoria e Subcategoria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1760"/>
        <w:gridCol w:w="1600"/>
        <w:tblGridChange w:id="0">
          <w:tblGrid>
            <w:gridCol w:w="600"/>
            <w:gridCol w:w="2200"/>
            <w:gridCol w:w="3200"/>
            <w:gridCol w:w="1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e Margin por Main_Category por Região e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Decomposição de Revenue e Gross Margin por Clothing / Accessories / Technical Equipment, cruzado com região e ano. Identificar qual categoria contribui mais para a deterioração.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P01; P02; P04 por categoria × região ×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Categoria(s) problemáticas e em qual(is) mercado(s) se manifestam mais.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Ranking de Subcategorias por Margin % (top e bottom)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Ranking completo de subcategorias por Gross Margin e por Revenue, a nível global e por região. Identificar subcategorias candidatas a descontinuação.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P02; P01; P06 por 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Lista de subcategorias com margem &lt; threshold como candidatas a descontinuar.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Production Cost Ratio por 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Peso do custo de produção no preço de venda por subcategoria. Detectar onde o custo de fabrico é excessivo relativamente ao preço praticado.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P03 por subcategoria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Subcategorias com custo de produção &gt; 70% do preço de venda.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1"/>
          <w:szCs w:val="21"/>
          <w:rtl w:val="0"/>
        </w:rPr>
        <w:t xml:space="preserve">P-B | Pricing por Mercado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1760"/>
        <w:gridCol w:w="1600"/>
        <w:tblGridChange w:id="0">
          <w:tblGrid>
            <w:gridCol w:w="600"/>
            <w:gridCol w:w="2200"/>
            <w:gridCol w:w="3200"/>
            <w:gridCol w:w="1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P-B1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Variação de Sales_Price pelo mesmo produto entre países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Para o mesmo Product_ID, comparar o preço de venda médio entre países. Detectar discrepâncias de pricing não justificadas por diferenças de custo.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P05; AVG(Sales_Price) por Product_ID ×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Incoerências de pricing entre mercados — oportunidade de harmonização ou pricing estratégico.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P-B2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Análise de Descontinuação por Subcategoria ×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Cruzar subcategorias com margens baixas globalmente com o peso que têm em cada país. Simular o impacto de descontinuar uma subcategoria na margem de cada mercado.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P02; P04 por subcategoria ×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Recomendação fundamentada de descontinuação de subcategorias por mercado.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Tipo de produto com maior tempo de entrega</w:t>
      </w:r>
    </w:p>
    <w:p w:rsidR="00000000" w:rsidDel="00000000" w:rsidP="00000000" w:rsidRDefault="00000000" w:rsidRPr="00000000" w14:paraId="0000011A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Variação de  preço (e custo) do mesmo produto na mesma localidade ao longo do ano </w:t>
      </w:r>
    </w:p>
    <w:p w:rsidR="00000000" w:rsidDel="00000000" w:rsidP="00000000" w:rsidRDefault="00000000" w:rsidRPr="00000000" w14:paraId="0000011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Análise por cor de produto em falta - só existe análise dentro da mesma categoria</w:t>
      </w:r>
    </w:p>
    <w:p w:rsidR="00000000" w:rsidDel="00000000" w:rsidP="00000000" w:rsidRDefault="00000000" w:rsidRPr="00000000" w14:paraId="0000011E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Fazer análise geral de vendas do mesmo produto </w:t>
      </w:r>
    </w:p>
    <w:p w:rsidR="00000000" w:rsidDel="00000000" w:rsidP="00000000" w:rsidRDefault="00000000" w:rsidRPr="00000000" w14:paraId="00000120">
      <w:pPr>
        <w:pStyle w:val="Heading1"/>
        <w:pBdr>
          <w:bottom w:color="d04a02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0"/>
          <w:szCs w:val="30"/>
          <w:rtl w:val="0"/>
        </w:rPr>
        <w:t xml:space="preserve">3. Eixo Sazonalidade — Padrões Temporais &amp; Implicações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caracterizar o padrão sazonal de vendas, preços e custos para orientar decisões de produção, inventário e pricing.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3.1 KPIs — Eixo Sazonalidade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500"/>
        <w:gridCol w:w="3200"/>
        <w:gridCol w:w="800"/>
        <w:gridCol w:w="1960"/>
        <w:tblGridChange w:id="0">
          <w:tblGrid>
            <w:gridCol w:w="900"/>
            <w:gridCol w:w="2500"/>
            <w:gridCol w:w="3200"/>
            <w:gridCol w:w="8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Fórmula /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SUM(Sales_Price) por mês/ano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Mês / Região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Volume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COUNT(Orders) por mês/ano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Mês / Região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Ticket Médio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AVG(Sales_Price)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Mês /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Gross Margin %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GP / Revenue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Mês / Região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AVG Production Cost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AVG(Production_Cost) por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Mês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Índice de Sazonalidade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Revenue_mês / AVG_mensal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Região / Categoria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3.2 Análises — Eixo Sazonalidade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1760"/>
        <w:gridCol w:w="1600"/>
        <w:tblGridChange w:id="0">
          <w:tblGrid>
            <w:gridCol w:w="600"/>
            <w:gridCol w:w="2200"/>
            <w:gridCol w:w="3200"/>
            <w:gridCol w:w="1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Revenue e Volume por Mês — Global e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Heatmap ou série mensal de Revenue e N.º transações para identificar picos e épocas baixas, comparando os padrões entre regiões (os três mercados têm o mesmo pico sazonal?).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S01; S02; S06 por região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Confirmar pico Nov–Mar; identificar desfasamento entre regiões — implicações para gestão de inventário partilhado.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Variação Sazonal do Sales Price médio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Verificar se o preço de venda médio cai em época baixa (descontos) e em que magnitude, por país. Cruzar com a variação da margem.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S03; S04 por mês ×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Países onde descontos sazonais comprometem a margem — candidatos a rever política de pricing sazonal.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Production Cost por Mês — Indício de Produção Just-in-Time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Analisar se o custo de produção sobe em meses de pico (just-in-time) ou se é constante (produção antecipada). Diferença tem impacto direto nos custos variáveis.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S05 por mês × 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sdt>
              <w:sdtPr>
                <w:id w:val="34623522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8"/>
                    <w:szCs w:val="18"/>
                    <w:rtl w:val="0"/>
                  </w:rPr>
                  <w:t xml:space="preserve">Se custo sobe no pico → oportunidade de produzir antecipadamente e reduzir custo médio.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S-A4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Sazonalidade por Categoria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Verificar se cada categoria tem o mesmo pico sazonal ou se há subcategorias com padrão diferente (ex: acessórios vendem melhor em épocas de baixa?).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S01; S06 por categoria × 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Categorias com sazonalidade diferenciada — oportunidade para diversificar receita durante a época baixa.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pBdr>
          <w:bottom w:color="d04a02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0"/>
          <w:szCs w:val="30"/>
          <w:rtl w:val="0"/>
        </w:rPr>
        <w:t xml:space="preserve">4. Eixo Logística — Expedição, Transportadoras &amp; Ineficiências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quantificar o impacto dos custos de expedição na rentabilidade, comparar transportadoras e identificar ineficiências operacionais.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6" w:val="single"/>
              <w:left w:color="1f4e79" w:space="0" w:sz="12" w:val="single"/>
              <w:bottom w:color="1f4e79" w:space="0" w:sz="4" w:val="single"/>
              <w:right w:color="000000" w:space="0" w:sz="0" w:val="nil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4e79"/>
                <w:sz w:val="19"/>
                <w:szCs w:val="19"/>
                <w:rtl w:val="0"/>
              </w:rPr>
              <w:t xml:space="preserve">📌  Este eixo aplica-se ao subconjunto de 26.480 pedidos com Shipping_Cost preenchido (~18% do total). Todas as conclusões devem mencionar esta limitação.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4.1 KPIs — Eixo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500"/>
        <w:gridCol w:w="3200"/>
        <w:gridCol w:w="800"/>
        <w:gridCol w:w="1960"/>
        <w:tblGridChange w:id="0">
          <w:tblGrid>
            <w:gridCol w:w="900"/>
            <w:gridCol w:w="2500"/>
            <w:gridCol w:w="3200"/>
            <w:gridCol w:w="8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Fórmula /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 Cost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SUM(Shipping_Cost)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Transportadora / País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 Cost médio por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AVG(Shipping_Cost)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€/tx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Transportadora / 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 Cost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Shipping_Cost / Sales_Price ×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 / Transportadora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Net Margin % (com shipping)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sdt>
              <w:sdtPr>
                <w:id w:val="40469457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18"/>
                    <w:szCs w:val="18"/>
                    <w:rtl w:val="0"/>
                  </w:rPr>
                  <w:t xml:space="preserve">(GP − Shipping_Cost) / Revenue × 100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 / Região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Δ Margin (gross vs. 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sdt>
              <w:sdtPr>
                <w:id w:val="-59294202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18"/>
                    <w:szCs w:val="18"/>
                    <w:rtl w:val="0"/>
                  </w:rPr>
                  <w:t xml:space="preserve">Gross Margin % − Net Margin 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p.p.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 /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Lead Time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sdt>
              <w:sdtPr>
                <w:id w:val="-79315596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18"/>
                    <w:szCs w:val="18"/>
                    <w:rtl w:val="0"/>
                  </w:rPr>
                  <w:t xml:space="preserve">AVG(Due_Date − Order_Date)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 / Transportadora (subset c/ Due_Date)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N.º pedidos consolidáveis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Pedidos mesmo destino + datas entrega &lt; 5 dias apart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 / Transportadora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4.2 Análises — Eixo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1760"/>
        <w:gridCol w:w="1600"/>
        <w:tblGridChange w:id="0">
          <w:tblGrid>
            <w:gridCol w:w="600"/>
            <w:gridCol w:w="2200"/>
            <w:gridCol w:w="3200"/>
            <w:gridCol w:w="1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Custo e Perfil de Cada Transportadora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Custo médio e total por transportadora em cada país. Identificar qual transportadora é mais usada em cada mercado e se a escolha é custo-eficiente.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L01; L02; L03 por transportadora ×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Transportadoras com custo desproporcionado em mercados específicos — candidatos a renegociação ou substituição.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Impacto do Shipping na Margem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Comparar Gross Margin com Net Margin por país. Identificar onde o shipping destrói mais margem.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L03; L04; L05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Países onde shipping corrói &gt;X p.p. de margem — prioridade de revisão logística.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Shipping Cost por Categoria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Perceber quais categorias incorrem em maior custo de envio. Technical Equipment é mais caro de enviar do que Accessories?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L02 por Main_Category e 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Categorias onde shipping é desproporcionalmente caro face ao preço de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L-A4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Ineficiências: Pedidos Próximos para o Mesmo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Para o mesmo destino (Country/Shop_ID) com datas de entrega &lt; 5 dias de diferença, verificar pedidos que podiam ser consolidados. Estimar poupança potencial.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L07; poupança estimada em € 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Quantificação concreta de ineficiência de consolidação — recomendação operacional direta.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L-A5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Lead Time vs. Custo por Transportadora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Cruzar lead time médio e custo médio por transportadora e por país. Identificar transportadoras com pior serviço E maior custo simultaneamente.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L02; L06 por transportadora ×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Mapa custo-serviço: transportadoras a substituir vs. a manter.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pBdr>
          <w:bottom w:color="d04a02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0"/>
          <w:szCs w:val="30"/>
          <w:rtl w:val="0"/>
        </w:rPr>
        <w:t xml:space="preserve">5. Eixo Decisão — Framework de Encerramento de Geografias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Objetivo: sintetizar os eixos anteriores num framework estruturado para suportar a decisão de eventual encerramento de operações numa ou mais geografias.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5.1 KPIs — Eixo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500"/>
        <w:gridCol w:w="3200"/>
        <w:gridCol w:w="800"/>
        <w:gridCol w:w="1960"/>
        <w:tblGridChange w:id="0">
          <w:tblGrid>
            <w:gridCol w:w="900"/>
            <w:gridCol w:w="2500"/>
            <w:gridCol w:w="3200"/>
            <w:gridCol w:w="800"/>
            <w:gridCol w:w="1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Fórmula / 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Granularidade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Score de Performance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Ponderação de F04, F07, F08, L03 (pesos a definir)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0–100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ΔRevenue se fechar país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sdt>
              <w:sdtPr>
                <w:id w:val="180360791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18"/>
                    <w:szCs w:val="18"/>
                    <w:rtl w:val="0"/>
                  </w:rPr>
                  <w:t xml:space="preserve">Revenue_total − Revenue_país_X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 /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ΔGross Margin global se fechar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sdt>
              <w:sdtPr>
                <w:id w:val="-151973487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444444"/>
                    <w:sz w:val="18"/>
                    <w:szCs w:val="18"/>
                    <w:rtl w:val="0"/>
                  </w:rPr>
                  <w:t xml:space="preserve">(GP_total − GP_X) / (Revenue_total − Revenue_X) − GM_atual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p.p.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 / Região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Poupança em Prod. Cost se fechar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SUM(Production_Cost) do país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Poupança em Shipping se fechar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SUM(Shipping_Cost) do país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Break-even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Revenue_X / AVG_GP_margem_restante (tempo de compensação)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66666"/>
                <w:sz w:val="18"/>
                <w:szCs w:val="18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5.2 Análises — Eixo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200"/>
        <w:gridCol w:w="1760"/>
        <w:gridCol w:w="1600"/>
        <w:tblGridChange w:id="0">
          <w:tblGrid>
            <w:gridCol w:w="600"/>
            <w:gridCol w:w="2200"/>
            <w:gridCol w:w="3200"/>
            <w:gridCol w:w="17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 &amp;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Insight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D-A1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Scorecard RAG por 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Combinar os KPIs dos eixos anteriores (Gross Margin %, YoY trend, Revenue Share, Shipping Cost Ratio) num score composto. Classificar cada país em Red / Amber / Green com critérios explícitos.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D01 (componentes de F04, F07, F08, L03)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Lista priorizada de países: Red = encerramento candidato; Amber = monitorizar; Green = manter.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Impacto Financeiro do Encerramento por País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Para cada país Red: estimar Revenue perdido, GP perdido, poupança em Production Cost e Shipping Cost, e impacto líquido na margem global.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D02; D03; D04; D05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Encerrar país X melhora margem global em Y p.p. com perda de Z€ de Revenue.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Análise de Sensibilidade (What-If)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Simular cenários para países Red: e se ticket médio subisse 10%? e se Production Cost baixasse 15%? Perceber qual alavanca tem mais impacto antes de decidir encerrar.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Margem simulada sob diferentes pressupostos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Confirmar se há alavancas viáveis — ou validar que encerramento é a única saída 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D-A4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Perfil das Lojas Afetadas pelo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Para os países Red, analisar a antiguidade e ticket médio das lojas afetadas. Lojas recentes (investimento não recuperado) vs. lojas maduras.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F09; Year_Opened distribuição por país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Quantificar sunk cost e potencial de recuperação antes de fechar.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bottom w:color="fde8dc" w:space="2" w:sz="4" w:val="single"/>
              </w:pBd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pBdr>
                <w:bottom w:color="fde8dc" w:space="2" w:sz="4" w:val="single"/>
              </w:pBdr>
              <w:spacing w:before="80" w:lineRule="auto"/>
              <w:rPr>
                <w:b w:val="1"/>
                <w:bCs w:val="1"/>
                <w:color w:val="21272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Países por ranking de shipping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pBdr>
          <w:bottom w:color="d04a02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0"/>
          <w:szCs w:val="30"/>
          <w:rtl w:val="0"/>
        </w:rPr>
        <w:t xml:space="preserve">6. Qualidade de Dados &amp; Issues a Documentar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04a02" w:space="0" w:sz="16" w:val="single"/>
              <w:bottom w:color="000000" w:space="0" w:sz="0" w:val="nil"/>
              <w:right w:color="000000" w:space="0" w:sz="0" w:val="nil"/>
            </w:tcBorders>
            <w:shd w:fill="fde8d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9"/>
                <w:szCs w:val="19"/>
                <w:rtl w:val="0"/>
              </w:rPr>
              <w:t xml:space="preserve">⚠️  Identificar e reportar estes issues na apresentação demonstra maturidade analítica e profissionalismo perante o júri.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6.1 Issues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sdt>
        <w:sdtPr>
          <w:id w:val="22051046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21272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'Googgles' → 'Goggles'; 'Sky socks' → 'Ski socks'; 'Hatts' → 'Hats'. Normalizar antes de qualquer análise.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Typos em Subcategory: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Segmentar análises logísticas no subconjunto de 26.480 pedidos válidos. Assumir que os restantes são vendas em loja física.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121.031 nulos em Shipping_Cost e Shipping_Company (~82%):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Verificar se é erro de imputação ou projeção. Excluir da análise histórica 2020–2025.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Ano 2027 em Year: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Imputar moda/mediana por região ou excluir — documentar a opção adotada.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Nulos em Country (300), Shop_ID (100), Year_Opened (400):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Análise de lead time limitada ao subconjunto disponível — mencionar como limitação.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 Due_Date com 82% de nulos: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04a02"/>
          <w:sz w:val="24"/>
          <w:szCs w:val="24"/>
          <w:rtl w:val="0"/>
        </w:rPr>
        <w:t xml:space="preserve">6.2 Pressupostos a Assumir (na Ausência do Cliente)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Pedidos sem Shipping_Company = vendas em loja física, sem custo de expedição.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Sales_Price já em EUR para todas as geografias (sem conversão cambial adicional).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Production_Cost cobre todos os custos diretos de fabrico (matéria-prima, mão-de-obra, energia) — sem outros custos operacionais (aluguer, salários de loja, marketing).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Mix de produtos mantém padrões comparáveis ao longo do tempo — sem alterações estruturais bruscas na oferta.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6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72a"/>
          <w:sz w:val="20"/>
          <w:szCs w:val="20"/>
          <w:u w:val="none"/>
          <w:shd w:fill="auto" w:val="clear"/>
          <w:vertAlign w:val="baseline"/>
          <w:rtl w:val="0"/>
        </w:rPr>
        <w:t xml:space="preserve">Dados de 2020 incluídos sem ajuste COVID, salvo se outlier identificado na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pBdr>
          <w:bottom w:color="d04a02" w:space="4" w:sz="8" w:val="single"/>
        </w:pBd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1272a"/>
          <w:sz w:val="30"/>
          <w:szCs w:val="30"/>
          <w:rtl w:val="0"/>
        </w:rPr>
        <w:t xml:space="preserve">7. Sequência de Execução — 24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color w:val="21272a"/>
          <w:sz w:val="20"/>
          <w:szCs w:val="20"/>
          <w:rtl w:val="0"/>
        </w:rPr>
        <w:t xml:space="preserve">Priorização para garantir cobertura dos critérios de avaliação: Grupo 1 (45%) — diagnóstico + constrangimentos + recomendações; Grupo 2 (30%) — IA &amp; priorização; Estrutura (25%).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"/>
        <w:gridCol w:w="1040"/>
        <w:gridCol w:w="1400"/>
        <w:gridCol w:w="3560"/>
        <w:gridCol w:w="2800"/>
        <w:tblGridChange w:id="0">
          <w:tblGrid>
            <w:gridCol w:w="560"/>
            <w:gridCol w:w="1040"/>
            <w:gridCol w:w="1400"/>
            <w:gridCol w:w="356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Análises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212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sdt>
              <w:sdtPr>
                <w:id w:val="203272068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Output → Slide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0–2h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F-A1 + F-A3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Confirmar deterioração global; analisar pico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Série temporal Revenue + Margin; destaque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2–4h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F-B1 + F-B2 + F-B3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Ranking de países; identificar países em queda estrutural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Scorecard RAG por país (base para slide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4–6h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P-A1 + P-A2 + P-A3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Categorias e subcategorias problemáticas; production cost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Ranking de margem por categoria; candidatos a descontinuar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6–8h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S-A1 + S-A2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Sazonalidade global e por região; impacto no ticket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Heatmap mensal; variação sazonal de preço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8–10h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L-A1 + L-A2 + L-A4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Custos logísticos por transportadora e país; ineficiências de consolidação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Tabela shipping cost ratio; poupança estimada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10–13h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D-A1 + D-A2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Scorecard final por país; impacto financeiro do 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sdt>
              <w:sdtPr>
                <w:id w:val="46018369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555555"/>
                    <w:sz w:val="18"/>
                    <w:szCs w:val="18"/>
                    <w:rtl w:val="0"/>
                  </w:rPr>
                  <w:t xml:space="preserve">Framework de decisão → slide de recomendações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13–16h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D-A3 (what-if)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Sensibilidade: alavancas alternativas antes de fechar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Análise de sensibilidade — slide de recomendações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16–20h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Grupo 2 —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Recomendações de adoção de IA (demand forecasting, inventory, logística); matriz esforço×impacto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Slide 5 — IA &amp; priorização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04a02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72a"/>
                <w:sz w:val="18"/>
                <w:szCs w:val="18"/>
                <w:rtl w:val="0"/>
              </w:rPr>
              <w:t xml:space="preserve">20–24h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f4e79"/>
                <w:sz w:val="18"/>
                <w:szCs w:val="18"/>
                <w:rtl w:val="0"/>
              </w:rPr>
              <w:t xml:space="preserve">Apresentação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44444"/>
                <w:sz w:val="18"/>
                <w:szCs w:val="18"/>
                <w:rtl w:val="0"/>
              </w:rPr>
              <w:t xml:space="preserve">Estruturar os 5 slides; storytelling; revisão de pressupostos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55555"/>
                <w:sz w:val="18"/>
                <w:szCs w:val="18"/>
                <w:rtl w:val="0"/>
              </w:rPr>
              <w:t xml:space="preserve">PDF final para submissão até 13h00 de 14 abril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6" w:val="single"/>
              <w:left w:color="1f4e79" w:space="0" w:sz="12" w:val="single"/>
              <w:bottom w:color="1f4e79" w:space="0" w:sz="4" w:val="single"/>
              <w:right w:color="000000" w:space="0" w:sz="0" w:val="nil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4e79"/>
                <w:sz w:val="19"/>
                <w:szCs w:val="19"/>
                <w:rtl w:val="0"/>
              </w:rPr>
              <w:t xml:space="preserve">📌  Estrutura dos 5 slides: (1) Diagnóstico global — evolução e tendência; (2) Performance por país — scorecard RAG; (3) Principais constrangimentos — produto + logística; (4) Recomendações Grupo 1 + decisão de encerramento; (5) Recomendações Grupo 2 — IA e matriz esforço×impacto.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Países por ranking de shipping </w:t>
      </w:r>
    </w:p>
    <w:p w:rsidR="00000000" w:rsidDel="00000000" w:rsidP="00000000" w:rsidRDefault="00000000" w:rsidRPr="00000000" w14:paraId="0000025B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Comparar para o mesmo destino e origem o custo entre as diferentes transportadoras.</w:t>
      </w:r>
    </w:p>
    <w:p w:rsidR="00000000" w:rsidDel="00000000" w:rsidP="00000000" w:rsidRDefault="00000000" w:rsidRPr="00000000" w14:paraId="0000025D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  <w:t xml:space="preserve">Verificar quais transportadoras operam em quais localidades. </w:t>
      </w:r>
    </w:p>
    <w:p w:rsidR="00000000" w:rsidDel="00000000" w:rsidP="00000000" w:rsidRDefault="00000000" w:rsidRPr="00000000" w14:paraId="0000025F">
      <w:pPr>
        <w:pBdr>
          <w:bottom w:color="fde8dc" w:space="2" w:sz="4" w:val="single"/>
        </w:pBd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bottom w:color="fde8dc" w:space="2" w:sz="4" w:val="single"/>
        </w:pBd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bbbbbb"/>
          <w:sz w:val="16"/>
          <w:szCs w:val="16"/>
          <w:rtl w:val="0"/>
        </w:rPr>
        <w:t xml:space="preserve">SkiWell Sports | PwC Consulting Challenge FY26 — Crack the Data | Documento de trabalho confidencial | Abril 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XuHDHd7SOugBF5uONnOJrlHk+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zgAciExRzVKa1lyblRQMVNPTE5tUzB1WVNuSUJVcW51ZmIzV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