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Chapter 1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Roughly nine out of 10 say supplier and material costs will increase significantly in the year ahead (Análise do ano de 2025)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  <w:t xml:space="preserve">Artificial intelligence (AI) could be part of the solution. AI can accelerate the speed of insights, decision-making and organizational change. We’re also beginning to see how AI agents can fundamentally transform work and change how businesses operate. For instance, </w:t>
      </w:r>
      <w:r w:rsidDel="00000000" w:rsidR="00000000" w:rsidRPr="00000000">
        <w:rPr>
          <w:highlight w:val="yellow"/>
          <w:rtl w:val="0"/>
        </w:rPr>
        <w:t xml:space="preserve">AI agents can be coordinated across demand forecasting, procurement and logistics tracking to address potential supply chain bottlenecks and reduce delays.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What it means for you: Focus on being efficient in the near term but do it in a way that allows your company to be flexible and ready for future challenges. Explore how to apply AI in different ways — from driving efficiencies today to anticipating and evaluating scenarios to better configure for tomorrow. 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Chapter 2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Advanced capabilities like digital twins and data ecosystems lag far behind in adoption but could be a missed opportunity. 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3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Alarmingly, one of the least selected reasons is the business case for tech investment — unclear objectives, weak rationale or difficulty understanding costs — which may suggest a blind spot for many companies.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Chapter 3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Chapter 4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546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Chapter 5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Integration with existing systems — ranked among the top three challenges by 42% of respondents — and data issues (37%), such as availability and quality, are most common. This aligns with our experience as we often see companies overlook the complexity in developing new AI capabilities — all of which require solid integration and data to power high ROI solutions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