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AD6F" w14:textId="38A18508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#4</w:t>
      </w:r>
    </w:p>
    <w:p w14:paraId="5453CC28" w14:textId="0C568199" w:rsidR="00A749AD" w:rsidRPr="00884AC3" w:rsidRDefault="00FB396A" w:rsidP="00443901">
      <w:pPr>
        <w:jc w:val="center"/>
        <w:rPr>
          <w:b/>
          <w:color w:val="FF0000"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3EC5C559" w14:textId="2432223B" w:rsidR="000B3B0A" w:rsidRPr="00B43DB4" w:rsidRDefault="000B3B0A" w:rsidP="000B3B0A">
      <w:pPr>
        <w:jc w:val="both"/>
      </w:pP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57D334ED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proofErr w:type="gramStart"/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  <w:proofErr w:type="gramEnd"/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F9845DA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</w:t>
      </w:r>
      <w:proofErr w:type="spellStart"/>
      <w:r w:rsidR="00850C6F">
        <w:t>thorugh</w:t>
      </w:r>
      <w:proofErr w:type="spellEnd"/>
      <w:r w:rsidR="00850C6F">
        <w:t xml:space="preserve">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3589D47E" w:rsidR="00673A20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03A9ADA2" w14:textId="6D8BE910" w:rsidR="00EB6AFA" w:rsidRDefault="00EB6AFA" w:rsidP="00BE1139">
      <w:pPr>
        <w:jc w:val="both"/>
      </w:pPr>
    </w:p>
    <w:p w14:paraId="2B78ED58" w14:textId="47DC254B" w:rsidR="00EB6AFA" w:rsidRDefault="00EB6AFA" w:rsidP="00BE1139">
      <w:pPr>
        <w:jc w:val="both"/>
        <w:rPr>
          <w:color w:val="4F81BD" w:themeColor="accent1"/>
        </w:rPr>
      </w:pPr>
      <w:r w:rsidRPr="00170AFD">
        <w:rPr>
          <w:color w:val="4F81BD" w:themeColor="accent1"/>
        </w:rPr>
        <w:t xml:space="preserve">The autocorrelation is 0.99 and the e-folding time is 100.92 hours. </w:t>
      </w:r>
      <w:r w:rsidR="00664D9F" w:rsidRPr="00170AFD">
        <w:rPr>
          <w:color w:val="4F81BD" w:themeColor="accent1"/>
        </w:rPr>
        <w:t>This suggests the dataset contains a lot of memory</w:t>
      </w:r>
      <w:r w:rsidR="00D65E60" w:rsidRPr="00170AFD">
        <w:rPr>
          <w:color w:val="4F81BD" w:themeColor="accent1"/>
        </w:rPr>
        <w:t xml:space="preserve">. We would expect spectral peaks for 1-day long periods </w:t>
      </w:r>
      <m:oMath>
        <m:d>
          <m:dPr>
            <m:ctrlPr>
              <w:rPr>
                <w:rFonts w:ascii="Cambria Math" w:hAnsi="Cambria Math"/>
                <w:i/>
                <w:color w:val="4F81BD" w:themeColor="accent1"/>
              </w:rPr>
            </m:ctrlPr>
          </m:dPr>
          <m:e>
            <m:r>
              <w:rPr>
                <w:rFonts w:ascii="Cambria Math" w:hAnsi="Cambria Math"/>
                <w:color w:val="4F81BD" w:themeColor="accent1"/>
              </w:rPr>
              <m:t>1.1×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</w:rPr>
                  <m:t>-5</m:t>
                </m:r>
              </m:sup>
            </m:sSup>
            <m:r>
              <w:rPr>
                <w:rFonts w:ascii="Cambria Math" w:hAnsi="Cambria Math"/>
                <w:color w:val="4F81BD" w:themeColor="accent1"/>
              </w:rPr>
              <m:t xml:space="preserve"> Hz</m:t>
            </m:r>
          </m:e>
        </m:d>
      </m:oMath>
      <w:r w:rsidR="004770FA" w:rsidRPr="00170AFD">
        <w:rPr>
          <w:color w:val="4F81BD" w:themeColor="accent1"/>
        </w:rPr>
        <w:t xml:space="preserve"> and 1-year long periods </w:t>
      </w:r>
      <m:oMath>
        <m:d>
          <m:dPr>
            <m:ctrlPr>
              <w:rPr>
                <w:rFonts w:ascii="Cambria Math" w:hAnsi="Cambria Math"/>
                <w:i/>
                <w:color w:val="4F81BD" w:themeColor="accent1"/>
              </w:rPr>
            </m:ctrlPr>
          </m:dPr>
          <m:e>
            <m:r>
              <w:rPr>
                <w:rFonts w:ascii="Cambria Math" w:hAnsi="Cambria Math"/>
                <w:color w:val="4F81BD" w:themeColor="accent1"/>
              </w:rPr>
              <m:t>3.17×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</w:rPr>
                  <m:t>-8</m:t>
                </m:r>
              </m:sup>
            </m:sSup>
            <m:r>
              <w:rPr>
                <w:rFonts w:ascii="Cambria Math" w:hAnsi="Cambria Math"/>
                <w:color w:val="4F81BD" w:themeColor="accent1"/>
              </w:rPr>
              <m:t xml:space="preserve"> Hz</m:t>
            </m:r>
          </m:e>
        </m:d>
      </m:oMath>
      <w:r w:rsidR="004770FA" w:rsidRPr="00170AFD">
        <w:rPr>
          <w:color w:val="4F81BD" w:themeColor="accent1"/>
        </w:rPr>
        <w:t>.</w:t>
      </w:r>
      <w:r w:rsidR="0087527D" w:rsidRPr="00170AFD">
        <w:rPr>
          <w:color w:val="4F81BD" w:themeColor="accent1"/>
        </w:rPr>
        <w:t xml:space="preserve"> The </w:t>
      </w:r>
      <w:r w:rsidR="00684C9D" w:rsidRPr="00170AFD">
        <w:rPr>
          <w:color w:val="4F81BD" w:themeColor="accent1"/>
        </w:rPr>
        <w:t>small frequency peaks are expected to have more power (1-year-long periods)</w:t>
      </w:r>
      <w:r w:rsidR="0087527D" w:rsidRPr="00170AFD">
        <w:rPr>
          <w:color w:val="4F81BD" w:themeColor="accent1"/>
        </w:rPr>
        <w:t xml:space="preserve"> </w:t>
      </w:r>
      <w:r w:rsidR="00684C9D" w:rsidRPr="00170AFD">
        <w:rPr>
          <w:color w:val="4F81BD" w:themeColor="accent1"/>
        </w:rPr>
        <w:t xml:space="preserve">compared to the diurnal frequency peaks </w:t>
      </w:r>
      <w:r w:rsidR="0060290D" w:rsidRPr="00170AFD">
        <w:rPr>
          <w:color w:val="4F81BD" w:themeColor="accent1"/>
        </w:rPr>
        <w:t>because the temperature change is larger.</w:t>
      </w:r>
    </w:p>
    <w:p w14:paraId="1FF64E0E" w14:textId="21E93F67" w:rsidR="00EA589A" w:rsidRPr="00C932A1" w:rsidRDefault="00C932A1" w:rsidP="00C932A1">
      <w:pPr>
        <w:jc w:val="center"/>
      </w:pPr>
      <w:r w:rsidRPr="00C932A1">
        <w:rPr>
          <w:noProof/>
          <w:color w:val="4F81BD" w:themeColor="accent1"/>
        </w:rPr>
        <w:drawing>
          <wp:inline distT="0" distB="0" distL="0" distR="0" wp14:anchorId="06EC4E42" wp14:editId="45F70E5A">
            <wp:extent cx="3912870" cy="179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49DD" w14:textId="70AB4738" w:rsidR="00673A20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</w:t>
      </w:r>
      <w:r w:rsidR="002179F7" w:rsidRPr="00566D1C">
        <w:lastRenderedPageBreak/>
        <w:t>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0A787C84" w14:textId="37AF92A8" w:rsidR="00604E2E" w:rsidRDefault="00604E2E" w:rsidP="00664512">
      <w:pPr>
        <w:jc w:val="center"/>
      </w:pPr>
      <w:r w:rsidRPr="00604E2E">
        <w:rPr>
          <w:noProof/>
        </w:rPr>
        <w:drawing>
          <wp:inline distT="0" distB="0" distL="0" distR="0" wp14:anchorId="7037099B" wp14:editId="1C0CC72B">
            <wp:extent cx="3973830" cy="186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1B95" w14:textId="23D19D98" w:rsidR="00604E2E" w:rsidRPr="0001731D" w:rsidRDefault="00604E2E" w:rsidP="00604E2E">
      <w:pPr>
        <w:rPr>
          <w:color w:val="4F81BD" w:themeColor="accent1"/>
        </w:rPr>
      </w:pPr>
      <w:r w:rsidRPr="0001731D">
        <w:rPr>
          <w:color w:val="4F81BD" w:themeColor="accent1"/>
        </w:rPr>
        <w:t>Statistically significant peaks at following periods: [</w:t>
      </w:r>
      <w:proofErr w:type="gramStart"/>
      <w:r w:rsidRPr="0001731D">
        <w:rPr>
          <w:color w:val="4F81BD" w:themeColor="accent1"/>
        </w:rPr>
        <w:t>1 year</w:t>
      </w:r>
      <w:proofErr w:type="gramEnd"/>
      <w:r w:rsidRPr="0001731D">
        <w:rPr>
          <w:color w:val="4F81BD" w:themeColor="accent1"/>
        </w:rPr>
        <w:t>, 1 day,</w:t>
      </w:r>
      <w:r w:rsidR="00A1447D" w:rsidRPr="0001731D">
        <w:rPr>
          <w:color w:val="4F81BD" w:themeColor="accent1"/>
        </w:rPr>
        <w:t xml:space="preserve"> 0.99 day,</w:t>
      </w:r>
      <w:r w:rsidRPr="0001731D">
        <w:rPr>
          <w:color w:val="4F81BD" w:themeColor="accent1"/>
        </w:rPr>
        <w:t xml:space="preserve"> 0.5 day].</w:t>
      </w:r>
    </w:p>
    <w:p w14:paraId="7A78D102" w14:textId="3CBED694" w:rsidR="00604E2E" w:rsidRPr="0001731D" w:rsidRDefault="008C5F72" w:rsidP="00BE1139">
      <w:pPr>
        <w:jc w:val="both"/>
        <w:rPr>
          <w:color w:val="4F81BD" w:themeColor="accent1"/>
        </w:rPr>
      </w:pPr>
      <w:r w:rsidRPr="0001731D">
        <w:rPr>
          <w:color w:val="4F81BD" w:themeColor="accent1"/>
        </w:rPr>
        <w:t>Null hypothesis: The data is red noise.</w:t>
      </w:r>
    </w:p>
    <w:p w14:paraId="2D15C36B" w14:textId="5A97B022" w:rsidR="00934C1D" w:rsidRPr="00934C1D" w:rsidRDefault="00934C1D" w:rsidP="00934C1D">
      <w:pPr>
        <w:jc w:val="center"/>
      </w:pPr>
      <w:r w:rsidRPr="00934C1D">
        <w:rPr>
          <w:noProof/>
        </w:rPr>
        <w:drawing>
          <wp:inline distT="0" distB="0" distL="0" distR="0" wp14:anchorId="5A2A8AA5" wp14:editId="3E8A4C23">
            <wp:extent cx="4519295" cy="36048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4C4500E4" w:rsidR="0034474A" w:rsidRDefault="0034474A" w:rsidP="00BE1139">
      <w:pPr>
        <w:jc w:val="both"/>
        <w:rPr>
          <w:b/>
          <w:u w:val="single"/>
        </w:rPr>
      </w:pPr>
    </w:p>
    <w:p w14:paraId="0E401980" w14:textId="3A9E1336" w:rsidR="0085350F" w:rsidRPr="0001731D" w:rsidRDefault="00C33C6E" w:rsidP="00BE1139">
      <w:pPr>
        <w:jc w:val="both"/>
        <w:rPr>
          <w:bCs/>
          <w:color w:val="4F81BD" w:themeColor="accent1"/>
        </w:rPr>
      </w:pPr>
      <w:r>
        <w:rPr>
          <w:bCs/>
          <w:color w:val="4F81BD" w:themeColor="accent1"/>
        </w:rPr>
        <w:lastRenderedPageBreak/>
        <w:t xml:space="preserve">Both methods display the same result. </w:t>
      </w:r>
      <w:r w:rsidR="005617DF" w:rsidRPr="0001731D">
        <w:rPr>
          <w:bCs/>
          <w:color w:val="4F81BD" w:themeColor="accent1"/>
        </w:rPr>
        <w:t xml:space="preserve">The </w:t>
      </w:r>
      <w:proofErr w:type="spellStart"/>
      <w:r w:rsidR="00134E84" w:rsidRPr="0001731D">
        <w:rPr>
          <w:bCs/>
          <w:color w:val="4F81BD" w:themeColor="accent1"/>
        </w:rPr>
        <w:t>Hanning</w:t>
      </w:r>
      <w:proofErr w:type="spellEnd"/>
      <w:r w:rsidR="00134E84" w:rsidRPr="0001731D">
        <w:rPr>
          <w:bCs/>
          <w:color w:val="4F81BD" w:themeColor="accent1"/>
        </w:rPr>
        <w:t xml:space="preserve"> window displays more </w:t>
      </w:r>
      <w:r w:rsidR="005617DF" w:rsidRPr="0001731D">
        <w:rPr>
          <w:bCs/>
          <w:color w:val="4F81BD" w:themeColor="accent1"/>
        </w:rPr>
        <w:t>significant spectral peaks</w:t>
      </w:r>
      <w:r w:rsidR="00134E84" w:rsidRPr="0001731D">
        <w:rPr>
          <w:bCs/>
          <w:color w:val="4F81BD" w:themeColor="accent1"/>
        </w:rPr>
        <w:t xml:space="preserve"> than the Boxcar window.</w:t>
      </w:r>
      <w:r w:rsidR="004B238D" w:rsidRPr="0001731D">
        <w:rPr>
          <w:bCs/>
          <w:color w:val="4F81BD" w:themeColor="accent1"/>
        </w:rPr>
        <w:t xml:space="preserve"> </w:t>
      </w:r>
      <w:r w:rsidR="00AF7409" w:rsidRPr="0001731D">
        <w:rPr>
          <w:bCs/>
          <w:color w:val="4F81BD" w:themeColor="accent1"/>
        </w:rPr>
        <w:t xml:space="preserve">The </w:t>
      </w:r>
      <w:r w:rsidR="004F027C" w:rsidRPr="0001731D">
        <w:rPr>
          <w:bCs/>
          <w:color w:val="4F81BD" w:themeColor="accent1"/>
        </w:rPr>
        <w:t>Boxcar</w:t>
      </w:r>
      <w:r w:rsidR="00AF7409" w:rsidRPr="0001731D">
        <w:rPr>
          <w:bCs/>
          <w:color w:val="4F81BD" w:themeColor="accent1"/>
        </w:rPr>
        <w:t xml:space="preserve"> window </w:t>
      </w:r>
      <w:r w:rsidR="004F027C" w:rsidRPr="0001731D">
        <w:rPr>
          <w:bCs/>
          <w:color w:val="4F81BD" w:themeColor="accent1"/>
        </w:rPr>
        <w:t>adds side lobes to the spectrum</w:t>
      </w:r>
      <w:r w:rsidR="005A2E2D" w:rsidRPr="0001731D">
        <w:rPr>
          <w:bCs/>
          <w:color w:val="4F81BD" w:themeColor="accent1"/>
        </w:rPr>
        <w:t xml:space="preserve">, while the </w:t>
      </w:r>
      <w:proofErr w:type="spellStart"/>
      <w:r w:rsidR="005A2E2D" w:rsidRPr="0001731D">
        <w:rPr>
          <w:bCs/>
          <w:color w:val="4F81BD" w:themeColor="accent1"/>
        </w:rPr>
        <w:t>Hanning</w:t>
      </w:r>
      <w:proofErr w:type="spellEnd"/>
      <w:r w:rsidR="005A2E2D" w:rsidRPr="0001731D">
        <w:rPr>
          <w:bCs/>
          <w:color w:val="4F81BD" w:themeColor="accent1"/>
        </w:rPr>
        <w:t xml:space="preserve"> window </w:t>
      </w:r>
      <w:r w:rsidR="00595438" w:rsidRPr="0001731D">
        <w:rPr>
          <w:bCs/>
          <w:color w:val="4F81BD" w:themeColor="accent1"/>
        </w:rPr>
        <w:t>broadens the peak</w:t>
      </w:r>
      <w:r w:rsidR="008251D5" w:rsidRPr="0001731D">
        <w:rPr>
          <w:bCs/>
          <w:color w:val="4F81BD" w:themeColor="accent1"/>
        </w:rPr>
        <w:t>s in the spectrum</w:t>
      </w:r>
    </w:p>
    <w:p w14:paraId="66D31E79" w14:textId="2B24B68A" w:rsidR="0085350F" w:rsidRPr="00664512" w:rsidRDefault="00664512" w:rsidP="00664512">
      <w:pPr>
        <w:jc w:val="center"/>
      </w:pPr>
      <w:r>
        <w:rPr>
          <w:bCs/>
          <w:noProof/>
          <w:color w:val="4F81BD" w:themeColor="accent1"/>
        </w:rPr>
        <w:drawing>
          <wp:inline distT="0" distB="0" distL="0" distR="0" wp14:anchorId="556FA83F" wp14:editId="0865B348">
            <wp:extent cx="5486400" cy="3046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7777777" w:rsidR="00CC54D0" w:rsidRDefault="00CC54D0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66C48AE9" w:rsidR="00564A61" w:rsidRDefault="00564A61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>
        <w:rPr>
          <w:b/>
          <w:color w:val="3366FF"/>
        </w:rPr>
        <w:t>.</w:t>
      </w:r>
      <w:r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lastRenderedPageBreak/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42A83D90" w14:textId="25B5AC5F" w:rsidR="007C41BF" w:rsidRDefault="007048F4" w:rsidP="007C41BF">
      <w:pPr>
        <w:rPr>
          <w:b/>
          <w:u w:val="single"/>
        </w:rPr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  <w:r w:rsidR="007C41BF" w:rsidRPr="007C41BF">
        <w:rPr>
          <w:b/>
          <w:u w:val="single"/>
        </w:rPr>
        <w:t xml:space="preserve"> </w:t>
      </w:r>
    </w:p>
    <w:p w14:paraId="19C45654" w14:textId="1E83D3C2" w:rsidR="000E60BA" w:rsidRDefault="007C41BF" w:rsidP="008569DC">
      <w:pPr>
        <w:jc w:val="center"/>
      </w:pPr>
      <w:r w:rsidRPr="007C41BF">
        <w:rPr>
          <w:b/>
          <w:noProof/>
        </w:rPr>
        <w:drawing>
          <wp:inline distT="0" distB="0" distL="0" distR="0" wp14:anchorId="1CC65B94" wp14:editId="14AE83F3">
            <wp:extent cx="3973830" cy="18199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3FB" w:rsidRPr="004B63FB">
        <w:rPr>
          <w:b/>
          <w:noProof/>
        </w:rPr>
        <w:drawing>
          <wp:inline distT="0" distB="0" distL="0" distR="0" wp14:anchorId="4A9CEC3A" wp14:editId="6203F67A">
            <wp:extent cx="3973830" cy="17938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8AEC" w14:textId="77777777" w:rsidR="008569DC" w:rsidRPr="008569DC" w:rsidRDefault="008569DC" w:rsidP="008569DC">
      <w:pPr>
        <w:jc w:val="center"/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14E19AAA" w:rsidR="002F352D" w:rsidRDefault="002F352D" w:rsidP="00BE1139">
      <w:pPr>
        <w:jc w:val="both"/>
        <w:rPr>
          <w:b/>
        </w:rPr>
      </w:pPr>
    </w:p>
    <w:p w14:paraId="2DF73903" w14:textId="5B6155C3" w:rsidR="008208E2" w:rsidRDefault="008208E2" w:rsidP="00BE1139">
      <w:pPr>
        <w:jc w:val="both"/>
        <w:rPr>
          <w:bCs/>
          <w:color w:val="4F81BD" w:themeColor="accent1"/>
        </w:rPr>
      </w:pPr>
      <w:r w:rsidRPr="008208E2">
        <w:rPr>
          <w:bCs/>
          <w:color w:val="4F81BD" w:themeColor="accent1"/>
        </w:rPr>
        <w:t>The autocorrelation is 0.96 and the e-folding time is 25 years.</w:t>
      </w:r>
    </w:p>
    <w:p w14:paraId="4023F57A" w14:textId="3481E8FA" w:rsidR="0065330B" w:rsidRPr="008208E2" w:rsidRDefault="0065330B" w:rsidP="00BE1139">
      <w:pPr>
        <w:jc w:val="both"/>
        <w:rPr>
          <w:bCs/>
          <w:color w:val="4F81BD" w:themeColor="accent1"/>
        </w:rPr>
      </w:pPr>
      <w:r>
        <w:rPr>
          <w:bCs/>
          <w:color w:val="4F81BD" w:themeColor="accent1"/>
        </w:rPr>
        <w:t xml:space="preserve">We expect to have spectral peaks at the following periods: 100000 year and 40000 year. The power of the </w:t>
      </w:r>
      <w:proofErr w:type="gramStart"/>
      <w:r>
        <w:rPr>
          <w:bCs/>
          <w:color w:val="4F81BD" w:themeColor="accent1"/>
        </w:rPr>
        <w:t>100000 year</w:t>
      </w:r>
      <w:proofErr w:type="gramEnd"/>
      <w:r>
        <w:rPr>
          <w:bCs/>
          <w:color w:val="4F81BD" w:themeColor="accent1"/>
        </w:rPr>
        <w:t xml:space="preserve"> period is expected to be larger than for the 40000 year period.</w:t>
      </w:r>
    </w:p>
    <w:p w14:paraId="0ADB29DC" w14:textId="77777777" w:rsidR="008208E2" w:rsidRDefault="008208E2" w:rsidP="00BE1139">
      <w:pPr>
        <w:jc w:val="both"/>
        <w:rPr>
          <w:b/>
        </w:rPr>
      </w:pPr>
    </w:p>
    <w:p w14:paraId="591D1425" w14:textId="2B2AB64C" w:rsidR="00B74555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20A05BFA" w14:textId="481176D5" w:rsidR="00DF54BA" w:rsidRDefault="00DF54BA" w:rsidP="00BE1139">
      <w:pPr>
        <w:jc w:val="both"/>
      </w:pPr>
    </w:p>
    <w:p w14:paraId="6108AAB6" w14:textId="1A7291C6" w:rsidR="00DF54BA" w:rsidRDefault="007669A0" w:rsidP="00BE1139">
      <w:pPr>
        <w:jc w:val="both"/>
        <w:rPr>
          <w:iCs/>
          <w:color w:val="4F81BD" w:themeColor="accent1"/>
        </w:rPr>
      </w:pPr>
      <w:r w:rsidRPr="007669A0">
        <w:rPr>
          <w:color w:val="4F81BD" w:themeColor="accent1"/>
        </w:rPr>
        <w:t xml:space="preserve">The statistically significant spectral peaks occur at frequencies of </w:t>
      </w:r>
      <m:oMath>
        <m:r>
          <w:rPr>
            <w:rFonts w:ascii="Cambria Math" w:hAnsi="Cambria Math"/>
            <w:color w:val="4F81BD" w:themeColor="accent1"/>
          </w:rPr>
          <m:t xml:space="preserve">0.01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 xml:space="preserve">, </w:t>
      </w:r>
      <m:oMath>
        <m:r>
          <w:rPr>
            <w:rFonts w:ascii="Cambria Math" w:hAnsi="Cambria Math"/>
            <w:color w:val="4F81BD" w:themeColor="accent1"/>
          </w:rPr>
          <m:t>0.0</m:t>
        </m:r>
        <m:r>
          <w:rPr>
            <w:rFonts w:ascii="Cambria Math" w:hAnsi="Cambria Math"/>
            <w:color w:val="4F81BD" w:themeColor="accent1"/>
          </w:rPr>
          <m:t>25</m:t>
        </m:r>
        <m:r>
          <w:rPr>
            <w:rFonts w:ascii="Cambria Math" w:hAnsi="Cambria Math"/>
            <w:color w:val="4F81BD" w:themeColor="accent1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 xml:space="preserve">, </w:t>
      </w:r>
      <m:oMath>
        <m:r>
          <w:rPr>
            <w:rFonts w:ascii="Cambria Math" w:hAnsi="Cambria Math"/>
            <w:color w:val="4F81BD" w:themeColor="accent1"/>
          </w:rPr>
          <m:t>0.0</m:t>
        </m:r>
        <m:r>
          <w:rPr>
            <w:rFonts w:ascii="Cambria Math" w:hAnsi="Cambria Math"/>
            <w:color w:val="4F81BD" w:themeColor="accent1"/>
          </w:rPr>
          <m:t>425</m:t>
        </m:r>
        <m:r>
          <w:rPr>
            <w:rFonts w:ascii="Cambria Math" w:hAnsi="Cambria Math"/>
            <w:color w:val="4F81BD" w:themeColor="accent1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 xml:space="preserve"> and </w:t>
      </w:r>
      <m:oMath>
        <m:r>
          <w:rPr>
            <w:rFonts w:ascii="Cambria Math" w:hAnsi="Cambria Math"/>
            <w:color w:val="4F81BD" w:themeColor="accent1"/>
          </w:rPr>
          <m:t>0.04</m:t>
        </m:r>
        <m:r>
          <w:rPr>
            <w:rFonts w:ascii="Cambria Math" w:hAnsi="Cambria Math"/>
            <w:color w:val="4F81BD" w:themeColor="accent1"/>
          </w:rPr>
          <m:t>37</m:t>
        </m:r>
        <m:r>
          <w:rPr>
            <w:rFonts w:ascii="Cambria Math" w:hAnsi="Cambria Math"/>
            <w:color w:val="4F81BD" w:themeColor="accent1"/>
          </w:rPr>
          <m:t xml:space="preserve">5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>.</w:t>
      </w:r>
    </w:p>
    <w:p w14:paraId="5008822A" w14:textId="11FE0CB9" w:rsidR="00452210" w:rsidRPr="007669A0" w:rsidRDefault="00E463A2" w:rsidP="00452210">
      <w:pPr>
        <w:jc w:val="both"/>
        <w:rPr>
          <w:iCs/>
          <w:color w:val="4F81BD" w:themeColor="accent1"/>
        </w:rPr>
      </w:pPr>
      <w:r>
        <w:rPr>
          <w:iCs/>
          <w:color w:val="4F81BD" w:themeColor="accent1"/>
        </w:rPr>
        <w:t xml:space="preserve">The </w:t>
      </w:r>
      <m:oMath>
        <m:r>
          <w:rPr>
            <w:rFonts w:ascii="Cambria Math" w:hAnsi="Cambria Math"/>
            <w:color w:val="4F81BD" w:themeColor="accent1"/>
          </w:rPr>
          <m:t xml:space="preserve">0.0425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 xml:space="preserve"> and </w:t>
      </w:r>
      <m:oMath>
        <m:r>
          <w:rPr>
            <w:rFonts w:ascii="Cambria Math" w:hAnsi="Cambria Math"/>
            <w:color w:val="4F81BD" w:themeColor="accent1"/>
          </w:rPr>
          <m:t xml:space="preserve">0.04375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>
        <w:rPr>
          <w:iCs/>
          <w:color w:val="4F81BD" w:themeColor="accent1"/>
        </w:rPr>
        <w:t xml:space="preserve"> frequencies correspond to Earth precession.</w:t>
      </w:r>
      <w:r w:rsidR="00452210">
        <w:rPr>
          <w:iCs/>
          <w:color w:val="4F81BD" w:themeColor="accent1"/>
        </w:rPr>
        <w:t xml:space="preserve"> The </w:t>
      </w:r>
      <m:oMath>
        <m:r>
          <w:rPr>
            <w:rFonts w:ascii="Cambria Math" w:hAnsi="Cambria Math"/>
            <w:color w:val="4F81BD" w:themeColor="accent1"/>
          </w:rPr>
          <m:t xml:space="preserve">0.01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="00452210">
        <w:rPr>
          <w:iCs/>
          <w:color w:val="4F81BD" w:themeColor="accent1"/>
        </w:rPr>
        <w:t xml:space="preserve"> frequency corresponds to glacial-interglacial changes.</w:t>
      </w:r>
    </w:p>
    <w:p w14:paraId="54FA2667" w14:textId="53F7328B" w:rsidR="00DF54BA" w:rsidRPr="00566D1C" w:rsidRDefault="00DF54BA" w:rsidP="008434FC"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47EC22B" wp14:editId="6BF6DB2D">
            <wp:extent cx="5486400" cy="216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483F57F3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411DF1B3" w14:textId="39167417" w:rsidR="00544C49" w:rsidRDefault="00917BE3" w:rsidP="00917BE3">
      <w:r>
        <w:rPr>
          <w:noProof/>
        </w:rPr>
        <w:drawing>
          <wp:inline distT="0" distB="0" distL="0" distR="0" wp14:anchorId="1A760431" wp14:editId="499BCD8B">
            <wp:extent cx="548640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7650" w14:textId="6600F03A" w:rsidR="00544C49" w:rsidRPr="000516FB" w:rsidRDefault="00917BE3" w:rsidP="007F252B">
      <w:pPr>
        <w:jc w:val="both"/>
        <w:rPr>
          <w:iCs/>
          <w:color w:val="4F81BD" w:themeColor="accent1"/>
        </w:rPr>
      </w:pPr>
      <w:r>
        <w:rPr>
          <w:color w:val="4F81BD" w:themeColor="accent1"/>
        </w:rPr>
        <w:t xml:space="preserve">Using the </w:t>
      </w:r>
      <w:proofErr w:type="spellStart"/>
      <w:r>
        <w:rPr>
          <w:color w:val="4F81BD" w:themeColor="accent1"/>
        </w:rPr>
        <w:t>Hanning</w:t>
      </w:r>
      <w:proofErr w:type="spellEnd"/>
      <w:r>
        <w:rPr>
          <w:color w:val="4F81BD" w:themeColor="accent1"/>
        </w:rPr>
        <w:t xml:space="preserve"> window, t</w:t>
      </w:r>
      <w:r w:rsidRPr="007669A0">
        <w:rPr>
          <w:color w:val="4F81BD" w:themeColor="accent1"/>
        </w:rPr>
        <w:t xml:space="preserve">he statistically significant spectral peaks occur at frequencies of </w:t>
      </w:r>
      <m:oMath>
        <m:r>
          <w:rPr>
            <w:rFonts w:ascii="Cambria Math" w:hAnsi="Cambria Math"/>
            <w:color w:val="4F81BD" w:themeColor="accent1"/>
          </w:rPr>
          <m:t xml:space="preserve">0.01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>,</w:t>
      </w:r>
      <w:r>
        <w:rPr>
          <w:iCs/>
          <w:color w:val="4F81BD" w:themeColor="accent1"/>
        </w:rPr>
        <w:t xml:space="preserve"> </w:t>
      </w:r>
      <m:oMath>
        <m:r>
          <w:rPr>
            <w:rFonts w:ascii="Cambria Math" w:hAnsi="Cambria Math"/>
            <w:color w:val="4F81BD" w:themeColor="accent1"/>
          </w:rPr>
          <m:t>0.01</m:t>
        </m:r>
        <m:r>
          <w:rPr>
            <w:rFonts w:ascii="Cambria Math" w:hAnsi="Cambria Math"/>
            <w:color w:val="4F81BD" w:themeColor="accent1"/>
          </w:rPr>
          <m:t>125</m:t>
        </m:r>
        <m:r>
          <w:rPr>
            <w:rFonts w:ascii="Cambria Math" w:hAnsi="Cambria Math"/>
            <w:color w:val="4F81BD" w:themeColor="accent1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 xml:space="preserve"> </w:t>
      </w:r>
      <m:oMath>
        <m:r>
          <w:rPr>
            <w:rFonts w:ascii="Cambria Math" w:hAnsi="Cambria Math"/>
            <w:color w:val="4F81BD" w:themeColor="accent1"/>
          </w:rPr>
          <m:t>0.02</m:t>
        </m:r>
        <m:r>
          <w:rPr>
            <w:rFonts w:ascii="Cambria Math" w:hAnsi="Cambria Math"/>
            <w:color w:val="4F81BD" w:themeColor="accent1"/>
          </w:rPr>
          <m:t>375</m:t>
        </m:r>
        <m:r>
          <w:rPr>
            <w:rFonts w:ascii="Cambria Math" w:hAnsi="Cambria Math"/>
            <w:color w:val="4F81BD" w:themeColor="accent1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 xml:space="preserve"> and </w:t>
      </w:r>
      <m:oMath>
        <m:r>
          <w:rPr>
            <w:rFonts w:ascii="Cambria Math" w:hAnsi="Cambria Math"/>
            <w:color w:val="4F81BD" w:themeColor="accent1"/>
          </w:rPr>
          <m:t>0.0</m:t>
        </m:r>
        <m:r>
          <w:rPr>
            <w:rFonts w:ascii="Cambria Math" w:hAnsi="Cambria Math"/>
            <w:color w:val="4F81BD" w:themeColor="accent1"/>
          </w:rPr>
          <m:t>25</m:t>
        </m:r>
        <m:r>
          <w:rPr>
            <w:rFonts w:ascii="Cambria Math" w:hAnsi="Cambria Math"/>
            <w:color w:val="4F81BD" w:themeColor="accent1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color w:val="4F81BD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milenia</m:t>
            </m:r>
            <m:ctrlPr>
              <w:rPr>
                <w:rFonts w:ascii="Cambria Math" w:hAnsi="Cambria Math"/>
                <w:i/>
                <w:color w:val="4F81BD" w:themeColor="accen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-1</m:t>
            </m:r>
          </m:sup>
        </m:sSup>
      </m:oMath>
      <w:r w:rsidRPr="007669A0">
        <w:rPr>
          <w:iCs/>
          <w:color w:val="4F81BD" w:themeColor="accent1"/>
        </w:rPr>
        <w:t>.</w:t>
      </w:r>
      <w:r w:rsidR="003A15C9">
        <w:rPr>
          <w:iCs/>
          <w:color w:val="4F81BD" w:themeColor="accent1"/>
        </w:rPr>
        <w:t xml:space="preserve"> This method </w:t>
      </w:r>
      <w:r w:rsidR="002C62EC">
        <w:rPr>
          <w:iCs/>
          <w:color w:val="4F81BD" w:themeColor="accent1"/>
        </w:rPr>
        <w:t xml:space="preserve">filters out the </w:t>
      </w:r>
      <w:proofErr w:type="spellStart"/>
      <w:r w:rsidR="002C62EC">
        <w:rPr>
          <w:iCs/>
          <w:color w:val="4F81BD" w:themeColor="accent1"/>
        </w:rPr>
        <w:t>precessional</w:t>
      </w:r>
      <w:proofErr w:type="spellEnd"/>
      <w:r w:rsidR="002C62EC">
        <w:rPr>
          <w:iCs/>
          <w:color w:val="4F81BD" w:themeColor="accent1"/>
        </w:rPr>
        <w:t xml:space="preserve"> </w:t>
      </w:r>
      <w:r w:rsidR="007443A7">
        <w:rPr>
          <w:iCs/>
          <w:color w:val="4F81BD" w:themeColor="accent1"/>
        </w:rPr>
        <w:t>cycle of the Earth.</w:t>
      </w:r>
      <w:r w:rsidR="000516FB">
        <w:rPr>
          <w:iCs/>
          <w:color w:val="4F81BD" w:themeColor="accent1"/>
        </w:rPr>
        <w:t xml:space="preserve"> In general, the </w:t>
      </w:r>
      <w:proofErr w:type="spellStart"/>
      <w:r w:rsidR="000516FB">
        <w:rPr>
          <w:iCs/>
          <w:color w:val="4F81BD" w:themeColor="accent1"/>
        </w:rPr>
        <w:t>Hanning</w:t>
      </w:r>
      <w:proofErr w:type="spellEnd"/>
      <w:r w:rsidR="000516FB">
        <w:rPr>
          <w:iCs/>
          <w:color w:val="4F81BD" w:themeColor="accent1"/>
        </w:rPr>
        <w:t xml:space="preserve"> window redistributes power over similar frequencies.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490B1CED" w:rsidR="00EB47AD" w:rsidRDefault="00EB64EB" w:rsidP="00BE1139">
      <w:pPr>
        <w:jc w:val="both"/>
      </w:pPr>
      <w:r w:rsidRPr="00566D1C">
        <w:lastRenderedPageBreak/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</w:t>
      </w:r>
      <w:proofErr w:type="gramStart"/>
      <w:r w:rsidR="003F1DD3" w:rsidRPr="00566D1C">
        <w:t>low</w:t>
      </w:r>
      <w:r w:rsidR="002A5967">
        <w:t xml:space="preserve"> </w:t>
      </w:r>
      <w:r w:rsidR="003F1DD3" w:rsidRPr="00566D1C">
        <w:t>quality</w:t>
      </w:r>
      <w:proofErr w:type="gramEnd"/>
      <w:r w:rsidR="00C47E0A" w:rsidRPr="00566D1C">
        <w:t xml:space="preserve">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2FC477F0" w:rsidR="007F252B" w:rsidRDefault="007F252B" w:rsidP="00BE1139">
      <w:pPr>
        <w:jc w:val="both"/>
      </w:pPr>
    </w:p>
    <w:p w14:paraId="05568804" w14:textId="571712CC" w:rsidR="001A4E55" w:rsidRDefault="001A4E55" w:rsidP="00BE1139">
      <w:pPr>
        <w:jc w:val="both"/>
        <w:rPr>
          <w:color w:val="4F81BD" w:themeColor="accent1"/>
        </w:rPr>
      </w:pPr>
      <w:r>
        <w:rPr>
          <w:color w:val="4F81BD" w:themeColor="accent1"/>
        </w:rPr>
        <w:t>Smaller</w:t>
      </w:r>
      <w:r w:rsidR="00B84008" w:rsidRPr="00F91A38">
        <w:rPr>
          <w:color w:val="4F81BD" w:themeColor="accent1"/>
        </w:rPr>
        <w:t xml:space="preserve"> </w:t>
      </w:r>
      <w:proofErr w:type="spellStart"/>
      <w:r w:rsidR="00B84008" w:rsidRPr="00F91A38">
        <w:rPr>
          <w:color w:val="4F81BD" w:themeColor="accent1"/>
        </w:rPr>
        <w:t>Hanning</w:t>
      </w:r>
      <w:proofErr w:type="spellEnd"/>
      <w:r w:rsidR="00B84008" w:rsidRPr="00F91A38">
        <w:rPr>
          <w:color w:val="4F81BD" w:themeColor="accent1"/>
        </w:rPr>
        <w:t xml:space="preserve"> window</w:t>
      </w:r>
      <w:r>
        <w:rPr>
          <w:color w:val="4F81BD" w:themeColor="accent1"/>
        </w:rPr>
        <w:t>s</w:t>
      </w:r>
      <w:r w:rsidR="00194B48">
        <w:rPr>
          <w:color w:val="4F81BD" w:themeColor="accent1"/>
        </w:rPr>
        <w:t xml:space="preserve"> results in broadening of the spectral peaks</w:t>
      </w:r>
      <w:r w:rsidR="00F91A38" w:rsidRPr="00F91A38">
        <w:rPr>
          <w:color w:val="4F81BD" w:themeColor="accent1"/>
        </w:rPr>
        <w:t>.</w:t>
      </w:r>
      <w:r w:rsidR="00194B48">
        <w:rPr>
          <w:color w:val="4F81BD" w:themeColor="accent1"/>
        </w:rPr>
        <w:t xml:space="preserve"> Further, reducing the </w:t>
      </w:r>
      <w:proofErr w:type="spellStart"/>
      <w:r w:rsidR="00194B48">
        <w:rPr>
          <w:color w:val="4F81BD" w:themeColor="accent1"/>
        </w:rPr>
        <w:t>Hanning</w:t>
      </w:r>
      <w:proofErr w:type="spellEnd"/>
      <w:r w:rsidR="00194B48">
        <w:rPr>
          <w:color w:val="4F81BD" w:themeColor="accent1"/>
        </w:rPr>
        <w:t xml:space="preserve"> window emphasizes power at higher frequencies.</w:t>
      </w:r>
    </w:p>
    <w:p w14:paraId="1F3A1099" w14:textId="4F5F7167" w:rsidR="00B84008" w:rsidRPr="00474D69" w:rsidRDefault="00BA41C7" w:rsidP="00474D69">
      <w:r>
        <w:rPr>
          <w:color w:val="4F81BD" w:themeColor="accent1"/>
        </w:rPr>
        <w:t xml:space="preserve">Reducing the </w:t>
      </w:r>
      <w:proofErr w:type="spellStart"/>
      <w:r>
        <w:rPr>
          <w:color w:val="4F81BD" w:themeColor="accent1"/>
        </w:rPr>
        <w:t>Hanning</w:t>
      </w:r>
      <w:proofErr w:type="spellEnd"/>
      <w:r>
        <w:rPr>
          <w:color w:val="4F81BD" w:themeColor="accent1"/>
        </w:rPr>
        <w:t xml:space="preserve"> window by half allows capturing both high and low frequency peaks</w:t>
      </w:r>
      <w:r w:rsidR="001A4E55">
        <w:rPr>
          <w:color w:val="4F81BD" w:themeColor="accent1"/>
        </w:rPr>
        <w:t xml:space="preserve"> for this dataset</w:t>
      </w:r>
      <w:r>
        <w:rPr>
          <w:color w:val="4F81BD" w:themeColor="accent1"/>
        </w:rPr>
        <w:t>.</w:t>
      </w:r>
      <w:r w:rsidR="00474D69" w:rsidRPr="00474D69">
        <w:t xml:space="preserve"> </w:t>
      </w:r>
      <w:r w:rsidR="00474D69">
        <w:rPr>
          <w:noProof/>
        </w:rPr>
        <w:drawing>
          <wp:inline distT="0" distB="0" distL="0" distR="0" wp14:anchorId="0A10246E" wp14:editId="65CEF37A">
            <wp:extent cx="5486400" cy="15298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2"/>
                    <a:stretch/>
                  </pic:blipFill>
                  <pic:spPr bwMode="auto">
                    <a:xfrm>
                      <a:off x="0" y="0"/>
                      <a:ext cx="5486400" cy="152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8186" w14:textId="669D7CF7" w:rsidR="003F1DD3" w:rsidRDefault="00BA41C7" w:rsidP="003F1DD3">
      <w:r>
        <w:rPr>
          <w:noProof/>
        </w:rPr>
        <w:drawing>
          <wp:inline distT="0" distB="0" distL="0" distR="0" wp14:anchorId="42CFF735" wp14:editId="34A4DA0D">
            <wp:extent cx="5486400" cy="311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832D" w14:textId="77777777" w:rsidR="00F91A38" w:rsidRDefault="00F91A38" w:rsidP="00BE1139">
      <w:pPr>
        <w:jc w:val="both"/>
      </w:pPr>
    </w:p>
    <w:p w14:paraId="6758B4D5" w14:textId="25CE5B21" w:rsidR="007F252B" w:rsidRPr="00566D1C" w:rsidRDefault="00151689" w:rsidP="00BE1139">
      <w:pPr>
        <w:jc w:val="both"/>
      </w:pPr>
      <w:r>
        <w:t>6</w:t>
      </w:r>
      <w:r w:rsidR="007F252B" w:rsidRPr="00566D1C">
        <w:t xml:space="preserve">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 w:rsidR="007F252B">
        <w:t xml:space="preserve">Having found what you think is a good balance between precision in the identification of the spectral peaks and </w:t>
      </w:r>
      <w:r w:rsidR="007F252B"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="007F252B" w:rsidRPr="005975E9">
        <w:t>.  How does this change your</w:t>
      </w:r>
      <w:r w:rsidR="007F252B">
        <w:t xml:space="preserve"> results</w:t>
      </w:r>
      <w:r w:rsidR="005E1789">
        <w:t>?</w:t>
      </w:r>
    </w:p>
    <w:p w14:paraId="003E645B" w14:textId="1B8E4D58" w:rsidR="00BA41C7" w:rsidRDefault="00BA41C7" w:rsidP="00BA41C7"/>
    <w:p w14:paraId="747B0377" w14:textId="28160DF3" w:rsidR="00C51642" w:rsidRPr="002812D2" w:rsidRDefault="00474D69" w:rsidP="00BA41C7">
      <w:pPr>
        <w:rPr>
          <w:color w:val="4F81BD" w:themeColor="accent1"/>
        </w:rPr>
      </w:pPr>
      <w:r>
        <w:rPr>
          <w:color w:val="4F81BD" w:themeColor="accent1"/>
        </w:rPr>
        <w:lastRenderedPageBreak/>
        <w:t>The Welch Overlapping Segment Averaging enables having higher spectral resolution and at the same time high-quality statistics.</w:t>
      </w:r>
    </w:p>
    <w:p w14:paraId="59576A9B" w14:textId="49E9BD49" w:rsidR="00BB47BC" w:rsidRDefault="00BB47BC" w:rsidP="00BB47BC">
      <w:r>
        <w:rPr>
          <w:b/>
          <w:noProof/>
        </w:rPr>
        <w:drawing>
          <wp:inline distT="0" distB="0" distL="0" distR="0" wp14:anchorId="5AA72586" wp14:editId="38344FE4">
            <wp:extent cx="5354320" cy="1776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2C13" w14:textId="77777777" w:rsidR="00AD4415" w:rsidRDefault="00AD4415" w:rsidP="00BE1139">
      <w:pPr>
        <w:jc w:val="both"/>
        <w:rPr>
          <w:b/>
        </w:rPr>
      </w:pPr>
    </w:p>
    <w:sectPr w:rsidR="00AD4415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1731D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16FB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4E84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1689"/>
    <w:rsid w:val="00155909"/>
    <w:rsid w:val="00160562"/>
    <w:rsid w:val="00163445"/>
    <w:rsid w:val="00165100"/>
    <w:rsid w:val="00167576"/>
    <w:rsid w:val="00170AFD"/>
    <w:rsid w:val="00172053"/>
    <w:rsid w:val="00172BBD"/>
    <w:rsid w:val="00181555"/>
    <w:rsid w:val="00183455"/>
    <w:rsid w:val="00187B8A"/>
    <w:rsid w:val="0019243F"/>
    <w:rsid w:val="00193908"/>
    <w:rsid w:val="00194B48"/>
    <w:rsid w:val="00196C93"/>
    <w:rsid w:val="001A4E55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2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5967"/>
    <w:rsid w:val="002A6B04"/>
    <w:rsid w:val="002B0AC1"/>
    <w:rsid w:val="002C49A2"/>
    <w:rsid w:val="002C62EC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5C9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1DD3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901"/>
    <w:rsid w:val="00443C44"/>
    <w:rsid w:val="00444303"/>
    <w:rsid w:val="00446334"/>
    <w:rsid w:val="0045090F"/>
    <w:rsid w:val="004519CA"/>
    <w:rsid w:val="00452210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4D69"/>
    <w:rsid w:val="004770FA"/>
    <w:rsid w:val="00477C7C"/>
    <w:rsid w:val="00484710"/>
    <w:rsid w:val="004849FA"/>
    <w:rsid w:val="0049348D"/>
    <w:rsid w:val="00497857"/>
    <w:rsid w:val="004A17B0"/>
    <w:rsid w:val="004A2F3C"/>
    <w:rsid w:val="004B238D"/>
    <w:rsid w:val="004B5828"/>
    <w:rsid w:val="004B63FB"/>
    <w:rsid w:val="004C4477"/>
    <w:rsid w:val="004D3535"/>
    <w:rsid w:val="004D57C2"/>
    <w:rsid w:val="004D6C7B"/>
    <w:rsid w:val="004E1091"/>
    <w:rsid w:val="004F027C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36D3D"/>
    <w:rsid w:val="00540312"/>
    <w:rsid w:val="00541CDB"/>
    <w:rsid w:val="00541E05"/>
    <w:rsid w:val="00544066"/>
    <w:rsid w:val="00544C49"/>
    <w:rsid w:val="005548D0"/>
    <w:rsid w:val="0056079D"/>
    <w:rsid w:val="005617DF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438"/>
    <w:rsid w:val="00595B5A"/>
    <w:rsid w:val="005975E9"/>
    <w:rsid w:val="005975FA"/>
    <w:rsid w:val="005A178F"/>
    <w:rsid w:val="005A2E2D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290D"/>
    <w:rsid w:val="00603009"/>
    <w:rsid w:val="00604D0B"/>
    <w:rsid w:val="00604E2E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330B"/>
    <w:rsid w:val="00656FD0"/>
    <w:rsid w:val="00664512"/>
    <w:rsid w:val="00664D9F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4C9D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6912"/>
    <w:rsid w:val="00706930"/>
    <w:rsid w:val="0070793C"/>
    <w:rsid w:val="00710E28"/>
    <w:rsid w:val="00712A29"/>
    <w:rsid w:val="00717822"/>
    <w:rsid w:val="00717DA8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3A7"/>
    <w:rsid w:val="00744E18"/>
    <w:rsid w:val="007473AB"/>
    <w:rsid w:val="007514E0"/>
    <w:rsid w:val="00763520"/>
    <w:rsid w:val="0076688A"/>
    <w:rsid w:val="007669A0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28BA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41BF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208E2"/>
    <w:rsid w:val="008251D5"/>
    <w:rsid w:val="00831CAE"/>
    <w:rsid w:val="00833EA6"/>
    <w:rsid w:val="00835069"/>
    <w:rsid w:val="008434FC"/>
    <w:rsid w:val="008465FA"/>
    <w:rsid w:val="00850885"/>
    <w:rsid w:val="00850C6F"/>
    <w:rsid w:val="00852126"/>
    <w:rsid w:val="00852316"/>
    <w:rsid w:val="0085350F"/>
    <w:rsid w:val="00854B07"/>
    <w:rsid w:val="00854E19"/>
    <w:rsid w:val="00855915"/>
    <w:rsid w:val="008569DC"/>
    <w:rsid w:val="008574D0"/>
    <w:rsid w:val="00865F0A"/>
    <w:rsid w:val="008719A1"/>
    <w:rsid w:val="00872FD9"/>
    <w:rsid w:val="00873A90"/>
    <w:rsid w:val="0087527D"/>
    <w:rsid w:val="00875B8E"/>
    <w:rsid w:val="008765DF"/>
    <w:rsid w:val="0087694B"/>
    <w:rsid w:val="0087789D"/>
    <w:rsid w:val="00884933"/>
    <w:rsid w:val="00884AC3"/>
    <w:rsid w:val="00886ABD"/>
    <w:rsid w:val="00886E3A"/>
    <w:rsid w:val="00890E2D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C5F72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17BE3"/>
    <w:rsid w:val="0092655A"/>
    <w:rsid w:val="00934C1D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447D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AF7409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84008"/>
    <w:rsid w:val="00B92206"/>
    <w:rsid w:val="00B940E7"/>
    <w:rsid w:val="00B9612A"/>
    <w:rsid w:val="00BA41C7"/>
    <w:rsid w:val="00BA5D8C"/>
    <w:rsid w:val="00BA7948"/>
    <w:rsid w:val="00BB22D0"/>
    <w:rsid w:val="00BB47BC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3C6E"/>
    <w:rsid w:val="00C344D7"/>
    <w:rsid w:val="00C4010F"/>
    <w:rsid w:val="00C44B73"/>
    <w:rsid w:val="00C44C4C"/>
    <w:rsid w:val="00C45951"/>
    <w:rsid w:val="00C47E0A"/>
    <w:rsid w:val="00C47E2D"/>
    <w:rsid w:val="00C51642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32A1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6B69"/>
    <w:rsid w:val="00CD7992"/>
    <w:rsid w:val="00CE2143"/>
    <w:rsid w:val="00CE2CEE"/>
    <w:rsid w:val="00CE5D78"/>
    <w:rsid w:val="00CE696B"/>
    <w:rsid w:val="00CF1C59"/>
    <w:rsid w:val="00CF465A"/>
    <w:rsid w:val="00CF7D10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4EE9"/>
    <w:rsid w:val="00D65E60"/>
    <w:rsid w:val="00D66448"/>
    <w:rsid w:val="00D665CD"/>
    <w:rsid w:val="00D6716D"/>
    <w:rsid w:val="00D75EE3"/>
    <w:rsid w:val="00D7777F"/>
    <w:rsid w:val="00D81273"/>
    <w:rsid w:val="00D81ECD"/>
    <w:rsid w:val="00D84F59"/>
    <w:rsid w:val="00D906A9"/>
    <w:rsid w:val="00D91995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54BA"/>
    <w:rsid w:val="00DF7F5E"/>
    <w:rsid w:val="00E0636A"/>
    <w:rsid w:val="00E071E1"/>
    <w:rsid w:val="00E079C9"/>
    <w:rsid w:val="00E15292"/>
    <w:rsid w:val="00E268A4"/>
    <w:rsid w:val="00E40805"/>
    <w:rsid w:val="00E45937"/>
    <w:rsid w:val="00E45EA7"/>
    <w:rsid w:val="00E463A2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B6AF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1A38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5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Miguel Sanchez Gomez</cp:lastModifiedBy>
  <cp:revision>93</cp:revision>
  <dcterms:created xsi:type="dcterms:W3CDTF">2018-03-13T15:41:00Z</dcterms:created>
  <dcterms:modified xsi:type="dcterms:W3CDTF">2020-10-21T21:46:00Z</dcterms:modified>
</cp:coreProperties>
</file>