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27.png" ContentType="image/png"/>
  <Override PartName="/word/media/rId22.png" ContentType="image/png"/>
  <Override PartName="/word/media/rId145.png" ContentType="image/png"/>
  <Override PartName="/word/media/rId190.png" ContentType="image/png"/>
  <Override PartName="/word/media/rId32.jpg" ContentType="image/jpeg"/>
  <Override PartName="/word/media/rId37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51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1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2"/>
      </w:pPr>
      <w:r>
        <w:rPr>
          <w:rStyle w:val="SectionNumber"/>
        </w:rPr>
        <w:t xml:space="preserve">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245100" cy="51943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clipboard-36920825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519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End w:id="31"/>
    <w:bookmarkStart w:id="46" w:name="livros-texto-da-disciplin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Livros Texto da Disciplina</w:t>
      </w:r>
    </w:p>
    <w:bookmarkStart w:id="36" w:name="X4b3668f80478824c92966498a9519f1dfbb7575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5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6"/>
    <w:bookmarkStart w:id="45" w:name="X5f3515d00e9ee11c4d22518afa46566e0afb14e"/>
    <w:p>
      <w:pPr>
        <w:pStyle w:val="Heading4"/>
      </w:pPr>
      <w:r>
        <w:rPr>
          <w:rStyle w:val="SectionNumber"/>
        </w:rPr>
        <w:t xml:space="preserve">1.0.0.2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40" w:name="fevereiro-2025"/>
    <w:p>
      <w:pPr>
        <w:pStyle w:val="Heading5"/>
      </w:pPr>
      <w:r>
        <w:rPr>
          <w:rStyle w:val="SectionNumber"/>
        </w:rPr>
        <w:t xml:space="preserve">1.0.0.2.1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40"/>
    <w:bookmarkStart w:id="41" w:name="março-2025"/>
    <w:p>
      <w:pPr>
        <w:pStyle w:val="Heading5"/>
      </w:pPr>
      <w:r>
        <w:rPr>
          <w:rStyle w:val="SectionNumber"/>
        </w:rPr>
        <w:t xml:space="preserve">1.0.0.2.2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1"/>
    <w:bookmarkStart w:id="42" w:name="abril-de-2025"/>
    <w:p>
      <w:pPr>
        <w:pStyle w:val="Heading5"/>
      </w:pPr>
      <w:r>
        <w:rPr>
          <w:rStyle w:val="SectionNumber"/>
        </w:rPr>
        <w:t xml:space="preserve">1.0.0.2.3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2"/>
    <w:bookmarkStart w:id="43" w:name="maio-de-2025"/>
    <w:p>
      <w:pPr>
        <w:pStyle w:val="Heading5"/>
      </w:pPr>
      <w:r>
        <w:rPr>
          <w:rStyle w:val="SectionNumber"/>
        </w:rPr>
        <w:t xml:space="preserve">1.0.0.2.4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3"/>
    <w:bookmarkStart w:id="44" w:name="junho-de-2025"/>
    <w:p>
      <w:pPr>
        <w:pStyle w:val="Heading5"/>
      </w:pPr>
      <w:r>
        <w:rPr>
          <w:rStyle w:val="SectionNumber"/>
        </w:rPr>
        <w:t xml:space="preserve">1.0.0.2.5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4"/>
    <w:bookmarkEnd w:id="45"/>
    <w:bookmarkEnd w:id="46"/>
    <w:bookmarkStart w:id="50" w:name="alunos-2025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Alunos 2025</w:t>
      </w:r>
    </w:p>
    <w:bookmarkStart w:id="47" w:name="turma-ds2p40"/>
    <w:p>
      <w:pPr>
        <w:pStyle w:val="Heading3"/>
      </w:pPr>
      <w:r>
        <w:rPr>
          <w:rStyle w:val="SectionNumber"/>
        </w:rPr>
        <w:t xml:space="preserve">2.0.1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7"/>
    <w:bookmarkStart w:id="48" w:name="turma-ds3p40"/>
    <w:p>
      <w:pPr>
        <w:pStyle w:val="Heading3"/>
      </w:pPr>
      <w:r>
        <w:rPr>
          <w:rStyle w:val="SectionNumber"/>
        </w:rPr>
        <w:t xml:space="preserve">2.0.2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8"/>
    <w:bookmarkStart w:id="49" w:name="turma-ds3q40"/>
    <w:p>
      <w:pPr>
        <w:pStyle w:val="Heading3"/>
      </w:pPr>
      <w:r>
        <w:rPr>
          <w:rStyle w:val="SectionNumber"/>
        </w:rPr>
        <w:t xml:space="preserve">2.0.3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p>
      <w:pPr>
        <w:pStyle w:val="SourceCode"/>
      </w:pPr>
      <w:r>
        <w:rPr>
          <w:rStyle w:val="NormalTok"/>
        </w:rPr>
        <w:t xml:space="preserve">bookdown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render_book</w:t>
      </w:r>
      <w:r>
        <w:rPr>
          <w:rStyle w:val="NormalTok"/>
        </w:rPr>
        <w:t xml:space="preserve">()</w:t>
      </w:r>
    </w:p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6" w:name="qualidade-de-software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3.2.5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4848"/>
        <w:tblLayout w:type="fixed"/>
        <w:tblLook w:firstRow="0" w:lastRow="0" w:firstColumn="0" w:lastColumn="0" w:noHBand="0" w:noVBand="0" w:val="0000"/>
      </w:tblPr>
      <w:tblGrid>
        <w:gridCol w:w="2880"/>
        <w:gridCol w:w="960"/>
        <w:gridCol w:w="960"/>
        <w:gridCol w:w="1280"/>
        <w:gridCol w:w="1600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3.2.6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3.2.7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3.2.8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3.2.9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3.2.10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3.2.11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3.2.12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5" w:name="exercício-de-fixação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Exercício de Fixação: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Start w:id="124" w:name="repostas-dos-testes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4"/>
    <w:bookmarkEnd w:id="125"/>
    <w:bookmarkEnd w:id="126"/>
    <w:bookmarkStart w:id="140" w:name="verificação-de-valida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5334000" cy="4309200"/>
            <wp:effectExtent b="0" l="0" r="0" t="0"/>
            <wp:docPr descr="" title="" id="128" name="Picture"/>
            <a:graphic>
              <a:graphicData uri="http://schemas.openxmlformats.org/drawingml/2006/picture">
                <pic:pic>
                  <pic:nvPicPr>
                    <pic:cNvPr descr="images/clipboard-244538490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0" w:name="verificação-de-softare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Verificação de Softare: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0"/>
    <w:bookmarkStart w:id="131" w:name="validação-de-softar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Validação de Softare: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bookmarkEnd w:id="131"/>
    <w:bookmarkStart w:id="135" w:name="classificação-das-técnica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Classificação das Técnicas:</w:t>
      </w:r>
    </w:p>
    <w:bookmarkStart w:id="132" w:name="técnicas-estáticas"/>
    <w:p>
      <w:pPr>
        <w:pStyle w:val="Heading3"/>
      </w:pPr>
      <w:r>
        <w:rPr>
          <w:rStyle w:val="SectionNumber"/>
        </w:rPr>
        <w:t xml:space="preserve">4.3.1</w:t>
      </w:r>
      <w:r>
        <w:tab/>
      </w:r>
      <w:r>
        <w:t xml:space="preserve">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</w:t>
      </w:r>
    </w:p>
    <w:bookmarkEnd w:id="132"/>
    <w:bookmarkStart w:id="133" w:name="técnicas-dinâmicas"/>
    <w:p>
      <w:pPr>
        <w:pStyle w:val="Heading3"/>
      </w:pPr>
      <w:r>
        <w:rPr>
          <w:rStyle w:val="SectionNumber"/>
        </w:rPr>
        <w:t xml:space="preserve">4.3.2</w:t>
      </w:r>
      <w:r>
        <w:tab/>
      </w:r>
      <w:r>
        <w:t xml:space="preserve">Técnicas Dinâmicas</w:t>
      </w:r>
    </w:p>
    <w:p>
      <w:pPr>
        <w:pStyle w:val="FirstParagraph"/>
      </w:pPr>
      <w:r>
        <w:t xml:space="preserve">As Técnicas Dinâmicas são testes de software, nos quais o sistema é executado com dados de testes simulados.</w:t>
      </w:r>
    </w:p>
    <w:bookmarkEnd w:id="133"/>
    <w:bookmarkStart w:id="134" w:name="abordagens-formais"/>
    <w:p>
      <w:pPr>
        <w:pStyle w:val="Heading3"/>
      </w:pPr>
      <w:r>
        <w:rPr>
          <w:rStyle w:val="SectionNumber"/>
        </w:rPr>
        <w:t xml:space="preserve">4.3.3</w:t>
      </w:r>
      <w:r>
        <w:tab/>
      </w:r>
      <w:r>
        <w:t xml:space="preserve">Abordagens Formais</w:t>
      </w:r>
    </w:p>
    <w:p>
      <w:pPr>
        <w:pStyle w:val="FirstParagraph"/>
      </w:pPr>
      <w:r>
        <w:t xml:space="preserve">Já as abordagens formais são técnicas usadas para softwares críticos (usinas nucleares, navegação aérea, cirurgia robótica). Os processo de Prova de correção, o processo sala limpa (clean room).</w:t>
      </w:r>
    </w:p>
    <w:bookmarkEnd w:id="134"/>
    <w:bookmarkEnd w:id="135"/>
    <w:bookmarkStart w:id="139" w:name="revisões-técnicas-passeio-e-inspeção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Revisões Técnicas: PASSEIO e INSPEÇÃO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(RT)</w:t>
      </w:r>
      <w:r>
        <w:t xml:space="preserve"> </w:t>
      </w:r>
      <w:r>
        <w:t xml:space="preserve">são Reuniões conduzidas por membros da equipe de software para avaliar a qualidade do software.</w:t>
      </w:r>
    </w:p>
    <w:bookmarkStart w:id="136" w:name="X940ee6026b4f9a8567a8708d99a42b429694988"/>
    <w:p>
      <w:pPr>
        <w:pStyle w:val="Heading4"/>
      </w:pPr>
      <w:r>
        <w:rPr>
          <w:rStyle w:val="SectionNumber"/>
        </w:rPr>
        <w:t xml:space="preserve">4.4.0.1</w:t>
      </w:r>
      <w:r>
        <w:tab/>
      </w:r>
      <w:r>
        <w:t xml:space="preserve">As revisões técnicas podem ser</w:t>
      </w:r>
      <w:r>
        <w:t xml:space="preserve"> </w:t>
      </w:r>
      <w:r>
        <w:t xml:space="preserve">“</w:t>
      </w:r>
      <w:r>
        <w:t xml:space="preserve">Informais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Formais</w:t>
      </w:r>
      <w:r>
        <w:t xml:space="preserve">”</w:t>
      </w:r>
    </w:p>
    <w:p>
      <w:pPr>
        <w:pStyle w:val="FirstParagraph"/>
      </w:pPr>
      <w:r>
        <w:t xml:space="preserve">As</w:t>
      </w:r>
      <w:r>
        <w:t xml:space="preserve"> </w:t>
      </w:r>
      <w:r>
        <w:rPr>
          <w:b/>
          <w:bCs/>
        </w:rPr>
        <w:t xml:space="preserve">Revisões Informais</w:t>
      </w:r>
      <w:r>
        <w:t xml:space="preserve"> </w:t>
      </w:r>
      <w:r>
        <w:t xml:space="preserve">incluem testes de mesa e reuniões informais com colegas.</w:t>
      </w:r>
    </w:p>
    <w:p>
      <w:pPr>
        <w:pStyle w:val="BodyText"/>
      </w:pPr>
      <w:r>
        <w:t xml:space="preserve">As</w:t>
      </w:r>
      <w:r>
        <w:t xml:space="preserve"> </w:t>
      </w:r>
      <w:r>
        <w:rPr>
          <w:b/>
          <w:bCs/>
        </w:rPr>
        <w:t xml:space="preserve">Revisões Técnicas Formais</w:t>
      </w:r>
      <w:r>
        <w:t xml:space="preserve"> </w:t>
      </w:r>
      <w:r>
        <w:t xml:space="preserve">são feitas com Reuniões estilizadas com papéis definidos, planejamento antecipado e manutenção de registros.</w:t>
      </w:r>
    </w:p>
    <w:bookmarkEnd w:id="136"/>
    <w:bookmarkStart w:id="137" w:name="passeio-walkthrough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Passeio (Walkthrough)</w:t>
      </w:r>
    </w:p>
    <w:p>
      <w:pPr>
        <w:pStyle w:val="FirstParagraph"/>
      </w:pPr>
      <w:r>
        <w:t xml:space="preserve">O 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artefato, explicando o material, enquanto os revisores levantam questões com base em sua preparação prévia.</w:t>
      </w:r>
    </w:p>
    <w:bookmarkEnd w:id="137"/>
    <w:bookmarkStart w:id="138" w:name="inspeção-do-produto"/>
    <w:p>
      <w:pPr>
        <w:pStyle w:val="Heading3"/>
      </w:pPr>
      <w:r>
        <w:rPr>
          <w:rStyle w:val="SectionNumber"/>
        </w:rPr>
        <w:t xml:space="preserve">4.4.2</w:t>
      </w:r>
      <w:r>
        <w:tab/>
      </w:r>
      <w:r>
        <w:t xml:space="preserve">Inspeção do produto</w:t>
      </w:r>
    </w:p>
    <w:p>
      <w:pPr>
        <w:pStyle w:val="FirstParagraph"/>
      </w:pPr>
      <w:r>
        <w:t xml:space="preserve">Uma pequena equipe verifica o código sistematicamente, procurando por possíveis erros e omissões.</w:t>
      </w:r>
    </w:p>
    <w:bookmarkEnd w:id="138"/>
    <w:bookmarkEnd w:id="139"/>
    <w:bookmarkEnd w:id="140"/>
    <w:bookmarkStart w:id="152" w:name="Xf3c8eeea4f670f5b4bed65c938c2d3cd8236378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Estudo da Entrega #01 - ERP Agrotec - Módulo Cadastros</w:t>
      </w:r>
    </w:p>
    <w:bookmarkStart w:id="143" w:name="interface-janelaprincipal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142" w:name="como-executar-a-janela-principal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Como executar a janela principal</w:t>
      </w:r>
    </w:p>
    <w:p>
      <w:pPr>
        <w:numPr>
          <w:ilvl w:val="0"/>
          <w:numId w:val="1063"/>
        </w:numPr>
      </w:pPr>
      <w:r>
        <w:t xml:space="preserve">Baixar o e instalar o Python (preferencialmente a</w:t>
      </w:r>
      <w:r>
        <w:t xml:space="preserve"> </w:t>
      </w:r>
      <w:hyperlink r:id="rId141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63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64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65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66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142"/>
    <w:bookmarkEnd w:id="143"/>
    <w:bookmarkStart w:id="149" w:name="cadastro-de-clientes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4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46" name="Picture"/>
            <a:graphic>
              <a:graphicData uri="http://schemas.openxmlformats.org/drawingml/2006/picture">
                <pic:pic>
                  <pic:nvPicPr>
                    <pic:cNvPr descr="images/clipboard-78059825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48" w:name="tabela-clientes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48"/>
    <w:bookmarkEnd w:id="149"/>
    <w:bookmarkStart w:id="150" w:name="cadastro-de-fornecedor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Cadastro de Fornecedores</w:t>
      </w:r>
    </w:p>
    <w:bookmarkEnd w:id="150"/>
    <w:bookmarkStart w:id="151" w:name="cadastro-de-produto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Cadastro de Produtos</w:t>
      </w:r>
    </w:p>
    <w:bookmarkEnd w:id="151"/>
    <w:bookmarkEnd w:id="152"/>
    <w:bookmarkStart w:id="161" w:name="introdução-à-manutenção-de-softwar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Introdução à Manutenção de Software</w:t>
      </w:r>
    </w:p>
    <w:bookmarkStart w:id="157" w:name="manutenção-definição-e-características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1- Manutenção: definição e características”</w:t>
      </w:r>
    </w:p>
    <w:bookmarkStart w:id="153" w:name="definição-de-manutenção-de-software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53"/>
    <w:bookmarkStart w:id="154" w:name="natureza-da-mudança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54"/>
    <w:bookmarkStart w:id="155" w:name="tipos-de-manutenção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55"/>
    <w:bookmarkStart w:id="156" w:name="custos-da-manutenção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56"/>
    <w:bookmarkEnd w:id="157"/>
    <w:bookmarkStart w:id="160" w:name="introdução-à-manutenibilidade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2- Introdução à Manutenibilidade</w:t>
      </w:r>
    </w:p>
    <w:bookmarkStart w:id="158" w:name="definição-preliminar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58"/>
    <w:bookmarkStart w:id="159" w:name="importância-da-manutenibilidade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59"/>
    <w:bookmarkEnd w:id="160"/>
    <w:bookmarkEnd w:id="161"/>
    <w:bookmarkStart w:id="169" w:name="Xc70bad7994341eefcc2a69ab0d2e08c196c4de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APROFUNDANDO A MANUTENIBILIDADE E AS TÉCNICAS DE DESENVOLVIMENTO</w:t>
      </w:r>
    </w:p>
    <w:bookmarkStart w:id="164" w:name="manutenibilidad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Manutenibilidade</w:t>
      </w:r>
    </w:p>
    <w:bookmarkStart w:id="162" w:name="atributos-da-manutenibilidade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62"/>
    <w:bookmarkStart w:id="163" w:name="métricas-de-manutenibilidade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63"/>
    <w:bookmarkEnd w:id="164"/>
    <w:bookmarkStart w:id="168" w:name="X5e4fe006616b5018dad9cf630ee750aa66fb302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Técnicas de Desenvolvimento para a Manutenibilidade</w:t>
      </w:r>
    </w:p>
    <w:bookmarkStart w:id="165" w:name="princípios-de-projeto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65"/>
    <w:bookmarkStart w:id="166" w:name="qualidade-do-código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166"/>
    <w:bookmarkStart w:id="167" w:name="documentação"/>
    <w:p>
      <w:pPr>
        <w:pStyle w:val="Heading3"/>
      </w:pPr>
      <w:r>
        <w:rPr>
          <w:rStyle w:val="SectionNumber"/>
        </w:rPr>
        <w:t xml:space="preserve">7.2.3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167"/>
    <w:bookmarkEnd w:id="168"/>
    <w:bookmarkEnd w:id="169"/>
    <w:bookmarkStart w:id="178" w:name="Xb2b90ea5c6d76f4d0f3bee44b0592b8917913a9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172" w:name="processos-de-manuten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Processos de Manutenção</w:t>
      </w:r>
    </w:p>
    <w:bookmarkStart w:id="170" w:name="fluxo-do-processo-de-manutenção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170"/>
    <w:bookmarkStart w:id="171" w:name="gerenciamento-de-mudanças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171"/>
    <w:bookmarkEnd w:id="172"/>
    <w:bookmarkStart w:id="175" w:name="padrões-de-desenvolviment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Padrões de Desenvolvimento</w:t>
      </w:r>
    </w:p>
    <w:bookmarkStart w:id="173" w:name="impacto-na-manutenção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173"/>
    <w:bookmarkStart w:id="174" w:name="exemplos-de-padrões-relevantes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174"/>
    <w:bookmarkEnd w:id="175"/>
    <w:bookmarkStart w:id="177" w:name="padrões-de-manuten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Padrões de Manutenção</w:t>
      </w:r>
    </w:p>
    <w:bookmarkStart w:id="176" w:name="conceito-e-exemplos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176"/>
    <w:bookmarkEnd w:id="177"/>
    <w:bookmarkEnd w:id="178"/>
    <w:bookmarkStart w:id="189" w:name="X8ffb6ebb1517a54e8c53c4b4ca125ffd91fb85a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181" w:name="X23309511c5be514d28fd8fc5fd21c90fc43f15e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Desenvolvimento Baseado em Componentes e Impactos na Manutenção</w:t>
      </w:r>
    </w:p>
    <w:bookmarkStart w:id="179" w:name="Xad5cd567200530ad3ef2cfc4732df41b77f08cb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179"/>
    <w:bookmarkStart w:id="180" w:name="impactos-na-manutenção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180"/>
    <w:bookmarkEnd w:id="181"/>
    <w:bookmarkStart w:id="184" w:name="X540885dc078a2728941b987a00538784749fc6f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Desenvolvimento Orientado a Aspectos e Impactos na Manutenção</w:t>
      </w:r>
    </w:p>
    <w:bookmarkStart w:id="182" w:name="X42b002e5cc5dc3e144aa82016fa0ec904231b04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182"/>
    <w:bookmarkStart w:id="183" w:name="impactos-na-manutenção-1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183"/>
    <w:bookmarkEnd w:id="184"/>
    <w:bookmarkStart w:id="188" w:name="atividades-de-apoio-a-manutenção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Atividades de Apoio a Manutenção</w:t>
      </w:r>
    </w:p>
    <w:bookmarkStart w:id="185" w:name="X55b9098e0db46159c42cafaeae72f572c523dc2"/>
    <w:p>
      <w:pPr>
        <w:pStyle w:val="Heading3"/>
      </w:pPr>
      <w:r>
        <w:rPr>
          <w:rStyle w:val="SectionNumber"/>
        </w:rPr>
        <w:t xml:space="preserve">9.3.1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185"/>
    <w:bookmarkStart w:id="186" w:name="reengenharia"/>
    <w:p>
      <w:pPr>
        <w:pStyle w:val="Heading3"/>
      </w:pPr>
      <w:r>
        <w:rPr>
          <w:rStyle w:val="SectionNumber"/>
        </w:rPr>
        <w:t xml:space="preserve">9.3.2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186"/>
    <w:bookmarkStart w:id="187" w:name="testes-de-regressão"/>
    <w:p>
      <w:pPr>
        <w:pStyle w:val="Heading3"/>
      </w:pPr>
      <w:r>
        <w:rPr>
          <w:rStyle w:val="SectionNumber"/>
        </w:rPr>
        <w:t xml:space="preserve">9.3.3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187"/>
    <w:bookmarkEnd w:id="188"/>
    <w:bookmarkEnd w:id="189"/>
    <w:bookmarkStart w:id="209" w:name="gerência-de-configuração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Gerência de Configuração</w:t>
      </w:r>
    </w:p>
    <w:p>
      <w:pPr>
        <w:pStyle w:val="FirstParagraph"/>
      </w:pPr>
      <w:r>
        <w:t xml:space="preserve">(aula em processo de edição)</w:t>
      </w:r>
    </w:p>
    <w:p>
      <w:pPr>
        <w:pStyle w:val="BodyText"/>
      </w:pPr>
      <w:r>
        <w:drawing>
          <wp:inline>
            <wp:extent cx="2286000" cy="2133600"/>
            <wp:effectExtent b="0" l="0" r="0" t="0"/>
            <wp:docPr descr="" title="" id="191" name="Picture"/>
            <a:graphic>
              <a:graphicData uri="http://schemas.openxmlformats.org/drawingml/2006/picture">
                <pic:pic>
                  <pic:nvPicPr>
                    <pic:cNvPr descr="images/clipboard-871701020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96" w:name="introdução-à-gerência-de-configuraçã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Introdução à Gerência de Configuração</w:t>
      </w:r>
    </w:p>
    <w:bookmarkStart w:id="193" w:name="definição-de-gerência-de-configuração-gc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193"/>
    <w:bookmarkStart w:id="194" w:name="a-natureza-da-mudança-em-softwar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194"/>
    <w:bookmarkStart w:id="195" w:name="importância-da-gc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195"/>
    <w:bookmarkEnd w:id="196"/>
    <w:bookmarkStart w:id="203" w:name="elementos-da-gerência-de-configuração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Elementos da Gerência de Configuração</w:t>
      </w:r>
    </w:p>
    <w:bookmarkStart w:id="197" w:name="itens-de-configuração-de-software-icis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197"/>
    <w:bookmarkStart w:id="198" w:name="identificação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198"/>
    <w:bookmarkStart w:id="199" w:name="controle-de-versão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199"/>
    <w:bookmarkStart w:id="200" w:name="controle-de-mudanças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00"/>
    <w:bookmarkStart w:id="201" w:name="auditoria-de-configuração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01"/>
    <w:bookmarkStart w:id="202" w:name="relatório-de-status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02"/>
    <w:bookmarkEnd w:id="203"/>
    <w:bookmarkStart w:id="205" w:name="processo-de-gerência-de-configuração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Processo de Gerência de Configuração</w:t>
      </w:r>
    </w:p>
    <w:bookmarkStart w:id="204" w:name="planejamento-da-gc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04"/>
    <w:bookmarkEnd w:id="205"/>
    <w:bookmarkStart w:id="206" w:name="ferramentas-de-gerência-de-configuração"/>
    <w:p>
      <w:pPr>
        <w:pStyle w:val="Heading2"/>
      </w:pPr>
      <w:r>
        <w:rPr>
          <w:rStyle w:val="SectionNumber"/>
        </w:rPr>
        <w:t xml:space="preserve">10.4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06"/>
    <w:bookmarkStart w:id="207" w:name="gc-em-contextos-ágeis-e-tradicionais"/>
    <w:p>
      <w:pPr>
        <w:pStyle w:val="Heading2"/>
      </w:pPr>
      <w:r>
        <w:rPr>
          <w:rStyle w:val="SectionNumber"/>
        </w:rPr>
        <w:t xml:space="preserve">10.5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07"/>
    <w:bookmarkStart w:id="208" w:name="referências"/>
    <w:p>
      <w:pPr>
        <w:pStyle w:val="Heading2"/>
      </w:pPr>
      <w:r>
        <w:rPr>
          <w:rStyle w:val="SectionNumber"/>
        </w:rPr>
        <w:t xml:space="preserve">10.6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08"/>
    <w:bookmarkEnd w:id="209"/>
    <w:bookmarkStart w:id="210" w:name="revisão-para-np2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Revisão para NP2</w:t>
      </w:r>
    </w:p>
    <w:bookmarkEnd w:id="210"/>
    <w:bookmarkStart w:id="211" w:name="revisão-para-a-substitutiva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Revisão para a Substitutiva</w:t>
      </w:r>
    </w:p>
    <w:bookmarkEnd w:id="211"/>
    <w:bookmarkStart w:id="221" w:name="apêndice-i---estudo-da---erp-agrotec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Apêndice I - Estudo da - ERP Agrotec</w:t>
      </w:r>
    </w:p>
    <w:bookmarkStart w:id="212" w:name="entrega-01---módulo-cadastros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Entrega #01 - Módulo Cadastros</w:t>
      </w:r>
    </w:p>
    <w:bookmarkEnd w:id="212"/>
    <w:bookmarkStart w:id="214" w:name="interface-janelaprincipal-1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t xml:space="preserve">“</w:t>
      </w:r>
      <w:r>
        <w:t xml:space="preserve">ProjetoERP-AGROTEC\01ModuloCadastros\03codificacao</w:t>
      </w:r>
      <w:r>
        <w:t xml:space="preserve">”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13" w:name="como-executar-a-janela-principal-1"/>
    <w:p>
      <w:pPr>
        <w:pStyle w:val="Heading3"/>
      </w:pPr>
      <w:r>
        <w:rPr>
          <w:rStyle w:val="SectionNumber"/>
        </w:rPr>
        <w:t xml:space="preserve">13.2.1</w:t>
      </w:r>
      <w:r>
        <w:tab/>
      </w:r>
      <w:r>
        <w:t xml:space="preserve">Como executar a janela principal</w:t>
      </w:r>
    </w:p>
    <w:p>
      <w:pPr>
        <w:numPr>
          <w:ilvl w:val="0"/>
          <w:numId w:val="1067"/>
        </w:numPr>
      </w:pPr>
      <w:r>
        <w:t xml:space="preserve">Baixar o e instalar o Python (preferencialmente a</w:t>
      </w:r>
      <w:r>
        <w:t xml:space="preserve"> </w:t>
      </w:r>
      <w:hyperlink r:id="rId141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67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68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69"/>
        </w:numPr>
      </w:pPr>
      <w:r>
        <w:t xml:space="preserve">Pelo MS-DOS entrar na pasta ProjetoERP-AGROTEC\01ModuloCadastros\03codificacao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70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13"/>
    <w:bookmarkEnd w:id="214"/>
    <w:bookmarkStart w:id="218" w:name="cadastro-de-clientes-1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44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15" name="Picture"/>
            <a:graphic>
              <a:graphicData uri="http://schemas.openxmlformats.org/drawingml/2006/picture">
                <pic:pic>
                  <pic:nvPicPr>
                    <pic:cNvPr descr="images/clipboard-78059825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17" w:name="tabela-clientes-1"/>
    <w:p>
      <w:pPr>
        <w:pStyle w:val="Heading3"/>
      </w:pPr>
      <w:r>
        <w:rPr>
          <w:rStyle w:val="SectionNumber"/>
        </w:rPr>
        <w:t xml:space="preserve">13.3.1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17"/>
    <w:bookmarkEnd w:id="218"/>
    <w:bookmarkStart w:id="219" w:name="cadastro-de-fornecedores-1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Cadastro de Fornecedores</w:t>
      </w:r>
    </w:p>
    <w:bookmarkEnd w:id="219"/>
    <w:bookmarkStart w:id="220" w:name="cadastro-de-produtos-1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Cadastro de Produtos</w:t>
      </w:r>
    </w:p>
    <w:bookmarkEnd w:id="220"/>
    <w:bookmarkEnd w:id="22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27" Target="media/rId127.png" /><Relationship Type="http://schemas.openxmlformats.org/officeDocument/2006/relationships/image" Id="rId22" Target="media/rId22.png" /><Relationship Type="http://schemas.openxmlformats.org/officeDocument/2006/relationships/image" Id="rId145" Target="media/rId145.png" /><Relationship Type="http://schemas.openxmlformats.org/officeDocument/2006/relationships/image" Id="rId190" Target="media/rId190.pn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51" Target="media/rId51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4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41" Target="https://www.python.org/ftp/python/3.9.0/python-3.9.0-amd64.exe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44" Target="https://play.google.com/store/apps/details?id=rafrobsystems.postgresclient&amp;pcampaignid=web_share" TargetMode="External" /><Relationship Type="http://schemas.openxmlformats.org/officeDocument/2006/relationships/hyperlink" Id="rId35" Target="https://www.indicalivros.com/autores?q=Roger%20S.%20Pressman" TargetMode="External" /><Relationship Type="http://schemas.openxmlformats.org/officeDocument/2006/relationships/hyperlink" Id="rId141" Target="https://www.python.org/ftp/python/3.9.0/python-3.9.0-amd64.ex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2025-03-16T20:53:14Z</dcterms:created>
  <dcterms:modified xsi:type="dcterms:W3CDTF">2025-03-16T20:53:14Z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2025-03-16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