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300" w:lineRule="auto"/>
        <w:ind w:left="-566.9291338582677" w:right="-561.2598425196836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086261" cy="990176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da546" w:space="1" w:sz="8" w:val="single"/>
        </w:pBdr>
        <w:spacing w:after="12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ind w:left="-566.9291338582677" w:right="-561.2598425196836" w:firstLine="0"/>
        <w:jc w:val="center"/>
        <w:rPr>
          <w:b w:val="1"/>
          <w:bCs w:val="1"/>
          <w:color w:val="1a5276"/>
          <w:sz w:val="40"/>
          <w:szCs w:val="40"/>
        </w:rPr>
      </w:pPr>
      <w:r w:rsidDel="00000000" w:rsidR="00000000" w:rsidRPr="00000000">
        <w:rPr>
          <w:b w:val="1"/>
          <w:bCs w:val="1"/>
          <w:color w:val="1a5276"/>
          <w:sz w:val="40"/>
          <w:szCs w:val="40"/>
          <w:rtl w:val="0"/>
        </w:rPr>
        <w:t xml:space="preserve">Predicción de contratación bancaria: comparación de modelos con MLflow</w:t>
      </w:r>
    </w:p>
    <w:p w:rsidR="00000000" w:rsidDel="00000000" w:rsidP="00000000" w:rsidRDefault="00000000" w:rsidRPr="00000000" w14:paraId="00000006">
      <w:pPr>
        <w:spacing w:after="60" w:before="6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ind w:left="-566.9291338582677" w:right="-561.2598425196836" w:firstLine="0"/>
        <w:jc w:val="center"/>
        <w:rPr/>
      </w:pPr>
      <w:r w:rsidDel="00000000" w:rsidR="00000000" w:rsidRPr="00000000">
        <w:rPr>
          <w:color w:val="555555"/>
          <w:rtl w:val="0"/>
        </w:rPr>
        <w:t xml:space="preserve">Actividad 5: entrenamiento y MLOps  |  Dataset: Bank Marketing (Kaggle)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da546" w:space="1" w:sz="8" w:val="single"/>
        </w:pBdr>
        <w:spacing w:after="12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534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Materia: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2"/>
                <w:szCs w:val="22"/>
                <w:rtl w:val="0"/>
              </w:rPr>
              <w:t xml:space="preserve">Gestión de Proyectos de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dada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Actividad: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Actividad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534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Alumno(a):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2"/>
                <w:szCs w:val="22"/>
                <w:rtl w:val="0"/>
              </w:rPr>
              <w:t xml:space="preserve">Miguel Ángel Alejandre Pérez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dada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Matrícula: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2"/>
                <w:szCs w:val="22"/>
                <w:rtl w:val="0"/>
              </w:rPr>
              <w:t xml:space="preserve">AL07183065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534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ind w:left="23.62204724409466" w:right="-561.2598425196836" w:firstLine="0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2"/>
                <w:szCs w:val="22"/>
                <w:rtl w:val="0"/>
              </w:rPr>
              <w:t xml:space="preserve">Luis Ariel Vazquez Piña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dada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Fecha de elaboración: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26 / 10 / 2026</w:t>
            </w:r>
          </w:p>
        </w:tc>
      </w:tr>
    </w:tbl>
    <w:p w:rsidR="00000000" w:rsidDel="00000000" w:rsidP="00000000" w:rsidRDefault="00000000" w:rsidRPr="00000000" w14:paraId="00000017">
      <w:pPr>
        <w:spacing w:after="200" w:before="20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-561.2598425196836" w:firstLine="0"/>
        <w:rPr/>
        <w:sectPr>
          <w:pgSz w:h="15840" w:w="12240" w:orient="portrait"/>
          <w:pgMar w:bottom="1080" w:top="108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4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  <w:t xml:space="preserve">Declaración de Uso de Inteligencia Artificial</w:t>
      </w:r>
    </w:p>
    <w:p w:rsidR="00000000" w:rsidDel="00000000" w:rsidP="00000000" w:rsidRDefault="00000000" w:rsidRPr="00000000" w14:paraId="0000001A">
      <w:pPr>
        <w:pBdr>
          <w:bottom w:color="2da546" w:space="1" w:sz="8" w:val="single"/>
        </w:pBdr>
        <w:spacing w:after="12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20" w:lineRule="auto"/>
        <w:ind w:left="-566.9291338582677" w:right="-561.2598425196836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El alumno debe indicar de manera honesta si utilizó herramientas de Inteligencia Artificial (IA) para el desarrollo de esta actividad. Completa la siguiente tabla: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2200"/>
        <w:gridCol w:w="3660"/>
        <w:tblGridChange w:id="0">
          <w:tblGrid>
            <w:gridCol w:w="3500"/>
            <w:gridCol w:w="22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34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ind w:left="0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de IA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34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ind w:left="0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¿La usaste?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534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ind w:left="0" w:right="-561.2598425196836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/ Descripción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ChatGPT /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Sí (X)     No ( 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Apoyo en notebook, scripts, revisión técnica y redacción.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Claude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ind w:left="0" w:right="-561.2598425196836"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ind w:left="0" w:right="-561.2598425196836"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ind w:left="0" w:right="-561.259842519683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Copilot (Microsoft)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ind w:left="0" w:right="-561.2598425196836"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 (especifica):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ind w:left="0" w:right="-561.2598425196836"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ind w:left="0" w:right="-561.259842519683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16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right="-561.2598425196836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lineRule="auto"/>
        <w:ind w:left="-566.9291338582677" w:right="-561.2598425196836" w:firstLine="0"/>
        <w:rPr/>
      </w:pPr>
      <w:r w:rsidDel="00000000" w:rsidR="00000000" w:rsidRPr="00000000">
        <w:rPr>
          <w:rtl w:val="0"/>
        </w:rPr>
        <w:t xml:space="preserve">Desarrollo de Contenido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3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proyecto aplica aprendizaje supervisado a campañas de marketing telefónico de una institución financiera. Se busca estimar la probabilidad de que una persona contrate un depósito a plazo, utilizando variables disponibles sobre el cliente y su historial de contactos. La pregunta de gestión no es únicamente qué algoritmo obtiene más aciertos, sino cuál ofrece información útil y reproducible para priorizar oportunidades sin ocultar el costo de omitir clientes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 Desarrollo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heading=h.rx98km5k5e8b" w:id="0"/>
      <w:bookmarkEnd w:id="0"/>
      <w:r w:rsidDel="00000000" w:rsidR="00000000" w:rsidRPr="00000000">
        <w:rPr>
          <w:rtl w:val="0"/>
        </w:rPr>
        <w:t xml:space="preserve">2.1 Procedencia, problema y diccionario de datos</w:t>
      </w:r>
    </w:p>
    <w:p w:rsidR="00000000" w:rsidDel="00000000" w:rsidP="00000000" w:rsidRDefault="00000000" w:rsidRPr="00000000" w14:paraId="00000036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 usó </w:t>
      </w:r>
      <w:r w:rsidDel="00000000" w:rsidR="00000000" w:rsidRPr="00000000">
        <w:rPr>
          <w:rtl w:val="0"/>
        </w:rPr>
        <w:t xml:space="preserve">el dataset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"Banking Dataset – Marketing Targets"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 una versión del problema Bank Marketing basado en campañas telefónicas de una institución bancaria portuguesa. La variable objetivo es binaria: yes indica contratación y no ausencia de contratación.</w:t>
      </w:r>
      <w:r w:rsidDel="00000000" w:rsidR="00000000" w:rsidRPr="00000000">
        <w:rPr>
          <w:rtl w:val="0"/>
        </w:rPr>
      </w:r>
    </w:p>
    <w:tbl>
      <w:tblPr>
        <w:tblStyle w:val="Table3"/>
        <w:tblW w:w="9259.0" w:type="dxa"/>
        <w:jc w:val="center"/>
        <w:tblLayout w:type="fixed"/>
        <w:tblLook w:val="0400"/>
      </w:tblPr>
      <w:tblGrid>
        <w:gridCol w:w="2491"/>
        <w:gridCol w:w="6768"/>
        <w:tblGridChange w:id="0">
          <w:tblGrid>
            <w:gridCol w:w="2491"/>
            <w:gridCol w:w="6768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Archivo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train.csv; 45,211 filas; 17 columnas (16 predictores y la etiqueta 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Archivo limpio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45,211 filas; 16 columnas (15 predictores y la etiqueta 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Variables numéricas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age, balance, day, campaign, pdays, previous.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Variables categóricas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job, marital, education, default, housing, loan, contact, month, poutcome.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y=1: contrató; y=0: no contrató.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Variable descartada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duration: se conoce al terminar una llamada; no se usa para predicción anticipada.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eading=h.p4cvt0oo67hg" w:id="1"/>
      <w:bookmarkEnd w:id="1"/>
      <w:r w:rsidDel="00000000" w:rsidR="00000000" w:rsidRPr="00000000">
        <w:rPr>
          <w:rtl w:val="0"/>
        </w:rPr>
        <w:t xml:space="preserve">2.2 Limpieza, estandarización y versionado</w:t>
      </w:r>
    </w:p>
    <w:p w:rsidR="00000000" w:rsidDel="00000000" w:rsidP="00000000" w:rsidRDefault="00000000" w:rsidRPr="00000000" w14:paraId="00000047">
      <w:pPr>
        <w:keepLines w:val="0"/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normalizron nombres de columnas y categorías, convierte "unknown" a ausente en variables categóricas, valida etiquetas y, comprueba duplicados exactos y retira duration por riesgo de fuga de información. En el archivo limpio se conservan 45,211 registros: no se encontraron duplicados exactos ni etiquetas inválidas. El valor pdays = -1 se conserva porque indica ausencia de contacto anterior, y no se eliminan valores extremos sin evidencia de error de captura.</w:t>
      </w:r>
      <w:r w:rsidDel="00000000" w:rsidR="00000000" w:rsidRPr="00000000">
        <w:rPr>
          <w:rtl w:val="0"/>
        </w:rPr>
      </w:r>
    </w:p>
    <w:tbl>
      <w:tblPr>
        <w:tblStyle w:val="Table4"/>
        <w:tblW w:w="9259.0" w:type="dxa"/>
        <w:jc w:val="center"/>
        <w:tblLayout w:type="fixed"/>
        <w:tblLook w:val="0400"/>
      </w:tblPr>
      <w:tblGrid>
        <w:gridCol w:w="2563"/>
        <w:gridCol w:w="1973"/>
        <w:gridCol w:w="4723"/>
        <w:tblGridChange w:id="0">
          <w:tblGrid>
            <w:gridCol w:w="2563"/>
            <w:gridCol w:w="1973"/>
            <w:gridCol w:w="4723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Registros originales / limpios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45,211 / 45,211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descartes por duplicados o etiquetas.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Duplicados exactos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fue necesario eliminarlos.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job sin especificar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288 (0.64 %)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Imputación por moda en cada 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education sin especificar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1,857 (4.11 %)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Imputación por moda en cada 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 sin especificar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13,020 (28.80 %)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Advertencia de calidad; moda en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poutcome sin especificar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36,959 (81.75 %)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 ausentismo; interpretar con cautela.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Atípicos IQR en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4,729 (10.46 %)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Conservados; no se asumió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1863181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a6871"/>
          <w:sz w:val="17"/>
          <w:szCs w:val="17"/>
          <w:rtl w:val="0"/>
        </w:rPr>
        <w:t xml:space="preserve">Figura 1. Distribución de clases y datos ausentes posteriores a la normalización.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clase positiva representa solo 5,289 de 45,211 observaciones (11.70 %), frente a 39,922 negativas (88.30 %). Este desbalance condiciona las métricas: un clasificador que predijera siempre "no" alcanzaría 88.30 % de accuracy, aunque sería inútil para identificar contrataciones.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1862311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2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a6871"/>
          <w:sz w:val="17"/>
          <w:szCs w:val="17"/>
          <w:rtl w:val="0"/>
        </w:rPr>
        <w:t xml:space="preserve">Figura 2. Distribución de edad y variación de saldo por resultado observado.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0"/>
        <w:spacing w:after="100" w:lineRule="auto"/>
        <w:jc w:val="both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archivo limpio versionado incluye los primeros 12 caracteres de su hash. Los datos limpios se almacenan sin imputar para mantener trazabilidad; la imputación, codificación y estandarización se ajustan exclusivamente con datos de entrenamiento dentro del pipeline, evitando contaminación de los pliegues de validación.</w:t>
      </w:r>
    </w:p>
    <w:p w:rsidR="00000000" w:rsidDel="00000000" w:rsidP="00000000" w:rsidRDefault="00000000" w:rsidRPr="00000000" w14:paraId="00000067">
      <w:pPr>
        <w:keepLines w:val="0"/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0"/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b1a37baqdhp9" w:id="2"/>
      <w:bookmarkEnd w:id="2"/>
      <w:r w:rsidDel="00000000" w:rsidR="00000000" w:rsidRPr="00000000">
        <w:rPr>
          <w:rtl w:val="0"/>
        </w:rPr>
        <w:t xml:space="preserve">2.3 Diseño de evaluación y prevención de fuga</w:t>
      </w:r>
    </w:p>
    <w:tbl>
      <w:tblPr>
        <w:tblStyle w:val="Table5"/>
        <w:tblW w:w="9259.0" w:type="dxa"/>
        <w:jc w:val="center"/>
        <w:tblLayout w:type="fixed"/>
        <w:tblLook w:val="0400"/>
      </w:tblPr>
      <w:tblGrid>
        <w:gridCol w:w="2822"/>
        <w:gridCol w:w="6437"/>
        <w:tblGridChange w:id="0">
          <w:tblGrid>
            <w:gridCol w:w="2822"/>
            <w:gridCol w:w="6437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Configuración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Partición entrenamiento /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80 % (36,168 registros) / 20 % (9,043 registros).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Estratificación y semilla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train_test_split(stratify=y); random_state=42.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StratifiedKFold: 5 pliegues, aleatorización y semilla 42.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Optimización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GridSearchCV; selección por average precision (PR-AUC).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Estandarización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StandardScaler solo para variables numéricas de regresión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Categóricas y 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OneHotEncoder(handle_unknown=ignore), moda/mediana en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Umbral final de 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0.50 predeterminado, sin optimización sobre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 independiente una sola vez después de seleccionar por CV.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uso de la partición de prueba se reservó para estimar desempeño fuera de muestra. El criterio primario PR-AUC se eligió por la baja frecuencia de contrataciones; se complementó con ROC-AUC, accuracy, precision, recall y F1. Los resultados son aleatorios estratificados, no constituyen una validación temporal ni garantizan generalización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eading=h.dqdpkribay7h" w:id="3"/>
      <w:bookmarkEnd w:id="3"/>
      <w:r w:rsidDel="00000000" w:rsidR="00000000" w:rsidRPr="00000000">
        <w:rPr>
          <w:rtl w:val="0"/>
        </w:rPr>
        <w:t xml:space="preserve">2.4 Algoritmos y búsqueda de hiperparámetros</w:t>
      </w:r>
    </w:p>
    <w:tbl>
      <w:tblPr>
        <w:tblStyle w:val="Table6"/>
        <w:tblW w:w="9258.0" w:type="dxa"/>
        <w:jc w:val="center"/>
        <w:tblLayout w:type="fixed"/>
        <w:tblLook w:val="0400"/>
      </w:tblPr>
      <w:tblGrid>
        <w:gridCol w:w="1886"/>
        <w:gridCol w:w="4550"/>
        <w:gridCol w:w="2822"/>
        <w:tblGridChange w:id="0">
          <w:tblGrid>
            <w:gridCol w:w="1886"/>
            <w:gridCol w:w="4550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Búsqueda y 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Mejor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Regresión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{0.1, 1, 10}; class_weight = {None, balanced}; 6 combinaciones.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C=0.1; class_weight=None.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 árboles fijos; max_depth = {12, None}; min_samples_leaf = {1, 5}; class_weight = {None, balanced_subsample}; 8 combinaciones.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max_depth=None; min_samples_leaf=5; class_weight=None.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regularización de la regresión logística se controla con C; en Random Forest, profundidad y tamaño mínimo de hojas controlan complejidad y sobreajuste. La ponderación de clases se incluyó como opción por el desbalance. Cada ajuste se ensayó con cinco pliegues; así se estimó rendimiento antes de observar los datos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eading=h.xf9w228zo7lm" w:id="4"/>
      <w:bookmarkEnd w:id="4"/>
      <w:r w:rsidDel="00000000" w:rsidR="00000000" w:rsidRPr="00000000">
        <w:rPr>
          <w:rtl w:val="0"/>
        </w:rPr>
        <w:t xml:space="preserve">2.5 Resultados cuantitativos</w:t>
      </w:r>
    </w:p>
    <w:tbl>
      <w:tblPr>
        <w:tblStyle w:val="Table7"/>
        <w:tblW w:w="9260.0" w:type="dxa"/>
        <w:jc w:val="center"/>
        <w:tblLayout w:type="fixed"/>
        <w:tblLook w:val="0400"/>
      </w:tblPr>
      <w:tblGrid>
        <w:gridCol w:w="3586"/>
        <w:gridCol w:w="2837"/>
        <w:gridCol w:w="2837"/>
        <w:tblGridChange w:id="0">
          <w:tblGrid>
            <w:gridCol w:w="3586"/>
            <w:gridCol w:w="2837"/>
            <w:gridCol w:w="2837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Regresión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PR-AUC validación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38.66 %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43.16 %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ROC-AUC validación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74.47 %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77.57 %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 validación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26.16 %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28.96 %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Accuracy en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89.33 %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89.48 %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Precision positiva en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67.42 %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69.31 %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Recall positivo en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17.01 %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18.15 %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 positivo en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27.17 %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28.76 %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ROC-AUC en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75.19 %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79.08 %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PR-AUC en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39.60 %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44.33 %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Entrenamiento y GridSearch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33.4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197.5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Random Forest obtiene PR-AUC de 43.16 % en CV, 4.50 puntos porcentuales por encima de la regresión logística (38.66 %); este es el fundamento de la selección. En prueba alcanza PR-AUC de 44.33 %, ROC-AUC de 79.08 % y F1 de 28.76 %. Sin embargo, el recall de la clase positiva es 18.15 %: identifica 192 contrataciones y deja pasar otras 866. Por ello, la accuracy de 89.48 % no debe presentarse como desempeño operativo satisfactorio.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106088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a6871"/>
          <w:sz w:val="17"/>
          <w:szCs w:val="17"/>
          <w:rtl w:val="0"/>
        </w:rPr>
        <w:t xml:space="preserve">Figura 3. Métricas de prueba y PR-AUC de validación cruzada para ambos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340988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a6871"/>
          <w:sz w:val="17"/>
          <w:szCs w:val="17"/>
          <w:rtl w:val="0"/>
        </w:rPr>
        <w:t xml:space="preserve">Figura 4. Curvas ROC y precisión-recall; línea base PR según prevalencia positiva.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43200" cy="24758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43200" cy="24758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Figura 5. Matrices de confusión (izquierda: logística; derecha: bosque).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 el conjunto de prueba hay 7,985 negativos y 1,058 positivos. La regresión logística obtiene TN=7,898, FP=87, FN=878 y TP=180. Random Forest obtiene TN=7,900, FP=85, FN=866 y TP=192. La diferencia es modesta en decisiones binarias al umbral 0.50; la mayor aportación del bosque está en la ordenación de probabilidades reflejada en PR-AUC y ROC-AUC.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heading=h.vp3xlwm2chfu" w:id="5"/>
      <w:bookmarkEnd w:id="5"/>
      <w:r w:rsidDel="00000000" w:rsidR="00000000" w:rsidRPr="00000000">
        <w:rPr>
          <w:rtl w:val="0"/>
        </w:rPr>
        <w:t xml:space="preserve">2.6 Comparación estadística</w:t>
      </w:r>
    </w:p>
    <w:p w:rsidR="00000000" w:rsidDel="00000000" w:rsidP="00000000" w:rsidRDefault="00000000" w:rsidRPr="00000000" w14:paraId="000000B7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Para comparar aciertos y errores de ambos algoritmos sobre las mismas 9,043 observaciones, se calculó la prueba exacta de McNemar: 41 casos acertados solo por regresión logística frente a 55 solo por Random Forest, con p = 0.1843. Al nivel de 5 %, no se rechaza la igualdad en probabilidades de discordancia; no se afirma una diferencia estadísticamente concluyente en aciertos binarios.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Además, un bootstrap pareado de 1,000 remuestreos estimó la diferencia F1 (logística menos bosque) en -0.0159, con IC 95 % [-0.0329, 0.0011]. El intervalo incluye 0, por lo que tampoco respalda una ventaja inequívoca del bosque en F1 a ese umbral. Estos análisis no sustituyen validación prospectiva; la elección experimental se mantiene basada en PR-AUC de validación cruzada.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eading=h.d0faruvdhk5q" w:id="6"/>
      <w:bookmarkEnd w:id="6"/>
      <w:r w:rsidDel="00000000" w:rsidR="00000000" w:rsidRPr="00000000">
        <w:rPr>
          <w:rtl w:val="0"/>
        </w:rPr>
        <w:t xml:space="preserve">2.7 Interpretabilidad, patrones y anomalías</w:t>
      </w:r>
    </w:p>
    <w:p w:rsidR="00000000" w:rsidDel="00000000" w:rsidP="00000000" w:rsidRDefault="00000000" w:rsidRPr="00000000" w14:paraId="000000BA">
      <w:pPr>
        <w:keepNext w:val="1"/>
        <w:spacing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44969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a6871"/>
          <w:sz w:val="17"/>
          <w:szCs w:val="17"/>
          <w:rtl w:val="0"/>
        </w:rPr>
        <w:t xml:space="preserve">Figura 6. Variables transformadas más influyentes según importancia por impureza (Random Forest).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Las variables transformadas con mayor importancia fueron poutcome=success (12.70 %), age (11.90 %), balance (10.76 %) y day (9.31 %). Los resultados sugieren asociaciones predictivas, no relaciones causales. Las importancias basadas en disminución de impureza pueden favorecer variables con mayor cardinalidad; para validación interpretativa convendría usar importancia por permutación en datos separados y analizar estabilidad por subgrupos.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alto porcentaje de ausentes en poutcome (81.75 %) y contact (28.80 %) genera deuda de calidad de datos. Estas columnas no se eliminaron sin ensayo porque sus valores observados podrían aportar señal útil; es indispensable contrastar su disponibilidad real en el punto de uso y revisar riesgos de sesgo antes de emplearlas en decisiones sobre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heading=h.jgfidj5h34ou" w:id="7"/>
      <w:bookmarkEnd w:id="7"/>
      <w:r w:rsidDel="00000000" w:rsidR="00000000" w:rsidRPr="00000000">
        <w:rPr>
          <w:rtl w:val="0"/>
        </w:rPr>
        <w:t xml:space="preserve">2.8 Seguimiento con MLflow y trazabilidad</w:t>
      </w:r>
    </w:p>
    <w:p w:rsidR="00000000" w:rsidDel="00000000" w:rsidP="00000000" w:rsidRDefault="00000000" w:rsidRPr="00000000" w14:paraId="000000BF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experimento original se ejecutó en Google Colab y</w:t>
      </w:r>
      <w:r w:rsidDel="00000000" w:rsidR="00000000" w:rsidRPr="00000000">
        <w:rPr>
          <w:rtl w:val="0"/>
        </w:rPr>
        <w:t xml:space="preserve"> l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as URI de los modelos siguen el formato models:/... de MLflow 3; los identificadores permiten ligar cada resultado con su corrida.</w:t>
      </w:r>
      <w:r w:rsidDel="00000000" w:rsidR="00000000" w:rsidRPr="00000000">
        <w:rPr>
          <w:rtl w:val="0"/>
        </w:rPr>
      </w:r>
    </w:p>
    <w:tbl>
      <w:tblPr>
        <w:tblStyle w:val="Table9"/>
        <w:tblW w:w="9259.0" w:type="dxa"/>
        <w:jc w:val="center"/>
        <w:tblLayout w:type="fixed"/>
        <w:tblLook w:val="0400"/>
      </w:tblPr>
      <w:tblGrid>
        <w:gridCol w:w="2016"/>
        <w:gridCol w:w="4709"/>
        <w:gridCol w:w="2534"/>
        <w:tblGridChange w:id="0">
          <w:tblGrid>
            <w:gridCol w:w="2016"/>
            <w:gridCol w:w="4709"/>
            <w:gridCol w:w="2534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Ejecución 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PR-AUC CV / F1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Regresión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40101650ef7b4360bdc4bbe2f375660f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0.3866 / 0.2717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74a8f991849841d7b84a814058e76de4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0.4316 / 0.2876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También se incluye el log del servidor UI iniciado en Colab y una visualización documental derivada directamente de los archivos mlruns.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686425" cy="1309939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218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30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Figura 7. Evidencia documental reconstruida a partir de registros de MLflow.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heading=h.uqubucmgfoe2" w:id="8"/>
      <w:bookmarkEnd w:id="8"/>
      <w:r w:rsidDel="00000000" w:rsidR="00000000" w:rsidRPr="00000000">
        <w:rPr>
          <w:rtl w:val="0"/>
        </w:rPr>
        <w:t xml:space="preserve">2.9 Deuda técnica, riesgos y enfoque MLOps</w:t>
      </w:r>
    </w:p>
    <w:tbl>
      <w:tblPr>
        <w:tblStyle w:val="Table10"/>
        <w:tblW w:w="9259.0" w:type="dxa"/>
        <w:jc w:val="center"/>
        <w:tblLayout w:type="fixed"/>
        <w:tblLook w:val="0400"/>
      </w:tblPr>
      <w:tblGrid>
        <w:gridCol w:w="1886"/>
        <w:gridCol w:w="3384"/>
        <w:gridCol w:w="3989"/>
        <w:tblGridChange w:id="0">
          <w:tblGrid>
            <w:gridCol w:w="1886"/>
            <w:gridCol w:w="3384"/>
            <w:gridCol w:w="3989"/>
          </w:tblGrid>
        </w:tblGridChange>
      </w:tblGrid>
      <w:tr>
        <w:trPr>
          <w:cantSplit w:val="0"/>
          <w:tblHeader w:val="1"/>
        </w:trPr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Riesgo o 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34c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Acción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Recall positivo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Omite 866 de 1,058 clientes positivos en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Optimizar umbral y evaluar curvas costo-beneficio con otra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Desbalance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Accuracy favorable aunque muchos positivos se omiten.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Medir PR-AUC, recall a precisión fija y matrices por cohortes.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Ausentes / datos históricos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Poutcome 81.75 % sin especificar; deriva de campañas históricas.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Contrato de datos, reglas de completitud y validación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Equidad y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Atributos como edad/estado civil requieren control ético.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 de sesgos, minimización de datos y controles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MLflow local / rutas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Artefactos dependen de file:///content/... y sesión efímera.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3" w:val="clear"/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persistente, almacenamiento remoto y CI con checks de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Explicabilidad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Importancia por impureza no demuestra causalidad.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Permutación, revisión por expertos y monitoreo de drift.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Plan de seguimiento sugerido: (1) pruebas automatizadas de integridad del CSV y de esquema; (2) evaluación temporal y por subgrupos; (3) calibración y análisis de distintos umbrales sobre validación, nunca sobre prueba; (4) criterios mínimos de precisión/recall ligados al costo comercial; (5) MLflow con almacenamiento persistente y control de versiones del pipeline; (6) monitoreo de cambios de distribución, desempeño y retroalimentación tras despliegue. Estos puntos son propuestas, no acciones ya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Conclusiones</w:t>
      </w:r>
    </w:p>
    <w:p w:rsidR="00000000" w:rsidDel="00000000" w:rsidP="00000000" w:rsidRDefault="00000000" w:rsidRPr="00000000" w14:paraId="000000E6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experimento demuestra que una práctica reproducible de inteligencia artificial requiere controlar el dato de origen, separar correctamente entrenamiento y prueba, ajustar hiperparámetros de forma sistemática y conservar evidencia de las decisiones. Ambas alternativas se entrenaron y quedaron registradas en MLflow, junto con las métricas, gráficas, versiones y huellas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0"/>
        <w:spacing w:after="1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Random Forest se selecciona como candidato exploratorio porque alcanzó el mayor PR-AUC de validación cruzada (43.16 % contra 38.66 %) y mejores métricas de prueba. Sin embargo, su F1 de 28.76 % y recall de 18.15 %, así como la ausencia de una diferencia concluyente en McNemar (p=0.1843), impiden justificar una automatización comercial con el umbral actual. La siguiente iteración debe priorizar el costo de los falsos negativos, validación temporal y gobernanza de datos, antes de optimizar la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Referencias y documentos fuente</w:t>
      </w:r>
    </w:p>
    <w:p w:rsidR="00000000" w:rsidDel="00000000" w:rsidP="00000000" w:rsidRDefault="00000000" w:rsidRPr="00000000" w14:paraId="000000E9">
      <w:pPr>
        <w:ind w:left="288" w:hanging="144"/>
        <w:jc w:val="left"/>
        <w:rPr/>
      </w:pPr>
      <w:r w:rsidDel="00000000" w:rsidR="00000000" w:rsidRPr="00000000">
        <w:rPr>
          <w:rtl w:val="0"/>
        </w:rPr>
        <w:t xml:space="preserve">• Prakhar Rathi. Banking Dataset – Marketing Targets (copia en Kaggle): https://www.kaggle.com/datasets/prakharrathi25/banking-dataset-marketing-targets</w:t>
      </w:r>
    </w:p>
    <w:p w:rsidR="00000000" w:rsidDel="00000000" w:rsidP="00000000" w:rsidRDefault="00000000" w:rsidRPr="00000000" w14:paraId="000000EA">
      <w:pPr>
        <w:ind w:left="288" w:hanging="144"/>
        <w:jc w:val="left"/>
        <w:rPr/>
      </w:pPr>
      <w:r w:rsidDel="00000000" w:rsidR="00000000" w:rsidRPr="00000000">
        <w:rPr>
          <w:rtl w:val="0"/>
        </w:rPr>
        <w:t xml:space="preserve">• UCI Machine Learning Repository. Bank Marketing: https://archive.ics.uci.edu/dataset/222/bank+marketing</w:t>
      </w:r>
    </w:p>
    <w:p w:rsidR="00000000" w:rsidDel="00000000" w:rsidP="00000000" w:rsidRDefault="00000000" w:rsidRPr="00000000" w14:paraId="000000EB">
      <w:pPr>
        <w:ind w:left="288" w:hanging="144"/>
        <w:jc w:val="left"/>
        <w:rPr/>
      </w:pPr>
      <w:r w:rsidDel="00000000" w:rsidR="00000000" w:rsidRPr="00000000">
        <w:rPr>
          <w:rtl w:val="0"/>
        </w:rPr>
        <w:t xml:space="preserve">• Moro, S., Cortez, P. y Rita, P. (2014). A data-driven approach to predict the success of bank telemarketing. Decision Support Systems, 62, 22–31.</w:t>
      </w:r>
    </w:p>
    <w:p w:rsidR="00000000" w:rsidDel="00000000" w:rsidP="00000000" w:rsidRDefault="00000000" w:rsidRPr="00000000" w14:paraId="000000EC">
      <w:pPr>
        <w:ind w:left="288" w:hanging="144"/>
        <w:jc w:val="left"/>
        <w:rPr/>
      </w:pPr>
      <w:r w:rsidDel="00000000" w:rsidR="00000000" w:rsidRPr="00000000">
        <w:rPr>
          <w:rtl w:val="0"/>
        </w:rPr>
        <w:t xml:space="preserve">• Scikit-learn. Grid search y selección de modelos: https://scikit-learn.org/stable/modules/grid_search.html</w:t>
      </w:r>
    </w:p>
    <w:p w:rsidR="00000000" w:rsidDel="00000000" w:rsidP="00000000" w:rsidRDefault="00000000" w:rsidRPr="00000000" w14:paraId="000000ED">
      <w:pPr>
        <w:ind w:left="288" w:hanging="144"/>
        <w:jc w:val="left"/>
        <w:rPr/>
      </w:pPr>
      <w:r w:rsidDel="00000000" w:rsidR="00000000" w:rsidRPr="00000000">
        <w:rPr>
          <w:rtl w:val="0"/>
        </w:rPr>
        <w:t xml:space="preserve">• MLflow. Tracking and experiment management: https://mlflow.org/docs/latest/ml/tracking/</w:t>
      </w:r>
    </w:p>
    <w:p w:rsidR="00000000" w:rsidDel="00000000" w:rsidP="00000000" w:rsidRDefault="00000000" w:rsidRPr="00000000" w14:paraId="000000EE">
      <w:pPr>
        <w:ind w:left="288" w:hanging="144"/>
        <w:jc w:val="left"/>
        <w:rPr/>
      </w:pPr>
      <w:r w:rsidDel="00000000" w:rsidR="00000000" w:rsidRPr="00000000">
        <w:rPr>
          <w:rtl w:val="0"/>
        </w:rPr>
        <w:t xml:space="preserve">• Código y resultados propios: entrena.ipynb, fuentes/, manifest_dataset.json, resultados/ y mlruns/ de esta entrega.</w:t>
      </w:r>
    </w:p>
    <w:sectPr>
      <w:headerReference r:id="rId16" w:type="default"/>
      <w:footerReference r:id="rId1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color="2da546" w:space="1" w:sz="6" w:val="single"/>
      </w:pBdr>
      <w:tabs>
        <w:tab w:val="right" w:leader="none" w:pos="9026"/>
      </w:tabs>
      <w:spacing w:before="100" w:lineRule="auto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Miguel Ángel Alejandre Pérez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bottom w:color="2da546" w:space="1" w:sz="6" w:val="single"/>
      </w:pBdr>
      <w:tabs>
        <w:tab w:val="right" w:leader="none" w:pos="9026"/>
      </w:tabs>
      <w:spacing w:after="100" w:lineRule="auto"/>
      <w:rPr/>
    </w:pPr>
    <w:r w:rsidDel="00000000" w:rsidR="00000000" w:rsidRPr="00000000">
      <w:rPr>
        <w:b w:val="1"/>
        <w:bCs w:val="1"/>
        <w:color w:val="00534c"/>
        <w:sz w:val="18"/>
        <w:szCs w:val="18"/>
        <w:rtl w:val="0"/>
      </w:rPr>
      <w:t xml:space="preserve">Universidad Tecmilenio</w:t>
    </w:r>
    <w:r w:rsidDel="00000000" w:rsidR="00000000" w:rsidRPr="00000000">
      <w:rPr>
        <w:color w:val="888888"/>
        <w:sz w:val="18"/>
        <w:szCs w:val="18"/>
        <w:rtl w:val="0"/>
      </w:rPr>
      <w:tab/>
      <w:t xml:space="preserve">Gestión de Proyectos de Inteligencia Artificial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a3740"/>
        <w:lang w:val="es-MX"/>
      </w:rPr>
    </w:rPrDefault>
    <w:pPrDefault>
      <w:pPr>
        <w:spacing w:after="100" w:line="28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00" w:before="220" w:line="259" w:lineRule="auto"/>
      <w:jc w:val="both"/>
    </w:pPr>
    <w:rPr>
      <w:rFonts w:ascii="Arial" w:cs="Arial" w:eastAsia="Arial" w:hAnsi="Arial"/>
      <w:b w:val="1"/>
      <w:bCs w:val="1"/>
      <w:color w:val="1a5276"/>
      <w:sz w:val="24"/>
      <w:szCs w:val="24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1c1c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81" w:lineRule="auto"/>
    </w:pPr>
    <w:rPr>
      <w:rFonts w:ascii="Arial" w:hAnsi="Arial"/>
      <w:color w:val="2a3740"/>
      <w:sz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8nJUaQSoJhKLakkrEtA2u30n+Q==">CgMxLjAyDmgucng5OGttNWs1ZThiMg5oLnA0Y3Z0MG9vNjdoZzIOaC5iMWEzN2JhcWRocDkyDmguZHFkcGtyaWJheTdoMg5oLnhmOXcyMjh6bzdsbTIOaC52cDN4bHdtMmNoZnUyDmguZDBmYXJ1dmRoazVxMg5oLmpnZmlkajVoMzRvdTIOaC51cXVidWNtZ2ZvZTI4AHIhMTdteXlzcDlKZ1NsNkdERDFSQkJYU3dYaV9PRTlLUElW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Ángel Alejandre Pérez</dc:creator>
</cp:coreProperties>
</file>