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720" w:after="200"/>
        <w:rPr/>
      </w:pPr>
      <w:r>
        <w:rPr/>
      </w:r>
    </w:p>
    <w:p>
      <w:pPr>
        <w:pStyle w:val="normal1"/>
        <w:spacing w:lineRule="auto" w:line="480" w:before="0" w:after="0"/>
        <w:jc w:val="center"/>
        <w:rPr/>
      </w:pPr>
      <w:r>
        <w:rPr>
          <w:rFonts w:eastAsia="Times New Roman" w:cs="Times New Roman" w:ascii="Times New Roman" w:hAnsi="Times New Roman"/>
          <w:color w:val="000000"/>
          <w:sz w:val="24"/>
          <w:szCs w:val="24"/>
        </w:rPr>
        <w:t>SITBIO: Planeación, Gestión de Interesados y del Proyecto Softwar</w:t>
      </w:r>
      <w:r>
        <w:rPr>
          <w:rFonts w:eastAsia="Times New Roman" w:cs="Times New Roman" w:ascii="Times New Roman" w:hAnsi="Times New Roman"/>
          <w:b/>
          <w:bCs/>
          <w:color w:val="000000"/>
          <w:sz w:val="24"/>
          <w:szCs w:val="24"/>
        </w:rPr>
        <w:t>e</w:t>
      </w:r>
    </w:p>
    <w:p>
      <w:pPr>
        <w:pStyle w:val="normal1"/>
        <w:spacing w:lineRule="auto" w:line="480" w:before="0" w:after="960"/>
        <w:jc w:val="center"/>
        <w:rPr/>
      </w:pPr>
      <w:r>
        <w:rPr>
          <w:rFonts w:eastAsia="Times New Roman" w:cs="Times New Roman" w:ascii="Times New Roman" w:hAnsi="Times New Roman"/>
          <w:i/>
          <w:iCs/>
          <w:color w:val="000000"/>
          <w:sz w:val="24"/>
          <w:szCs w:val="24"/>
        </w:rPr>
        <w:t>Formulación Metodológica y Ficha Técnica de la Aplicación de Escritorio Nativa (.NET / C# / WPF / REST API / SaaS Multi-Tenant)</w:t>
      </w:r>
    </w:p>
    <w:p>
      <w:pPr>
        <w:pStyle w:val="normal1"/>
        <w:spacing w:lineRule="auto" w:line="480" w:before="0" w:after="1200"/>
        <w:jc w:val="center"/>
        <w:rPr/>
      </w:pPr>
      <w:r>
        <w:rPr>
          <w:rFonts w:eastAsia="Times New Roman" w:cs="Times New Roman" w:ascii="Times New Roman" w:hAnsi="Times New Roman"/>
          <w:color w:val="000000"/>
          <w:sz w:val="24"/>
          <w:szCs w:val="24"/>
        </w:rPr>
        <w:t>Miguel Ángel Ocampo Muñoz, Esteban Bedoya Rojo, Héctor Steven Cuesta y Juan jose Laverde</w:t>
      </w:r>
    </w:p>
    <w:p>
      <w:pPr>
        <w:pStyle w:val="normal1"/>
        <w:spacing w:lineRule="auto" w:line="480" w:before="0" w:after="0"/>
        <w:jc w:val="center"/>
        <w:rPr/>
      </w:pPr>
      <w:r>
        <w:rPr>
          <w:rFonts w:eastAsia="Times New Roman" w:cs="Times New Roman" w:ascii="Times New Roman" w:hAnsi="Times New Roman"/>
          <w:color w:val="000000"/>
          <w:sz w:val="24"/>
          <w:szCs w:val="24"/>
        </w:rPr>
        <w:t>Servicio Nacional de Aprendizaje (SENA)</w:t>
        <w:br/>
        <w:t>Centro de la Tecnología y Manufactura Avanzada (CTMA)</w:t>
        <w:br/>
        <w:t>Regional Antioquia</w:t>
        <w:br/>
        <w:t xml:space="preserve">Tecnología en Análisis y Desarrollo de Software (ADSO) - Ficha </w:t>
      </w:r>
      <w:r>
        <w:rPr>
          <w:rFonts w:eastAsia="Times New Roman" w:cs="Times New Roman" w:ascii="Times New Roman" w:hAnsi="Times New Roman"/>
          <w:sz w:val="24"/>
          <w:szCs w:val="24"/>
        </w:rPr>
        <w:t>3223875</w:t>
      </w:r>
      <w:r>
        <w:rPr>
          <w:rFonts w:eastAsia="Times New Roman" w:cs="Times New Roman" w:ascii="Times New Roman" w:hAnsi="Times New Roman"/>
          <w:color w:val="000000"/>
          <w:sz w:val="24"/>
          <w:szCs w:val="24"/>
        </w:rPr>
        <w:br/>
        <w:t>Medellín, Colombia</w:t>
        <w:br/>
        <w:t>15 de Octubre del 2026</w:t>
      </w:r>
    </w:p>
    <w:p>
      <w:pPr>
        <w:pStyle w:val="normal1"/>
        <w:rPr/>
      </w:pPr>
      <w:r>
        <w:rPr/>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Version 1.5</w:t>
      </w:r>
    </w:p>
    <w:p>
      <w:pPr>
        <w:pStyle w:val="normal1"/>
        <w:spacing w:lineRule="auto" w:line="240" w:before="720" w:after="200"/>
        <w:rPr/>
      </w:pPr>
      <w:r>
        <w:rPr/>
      </w:r>
      <w:r>
        <w:br w:type="page"/>
      </w:r>
    </w:p>
    <w:p>
      <w:pPr>
        <w:pStyle w:val="normal1"/>
        <w:spacing w:lineRule="auto" w:line="240" w:before="0" w:after="200"/>
        <w:rPr/>
      </w:pPr>
      <w:r>
        <w:rPr/>
      </w:r>
    </w:p>
    <w:p>
      <w:pPr>
        <w:pStyle w:val="normal1"/>
        <w:spacing w:lineRule="auto" w:line="480" w:before="0" w:after="0"/>
        <w:jc w:val="center"/>
        <w:rPr/>
      </w:pPr>
      <w:r>
        <w:rPr>
          <w:rFonts w:eastAsia="Times New Roman" w:cs="Times New Roman" w:ascii="Times New Roman" w:hAnsi="Times New Roman"/>
          <w:b/>
          <w:bCs/>
          <w:color w:val="000000"/>
          <w:sz w:val="24"/>
          <w:szCs w:val="24"/>
        </w:rPr>
        <w:t>SITBIO: Planeación, Gestión de Interesados y del Proyecto Software</w:t>
      </w:r>
    </w:p>
    <w:p>
      <w:pPr>
        <w:pStyle w:val="normal1"/>
        <w:spacing w:lineRule="auto" w:line="480" w:before="0" w:after="720"/>
        <w:jc w:val="center"/>
        <w:rPr/>
      </w:pPr>
      <w:r>
        <w:rPr>
          <w:rFonts w:eastAsia="Times New Roman" w:cs="Times New Roman" w:ascii="Times New Roman" w:hAnsi="Times New Roman"/>
          <w:i/>
          <w:iCs/>
          <w:color w:val="000000"/>
          <w:sz w:val="24"/>
          <w:szCs w:val="24"/>
        </w:rPr>
        <w:t>Formulación Metodológica y Ficha Técnica de la Aplicación de Escritorio Nativa (.NET / C# / WPF / REST API / SaaS Multi-Tenant)</w:t>
      </w:r>
    </w:p>
    <w:p>
      <w:pPr>
        <w:pStyle w:val="normal1"/>
        <w:spacing w:lineRule="auto" w:line="480" w:before="0" w:after="720"/>
        <w:jc w:val="center"/>
        <w:rPr/>
      </w:pPr>
      <w:r>
        <w:rPr>
          <w:rFonts w:eastAsia="Times New Roman" w:cs="Times New Roman" w:ascii="Times New Roman" w:hAnsi="Times New Roman"/>
          <w:color w:val="000000"/>
          <w:sz w:val="24"/>
          <w:szCs w:val="24"/>
        </w:rPr>
        <w:t>Miguel Ángel Ocampo Muñoz, Esteban Bedoya Rojo, Héctor Steven Cuesta y Juan jose Laverde</w:t>
      </w:r>
    </w:p>
    <w:p>
      <w:pPr>
        <w:pStyle w:val="normal1"/>
        <w:spacing w:lineRule="auto" w:line="480" w:before="0" w:after="720"/>
        <w:jc w:val="center"/>
        <w:rPr/>
      </w:pPr>
      <w:r>
        <w:rPr>
          <w:rFonts w:eastAsia="Times New Roman" w:cs="Times New Roman" w:ascii="Times New Roman" w:hAnsi="Times New Roman"/>
          <w:color w:val="000000"/>
          <w:sz w:val="24"/>
          <w:szCs w:val="24"/>
        </w:rPr>
        <w:t>Documento de formulación, planeación metodológica y gestión de interesados presentado como evidencia de producto para el programa de formación de Tecnología en Análisis y Desarrollo de Software (ADSO).</w:t>
      </w:r>
    </w:p>
    <w:p>
      <w:pPr>
        <w:pStyle w:val="normal1"/>
        <w:spacing w:lineRule="auto" w:line="480" w:before="0" w:after="0"/>
        <w:jc w:val="center"/>
        <w:rPr/>
      </w:pPr>
      <w:r>
        <w:rPr>
          <w:rFonts w:eastAsia="Times New Roman" w:cs="Times New Roman" w:ascii="Times New Roman" w:hAnsi="Times New Roman"/>
          <w:color w:val="000000"/>
          <w:sz w:val="24"/>
          <w:szCs w:val="24"/>
        </w:rPr>
        <w:t>Instructor Asesor: Juan Pablo Saldarriaga</w:t>
        <w:br/>
        <w:t>Servicio Nacional de Aprendizaje (SENA)</w:t>
        <w:br/>
        <w:t>Centro de la Tecnología y Manufactura Avanzada (CTMA)</w:t>
        <w:br/>
        <w:t>Regional Antioquia</w:t>
        <w:br/>
        <w:t>Medellín, Colombia</w:t>
        <w:br/>
        <w:t xml:space="preserve">15 </w:t>
      </w:r>
      <w:r>
        <w:rPr>
          <w:rFonts w:eastAsia="Times New Roman" w:cs="Times New Roman" w:ascii="Times New Roman" w:hAnsi="Times New Roman"/>
          <w:sz w:val="24"/>
          <w:szCs w:val="24"/>
        </w:rPr>
        <w:t xml:space="preserve">de Octubre del </w:t>
      </w:r>
      <w:r>
        <w:rPr>
          <w:rFonts w:eastAsia="Times New Roman" w:cs="Times New Roman" w:ascii="Times New Roman" w:hAnsi="Times New Roman"/>
          <w:color w:val="000000"/>
          <w:sz w:val="24"/>
          <w:szCs w:val="24"/>
        </w:rPr>
        <w:t>2026</w:t>
      </w:r>
    </w:p>
    <w:p>
      <w:pPr>
        <w:pStyle w:val="normal1"/>
        <w:rPr/>
      </w:pPr>
      <w:r>
        <w:rPr/>
      </w:r>
      <w:r>
        <w:br w:type="page"/>
      </w:r>
    </w:p>
    <w:p>
      <w:pPr>
        <w:pStyle w:val="normal1"/>
        <w:spacing w:lineRule="auto" w:line="480" w:before="0" w:after="240"/>
        <w:jc w:val="center"/>
        <w:rPr/>
      </w:pPr>
      <w:r>
        <w:rPr>
          <w:rFonts w:eastAsia="Times New Roman" w:cs="Times New Roman" w:ascii="Times New Roman" w:hAnsi="Times New Roman"/>
          <w:b/>
          <w:bCs/>
          <w:color w:val="000000"/>
          <w:sz w:val="24"/>
          <w:szCs w:val="24"/>
        </w:rPr>
        <w:t>Tabla de contenido</w:t>
      </w:r>
    </w:p>
    <w:p>
      <w:pPr>
        <w:pStyle w:val="normal1"/>
        <w:tabs>
          <w:tab w:val="clear" w:pos="720"/>
          <w:tab w:val="right" w:pos="9360" w:leader="none"/>
        </w:tabs>
        <w:spacing w:lineRule="auto" w:line="480" w:before="0" w:after="80"/>
        <w:jc w:val="start"/>
        <w:rPr/>
      </w:pPr>
      <w:r>
        <w:rPr>
          <w:rFonts w:eastAsia="Times New Roman" w:cs="Times New Roman" w:ascii="Times New Roman" w:hAnsi="Times New Roman"/>
          <w:color w:val="000000"/>
          <w:sz w:val="24"/>
          <w:szCs w:val="24"/>
        </w:rPr>
        <w:t>1. Control Documental y Ficha Técnica del Proyecto</w:t>
        <w:tab/>
        <w:t>4</w:t>
      </w:r>
    </w:p>
    <w:p>
      <w:pPr>
        <w:pStyle w:val="normal1"/>
        <w:tabs>
          <w:tab w:val="clear" w:pos="720"/>
          <w:tab w:val="right" w:pos="9360" w:leader="none"/>
        </w:tabs>
        <w:spacing w:lineRule="auto" w:line="480" w:before="0" w:after="80"/>
        <w:ind w:hanging="0" w:start="720"/>
        <w:jc w:val="start"/>
        <w:rPr/>
      </w:pPr>
      <w:r>
        <w:rPr>
          <w:rFonts w:eastAsia="Times New Roman" w:cs="Times New Roman" w:ascii="Times New Roman" w:hAnsi="Times New Roman"/>
          <w:color w:val="000000"/>
          <w:sz w:val="24"/>
          <w:szCs w:val="24"/>
        </w:rPr>
        <w:t>1.1 Ficha Técnica e Identificación Resumida</w:t>
        <w:tab/>
        <w:t>4</w:t>
      </w:r>
    </w:p>
    <w:p>
      <w:pPr>
        <w:pStyle w:val="normal1"/>
        <w:tabs>
          <w:tab w:val="clear" w:pos="720"/>
          <w:tab w:val="right" w:pos="9360" w:leader="none"/>
        </w:tabs>
        <w:spacing w:lineRule="auto" w:line="480" w:before="0" w:after="80"/>
        <w:jc w:val="start"/>
        <w:rPr/>
      </w:pPr>
      <w:r>
        <w:rPr>
          <w:rFonts w:eastAsia="Times New Roman" w:cs="Times New Roman" w:ascii="Times New Roman" w:hAnsi="Times New Roman"/>
          <w:color w:val="000000"/>
          <w:sz w:val="24"/>
          <w:szCs w:val="24"/>
        </w:rPr>
        <w:t>2. Roles del Equipo de Desarrollo (Equipo Técnico)</w:t>
        <w:tab/>
        <w:t>5</w:t>
      </w:r>
    </w:p>
    <w:p>
      <w:pPr>
        <w:pStyle w:val="normal1"/>
        <w:tabs>
          <w:tab w:val="clear" w:pos="720"/>
          <w:tab w:val="right" w:pos="9360" w:leader="none"/>
        </w:tabs>
        <w:spacing w:lineRule="auto" w:line="480" w:before="0" w:after="80"/>
        <w:jc w:val="start"/>
        <w:rPr/>
      </w:pPr>
      <w:r>
        <w:rPr>
          <w:rFonts w:eastAsia="Times New Roman" w:cs="Times New Roman" w:ascii="Times New Roman" w:hAnsi="Times New Roman"/>
          <w:color w:val="000000"/>
          <w:sz w:val="24"/>
          <w:szCs w:val="24"/>
        </w:rPr>
        <w:t xml:space="preserve">3. Identificación y Análisis de los 10 Interesados (Stakeholders)</w:t>
        <w:tab/>
        <w:t>6</w:t>
      </w:r>
    </w:p>
    <w:p>
      <w:pPr>
        <w:pStyle w:val="normal1"/>
        <w:tabs>
          <w:tab w:val="clear" w:pos="720"/>
          <w:tab w:val="right" w:pos="9360" w:leader="none"/>
        </w:tabs>
        <w:spacing w:lineRule="auto" w:line="480" w:before="0" w:after="80"/>
        <w:jc w:val="start"/>
        <w:rPr/>
      </w:pPr>
      <w:r>
        <w:rPr>
          <w:rFonts w:eastAsia="Times New Roman" w:cs="Times New Roman" w:ascii="Times New Roman" w:hAnsi="Times New Roman"/>
          <w:color w:val="000000"/>
          <w:sz w:val="24"/>
          <w:szCs w:val="24"/>
        </w:rPr>
        <w:t>4. Metodología y Forma de Trabajo (Scrum)</w:t>
        <w:tab/>
        <w:t>10</w:t>
      </w:r>
    </w:p>
    <w:p>
      <w:pPr>
        <w:pStyle w:val="normal1"/>
        <w:tabs>
          <w:tab w:val="clear" w:pos="720"/>
          <w:tab w:val="right" w:pos="9360" w:leader="none"/>
        </w:tabs>
        <w:spacing w:lineRule="auto" w:line="480" w:before="0" w:after="80"/>
        <w:ind w:hanging="0" w:start="720"/>
        <w:jc w:val="start"/>
        <w:rPr/>
      </w:pPr>
      <w:r>
        <w:rPr>
          <w:rFonts w:eastAsia="Times New Roman" w:cs="Times New Roman" w:ascii="Times New Roman" w:hAnsi="Times New Roman"/>
          <w:color w:val="000000"/>
          <w:sz w:val="24"/>
          <w:szCs w:val="24"/>
        </w:rPr>
        <w:t>4.1 Criterios de Calidad (DoR y DoD)</w:t>
        <w:tab/>
        <w:t>10</w:t>
      </w:r>
    </w:p>
    <w:p>
      <w:pPr>
        <w:pStyle w:val="normal1"/>
        <w:tabs>
          <w:tab w:val="clear" w:pos="720"/>
          <w:tab w:val="right" w:pos="9360" w:leader="none"/>
        </w:tabs>
        <w:spacing w:lineRule="auto" w:line="480" w:before="0" w:after="80"/>
        <w:jc w:val="start"/>
        <w:rPr/>
      </w:pPr>
      <w:r>
        <w:rPr>
          <w:rFonts w:eastAsia="Times New Roman" w:cs="Times New Roman" w:ascii="Times New Roman" w:hAnsi="Times New Roman"/>
          <w:color w:val="000000"/>
          <w:sz w:val="24"/>
          <w:szCs w:val="24"/>
        </w:rPr>
        <w:t>5. Cronograma, Hitos y Roadmap de Planeación</w:t>
        <w:tab/>
        <w:t>11</w:t>
      </w:r>
    </w:p>
    <w:p>
      <w:pPr>
        <w:pStyle w:val="normal1"/>
        <w:tabs>
          <w:tab w:val="clear" w:pos="720"/>
          <w:tab w:val="right" w:pos="9360" w:leader="none"/>
        </w:tabs>
        <w:spacing w:lineRule="auto" w:line="480" w:before="0" w:after="80"/>
        <w:jc w:val="start"/>
        <w:rPr/>
      </w:pPr>
      <w:r>
        <w:rPr>
          <w:rFonts w:eastAsia="Times New Roman" w:cs="Times New Roman" w:ascii="Times New Roman" w:hAnsi="Times New Roman"/>
          <w:color w:val="000000"/>
          <w:sz w:val="24"/>
          <w:szCs w:val="24"/>
        </w:rPr>
        <w:t>6. Identificación y Gestión de Riesgos</w:t>
        <w:tab/>
        <w:t>12</w:t>
      </w:r>
    </w:p>
    <w:p>
      <w:pPr>
        <w:pStyle w:val="normal1"/>
        <w:tabs>
          <w:tab w:val="clear" w:pos="720"/>
          <w:tab w:val="right" w:pos="9360" w:leader="none"/>
        </w:tabs>
        <w:spacing w:lineRule="auto" w:line="480" w:before="0" w:after="80"/>
        <w:jc w:val="start"/>
        <w:rPr/>
      </w:pPr>
      <w:r>
        <w:rPr>
          <w:rFonts w:eastAsia="Times New Roman" w:cs="Times New Roman" w:ascii="Times New Roman" w:hAnsi="Times New Roman"/>
          <w:color w:val="000000"/>
          <w:sz w:val="24"/>
          <w:szCs w:val="24"/>
        </w:rPr>
        <w:t>7. Asignación de Responsabilidades (Matriz RACI)</w:t>
        <w:tab/>
        <w:t>13</w:t>
      </w:r>
    </w:p>
    <w:p>
      <w:pPr>
        <w:pStyle w:val="normal1"/>
        <w:tabs>
          <w:tab w:val="clear" w:pos="720"/>
          <w:tab w:val="right" w:pos="9360" w:leader="none"/>
        </w:tabs>
        <w:spacing w:lineRule="auto" w:line="480" w:before="0" w:after="80"/>
        <w:jc w:val="start"/>
        <w:rPr/>
      </w:pPr>
      <w:r>
        <w:rPr>
          <w:rFonts w:eastAsia="Times New Roman" w:cs="Times New Roman" w:ascii="Times New Roman" w:hAnsi="Times New Roman"/>
          <w:color w:val="000000"/>
          <w:sz w:val="24"/>
          <w:szCs w:val="24"/>
        </w:rPr>
        <w:t>8. Mecanismos de Seguimiento, Control y Calidad</w:t>
        <w:tab/>
        <w:t>14</w:t>
      </w:r>
    </w:p>
    <w:p>
      <w:pPr>
        <w:pStyle w:val="normal1"/>
        <w:tabs>
          <w:tab w:val="clear" w:pos="720"/>
          <w:tab w:val="right" w:pos="9360" w:leader="none"/>
        </w:tabs>
        <w:spacing w:lineRule="auto" w:line="360" w:before="0" w:after="80"/>
        <w:jc w:val="start"/>
        <w:rPr/>
      </w:pPr>
      <w:r>
        <w:rPr/>
      </w:r>
    </w:p>
    <w:p>
      <w:pPr>
        <w:pStyle w:val="normal1"/>
        <w:rPr/>
      </w:pPr>
      <w:r>
        <w:rPr/>
      </w:r>
      <w:r>
        <w:br w:type="page"/>
      </w:r>
    </w:p>
    <w:p>
      <w:pPr>
        <w:pStyle w:val="normal1"/>
        <w:spacing w:lineRule="auto" w:line="480" w:before="0" w:after="120"/>
        <w:jc w:val="start"/>
        <w:rPr/>
      </w:pPr>
      <w:r>
        <w:rPr>
          <w:rFonts w:eastAsia="Times New Roman" w:cs="Times New Roman" w:ascii="Times New Roman" w:hAnsi="Times New Roman"/>
          <w:b/>
          <w:bCs/>
          <w:color w:val="000000"/>
          <w:sz w:val="24"/>
          <w:szCs w:val="24"/>
        </w:rPr>
        <w:t>1. Control Documental y Ficha Técnica del Proyecto</w:t>
      </w:r>
    </w:p>
    <w:p>
      <w:pPr>
        <w:pStyle w:val="normal1"/>
        <w:spacing w:lineRule="auto" w:line="480" w:before="240" w:after="120"/>
        <w:jc w:val="start"/>
        <w:rPr/>
      </w:pPr>
      <w:r>
        <w:rPr>
          <w:rFonts w:eastAsia="Times New Roman" w:cs="Times New Roman" w:ascii="Times New Roman" w:hAnsi="Times New Roman"/>
          <w:b/>
          <w:bCs/>
          <w:i/>
          <w:iCs/>
          <w:color w:val="000000"/>
          <w:sz w:val="24"/>
          <w:szCs w:val="24"/>
        </w:rPr>
        <w:t>1.1 Ficha Técnica e Identificación Resumida</w:t>
      </w:r>
    </w:p>
    <w:p>
      <w:pPr>
        <w:pStyle w:val="normal1"/>
        <w:spacing w:lineRule="auto" w:line="480" w:before="0" w:after="0"/>
        <w:ind w:firstLine="720"/>
        <w:rPr/>
      </w:pPr>
      <w:r>
        <w:rPr>
          <w:rFonts w:eastAsia="Times New Roman" w:cs="Times New Roman" w:ascii="Times New Roman" w:hAnsi="Times New Roman"/>
          <w:sz w:val="24"/>
          <w:szCs w:val="24"/>
        </w:rPr>
        <w:t>E</w:t>
      </w:r>
      <w:r>
        <w:rPr>
          <w:rFonts w:eastAsia="Times New Roman" w:cs="Times New Roman" w:ascii="Times New Roman" w:hAnsi="Times New Roman"/>
          <w:color w:val="000000"/>
          <w:sz w:val="24"/>
          <w:szCs w:val="24"/>
        </w:rPr>
        <w:t xml:space="preserve">l presente documento formaliza la planeación metodológica y la gestión de interesados del proyecto de software denominado SITBIO (Sistema de Información para la Trazabilidad y Gestión de Mantenimientos Biomédicos), como complemento del documento de Formulación y Constitución del Proyecto (DOC-01-FCP, versión 1.5). La iniciativa surge dentro del programa de formación de Tecnología en Análisis y Desarrollo de Software (ADSO) del Servicio Nacional de Aprendizaje (SENA), adscrito al Centro de la Tecnología y Manufactura Avanzada (CTMA) de la Regional Antioquia en Medellín.</w:t>
      </w:r>
    </w:p>
    <w:p>
      <w:pPr>
        <w:pStyle w:val="normal1"/>
        <w:spacing w:lineRule="auto" w:line="480" w:before="0" w:after="0"/>
        <w:ind w:firstLine="72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SITBIO está clasificado como un sistema de software enfocado en una aplicación de escritorio nativa desarrollada en C# utilizando la plataforma Windows Presentation Foundation (WPF) sobre la infraestructura .NET. La arquitectura general del sistema opera bajo el paradigma cliente-servidor con una capa de servicios API REST backend y un modelo de arquitectura Software como Servicio (SaaS) con aislamiento de datos multi-tenant y control de acceso basado en roles (RBAC). La persistencia combina un motor relacional (PostgreSQL) para el núcleo administrativo con una base de datos NoSQL en MongoDB para las intervenciones técnicas de estructura flexible y los campos personalizados (camposDinamicos). Adicionalmente, se incorpora un módulo analítico en Python (PyMongo, Pandas y K-Means) que opera sobre datos sintéticos. A continuación, en la Tabla 1 se consolidan los datos generales y la identificación técnica del proyecto.</w:t>
      </w:r>
    </w:p>
    <w:p>
      <w:pPr>
        <w:pStyle w:val="normal1"/>
        <w:spacing w:lineRule="auto" w:line="480" w:before="240" w:after="0"/>
        <w:ind w:hanging="0"/>
        <w:jc w:val="start"/>
        <w:rPr/>
      </w:pPr>
      <w:r>
        <w:rPr>
          <w:rFonts w:eastAsia="Times New Roman" w:cs="Times New Roman" w:ascii="Times New Roman" w:hAnsi="Times New Roman"/>
          <w:b/>
          <w:bCs/>
          <w:color w:val="000000"/>
          <w:sz w:val="24"/>
          <w:szCs w:val="24"/>
        </w:rPr>
        <w:t>Tabla 1</w:t>
      </w:r>
    </w:p>
    <w:p>
      <w:pPr>
        <w:pStyle w:val="normal1"/>
        <w:spacing w:lineRule="auto" w:line="480" w:before="0" w:after="120"/>
        <w:ind w:hanging="0"/>
        <w:jc w:val="start"/>
        <w:rPr/>
      </w:pPr>
      <w:r>
        <w:rPr>
          <w:rFonts w:eastAsia="Times New Roman" w:cs="Times New Roman" w:ascii="Times New Roman" w:hAnsi="Times New Roman"/>
          <w:i/>
          <w:iCs/>
          <w:color w:val="000000"/>
          <w:sz w:val="24"/>
          <w:szCs w:val="24"/>
        </w:rPr>
        <w:t>Ficha Técnica e Identificación Resumida del Proyecto SITBIO</w:t>
      </w:r>
    </w:p>
    <w:tbl>
      <w:tblPr>
        <w:tblStyle w:val="Table1"/>
        <w:tblW w:w="9360" w:type="dxa"/>
        <w:jc w:val="center"/>
        <w:tblInd w:w="0" w:type="dxa"/>
        <w:tblLayout w:type="fixed"/>
        <w:tblCellMar>
          <w:top w:w="120" w:type="dxa"/>
          <w:start w:w="150" w:type="dxa"/>
          <w:bottom w:w="120" w:type="dxa"/>
          <w:end w:w="150" w:type="dxa"/>
        </w:tblCellMar>
        <w:tblLook w:val="0400"/>
      </w:tblPr>
      <w:tblGrid>
        <w:gridCol w:w="4680"/>
        <w:gridCol w:w="4680"/>
      </w:tblGrid>
      <w:tr>
        <w:trPr>
          <w:tblHeader w:val="true"/>
        </w:trPr>
        <w:tc>
          <w:tcPr>
            <w:tcW w:w="4680"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color w:val="000000"/>
                <w:sz w:val="21"/>
                <w:szCs w:val="21"/>
              </w:rPr>
              <w:t>Campo / Parámetro</w:t>
            </w:r>
          </w:p>
        </w:tc>
        <w:tc>
          <w:tcPr>
            <w:tcW w:w="4680"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color w:val="000000"/>
                <w:sz w:val="21"/>
                <w:szCs w:val="21"/>
              </w:rPr>
              <w:t>Detalle Institucional y Técnico</w:t>
            </w:r>
          </w:p>
        </w:tc>
      </w:tr>
      <w:tr>
        <w:trPr/>
        <w:tc>
          <w:tcPr>
            <w:tcW w:w="4680"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Nombre del Proyecto</w:t>
            </w:r>
          </w:p>
        </w:tc>
        <w:tc>
          <w:tcPr>
            <w:tcW w:w="4680"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SITBIO (Sistema de Información para la Trazabilidad y Gestión de Mantenimientos Biomédicos)</w:t>
            </w:r>
          </w:p>
        </w:tc>
      </w:tr>
      <w:tr>
        <w:trPr/>
        <w:tc>
          <w:tcPr>
            <w:tcW w:w="4680"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Código de Artefacto</w:t>
            </w:r>
          </w:p>
        </w:tc>
        <w:tc>
          <w:tcPr>
            <w:tcW w:w="4680"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DOC-0</w:t>
            </w:r>
            <w:r>
              <w:rPr>
                <w:rFonts w:eastAsia="Times New Roman" w:cs="Times New Roman" w:ascii="Times New Roman" w:hAnsi="Times New Roman"/>
                <w:sz w:val="20"/>
                <w:szCs w:val="20"/>
              </w:rPr>
              <w:t>2</w:t>
            </w:r>
            <w:r>
              <w:rPr>
                <w:rFonts w:eastAsia="Times New Roman" w:cs="Times New Roman" w:ascii="Times New Roman" w:hAnsi="Times New Roman"/>
                <w:color w:val="000000"/>
                <w:sz w:val="20"/>
                <w:szCs w:val="20"/>
              </w:rPr>
              <w:t>-</w:t>
            </w:r>
            <w:r>
              <w:rPr>
                <w:rFonts w:eastAsia="Times New Roman" w:cs="Times New Roman" w:ascii="Times New Roman" w:hAnsi="Times New Roman"/>
                <w:sz w:val="20"/>
                <w:szCs w:val="20"/>
              </w:rPr>
              <w:t>GIP</w:t>
            </w:r>
            <w:r>
              <w:rPr>
                <w:rFonts w:eastAsia="Times New Roman" w:cs="Times New Roman" w:ascii="Times New Roman" w:hAnsi="Times New Roman"/>
                <w:color w:val="000000"/>
                <w:sz w:val="20"/>
                <w:szCs w:val="20"/>
              </w:rPr>
              <w:t xml:space="preserve"> (Versión 1.5</w:t>
            </w:r>
            <w:r>
              <w:rPr>
                <w:rFonts w:eastAsia="Times New Roman" w:cs="Times New Roman" w:ascii="Times New Roman" w:hAnsi="Times New Roman"/>
                <w:sz w:val="20"/>
                <w:szCs w:val="20"/>
              </w:rPr>
              <w:t/>
            </w:r>
            <w:r>
              <w:rPr>
                <w:rFonts w:eastAsia="Times New Roman" w:cs="Times New Roman" w:ascii="Times New Roman" w:hAnsi="Times New Roman"/>
                <w:color w:val="000000"/>
                <w:sz w:val="20"/>
                <w:szCs w:val="20"/>
              </w:rPr>
              <w:t>)</w:t>
            </w:r>
          </w:p>
        </w:tc>
      </w:tr>
      <w:tr>
        <w:trPr/>
        <w:tc>
          <w:tcPr>
            <w:tcW w:w="4680"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Programa de Formación</w:t>
            </w:r>
          </w:p>
        </w:tc>
        <w:tc>
          <w:tcPr>
            <w:tcW w:w="4680"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 xml:space="preserve">Tecnología en Análisis y Desarrollo de Software (ADSO) - Ficha </w:t>
            </w:r>
            <w:r>
              <w:rPr>
                <w:rFonts w:eastAsia="Times New Roman" w:cs="Times New Roman" w:ascii="Times New Roman" w:hAnsi="Times New Roman"/>
                <w:sz w:val="20"/>
                <w:szCs w:val="20"/>
              </w:rPr>
              <w:t>3223875</w:t>
            </w:r>
          </w:p>
        </w:tc>
      </w:tr>
      <w:tr>
        <w:trPr/>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Entidad e Institución</w:t>
            </w:r>
          </w:p>
        </w:tc>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SENA CTMA - Regional Antioquia (Medellín, Colombia)</w:t>
            </w:r>
          </w:p>
        </w:tc>
      </w:tr>
      <w:tr>
        <w:trPr/>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Plataforma y Cliente</w:t>
            </w:r>
          </w:p>
        </w:tc>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Aplicación de Escritorio Nativa desarrollada en C# / Windows Presentation Foundation (WPF) sobre .NET</w:t>
            </w:r>
          </w:p>
        </w:tc>
      </w:tr>
      <w:tr>
        <w:trPr/>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Persistencia de Datos </w:t>
            </w:r>
          </w:p>
        </w:tc>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Motor relacional PostgreSQL (núcleo administrativo) y MongoDB NoSQL (intervenciones técnicas y camposDinamicos) </w:t>
            </w:r>
          </w:p>
        </w:tc>
      </w:tr>
      <w:tr>
        <w:trPr/>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Arquitectura y Backend</w:t>
            </w:r>
          </w:p>
        </w:tc>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Paradigma cliente-servidor con API REST backend y modelo SaaS multi-tenant </w:t>
            </w:r>
          </w:p>
        </w:tc>
      </w:tr>
      <w:tr>
        <w:trPr/>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Control de Acceso</w:t>
            </w:r>
          </w:p>
        </w:tc>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Autenticación JWT y Control de Acceso Basado en Roles (RBAC)</w:t>
            </w:r>
          </w:p>
        </w:tc>
      </w:tr>
      <w:tr>
        <w:trPr/>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Módulo Analítico </w:t>
            </w:r>
          </w:p>
        </w:tc>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Pipeline de ciencia de datos en Python (PyMongo, Pandas, Scikit-learn K-Means) sobre datasets sintéticos </w:t>
            </w:r>
          </w:p>
        </w:tc>
      </w:tr>
      <w:tr>
        <w:trPr/>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Duración y Metodología </w:t>
            </w:r>
          </w:p>
        </w:tc>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12 semanas, marco ágil Scrum con 6 sprints de dos semanas </w:t>
            </w:r>
          </w:p>
        </w:tc>
      </w:tr>
      <w:tr>
        <w:trPr/>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Equipo de Desarrollo</w:t>
            </w:r>
          </w:p>
        </w:tc>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Miguel Ángel Ocampo Muñoz (Líder, Frontend/WPF), Esteban Bedoya Rojo (Analista/Desarrollador Backend), Héctor Steven Cuesta (Tester, Datos/SaaS), Juan José García Laverde (Analista de Requisitos y Calidad de Software) </w:t>
            </w:r>
          </w:p>
        </w:tc>
      </w:tr>
      <w:tr>
        <w:trPr/>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Instructor Asesor</w:t>
            </w:r>
          </w:p>
        </w:tc>
        <w:tc>
          <w:tcPr>
            <w:tcW w:w="4680" w:type="dxa"/>
            <w:tcBorders/>
            <w:tcMar>
              <w:top w:w="100" w:type="dxa"/>
              <w:bottom w:w="100" w:type="dxa"/>
            </w:tcMar>
          </w:tcPr>
          <w:p>
            <w:pPr>
              <w:pStyle w:val="normal1"/>
              <w:spacing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Juan Pablo Saldarriaga</w:t>
            </w:r>
          </w:p>
        </w:tc>
      </w:tr>
    </w:tbl>
    <w:p>
      <w:pPr>
        <w:pStyle w:val="normal1"/>
        <w:spacing w:lineRule="auto" w:line="276" w:before="80" w:after="240"/>
        <w:ind w:hanging="0"/>
        <w:jc w:val="start"/>
        <w:rPr/>
      </w:pPr>
      <w:r>
        <w:rPr>
          <w:rFonts w:eastAsia="Times New Roman" w:cs="Times New Roman" w:ascii="Times New Roman" w:hAnsi="Times New Roman"/>
          <w:i/>
          <w:iCs/>
          <w:color w:val="000000"/>
          <w:sz w:val="20"/>
          <w:szCs w:val="20"/>
        </w:rPr>
        <w:t xml:space="preserve">Nota. </w:t>
      </w:r>
      <w:r>
        <w:rPr>
          <w:rFonts w:eastAsia="Times New Roman" w:cs="Times New Roman" w:ascii="Times New Roman" w:hAnsi="Times New Roman"/>
          <w:color w:val="000000"/>
          <w:sz w:val="20"/>
          <w:szCs w:val="20"/>
        </w:rPr>
        <w:t>Datos institucionales y especificaciones técnicas oficiales consolidadas para el proyecto SITBIO bajo los lineamientos del SENA CTMA.</w:t>
      </w:r>
    </w:p>
    <w:p>
      <w:pPr>
        <w:pStyle w:val="normal1"/>
        <w:spacing w:lineRule="auto" w:line="480" w:before="240" w:after="120"/>
        <w:jc w:val="start"/>
        <w:rPr/>
      </w:pPr>
      <w:r>
        <w:rPr>
          <w:rFonts w:eastAsia="Times New Roman" w:cs="Times New Roman" w:ascii="Times New Roman" w:hAnsi="Times New Roman"/>
          <w:b/>
          <w:bCs/>
          <w:color w:val="000000"/>
          <w:sz w:val="24"/>
          <w:szCs w:val="24"/>
        </w:rPr>
        <w:t>2. Roles del Equipo de Desarrollo (Equipo Técnico)</w:t>
      </w:r>
    </w:p>
    <w:p>
      <w:pPr>
        <w:pStyle w:val="normal1"/>
        <w:spacing w:lineRule="auto" w:line="480" w:before="0" w:after="0"/>
        <w:ind w:firstLine="720"/>
        <w:jc w:val="start"/>
        <w:rPr/>
      </w:pPr>
      <w:r>
        <w:rPr>
          <w:rFonts w:eastAsia="Times New Roman" w:cs="Times New Roman" w:ascii="Times New Roman" w:hAnsi="Times New Roman"/>
          <w:color w:val="000000"/>
          <w:sz w:val="24"/>
          <w:szCs w:val="24"/>
        </w:rPr>
        <w:t>El equipo de desarrollo del proyecto SITBIO está integrado por cuatro aprendices del programa de Tecnología en Análisis y Desarrollo de Software (ADSO) del SENA CTMA, con roles técnicos distribuidos de acuerdo con el perfil de especialización de cada integrante:</w:t>
      </w:r>
    </w:p>
    <w:p>
      <w:pPr>
        <w:pStyle w:val="normal1"/>
        <w:spacing w:lineRule="auto" w:line="480" w:before="0" w:after="0"/>
        <w:ind w:firstLine="720"/>
        <w:jc w:val="start"/>
        <w:rPr/>
      </w:pPr>
      <w:r>
        <w:rPr>
          <w:rFonts w:eastAsia="Times New Roman" w:cs="Times New Roman" w:ascii="Times New Roman" w:hAnsi="Times New Roman"/>
          <w:b/>
          <w:bCs/>
          <w:color w:val="000000"/>
          <w:sz w:val="24"/>
          <w:szCs w:val="24"/>
        </w:rPr>
        <w:t>a) Miguel Ángel Ocampo Muñoz:</w:t>
      </w:r>
      <w:r>
        <w:rPr>
          <w:rFonts w:eastAsia="Times New Roman" w:cs="Times New Roman" w:ascii="Times New Roman" w:hAnsi="Times New Roman"/>
          <w:color w:val="000000"/>
          <w:sz w:val="24"/>
          <w:szCs w:val="24"/>
        </w:rPr>
        <w:t xml:space="preserve"> Líder de Proyecto y Desarrollador Frontend WPF: Responsable de la coordinación general, la gestión del backlog, la maquetación de la interfaz gráfica del cliente de escritorio en WPF y la integración con los servicios backend para los flujos asistenciales y de mantenimiento.</w:t>
      </w:r>
    </w:p>
    <w:p>
      <w:pPr>
        <w:pStyle w:val="normal1"/>
        <w:spacing w:lineRule="auto" w:line="480" w:before="0" w:after="0"/>
        <w:ind w:firstLine="720"/>
        <w:jc w:val="start"/>
        <w:rPr/>
      </w:pPr>
      <w:r>
        <w:rPr>
          <w:rFonts w:eastAsia="Times New Roman" w:cs="Times New Roman" w:ascii="Times New Roman" w:hAnsi="Times New Roman"/>
          <w:b/>
          <w:bCs/>
          <w:color w:val="000000"/>
          <w:sz w:val="24"/>
          <w:szCs w:val="24"/>
        </w:rPr>
        <w:t xml:space="preserve">b) </w:t>
      </w:r>
      <w:r>
        <w:rPr>
          <w:rStyle w:val="Strong"/>
        </w:rPr>
        <w:t>Esteban Bedoya Rojo:</w:t>
      </w:r>
      <w:r>
        <w:rPr/>
        <w:t xml:space="preserve"> </w:t>
      </w:r>
      <w:r>
        <w:rPr>
          <w:rFonts w:eastAsia="Times New Roman" w:cs="Times New Roman" w:ascii="Times New Roman" w:hAnsi="Times New Roman"/>
          <w:color w:val="000000"/>
          <w:sz w:val="24"/>
          <w:szCs w:val="24"/>
        </w:rPr>
        <w:t xml:space="preserve">Analista y Desarrollador Backend (API REST): Encargado de la arquitectura lógica de servicios, la lógica de negocio sobre la API REST, el consumo de la API desde el cliente de escritorio, la autenticación mediante tokens JWT y cifrado BCrypt, la implementación del control de acceso basado en roles (RBAC), el módulo de intervenciones técnicas en MongoDB y el pipeline analítico en Python (PyMongo, Pandas y K-Means). </w:t>
      </w:r>
    </w:p>
    <w:p>
      <w:pPr>
        <w:pStyle w:val="normal1"/>
        <w:spacing w:lineRule="auto" w:line="480" w:before="0" w:after="0"/>
        <w:ind w:firstLine="720"/>
        <w:jc w:val="start"/>
        <w:rPr/>
      </w:pPr>
      <w:r>
        <w:rPr>
          <w:rFonts w:eastAsia="Times New Roman" w:cs="Times New Roman" w:ascii="Times New Roman" w:hAnsi="Times New Roman"/>
          <w:b/>
          <w:bCs/>
          <w:color w:val="000000"/>
          <w:sz w:val="24"/>
          <w:szCs w:val="24"/>
        </w:rPr>
        <w:t>c) Héctor Steven Cuesta:</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 xml:space="preserve">Tester y Especialista en Datos y SaaS: Responsable del modelado relacional en PostgreSQL, el aislamiento multi-tenant por cliente hospitalario (TenantId), el modelo de documentos en MongoDB y el motor de camposDinamicos, así como de la ejecución de las pruebas funcionales y de integración sobre la aplicación de escritorio. </w:t>
      </w:r>
    </w:p>
    <w:p>
      <w:pPr>
        <w:pStyle w:val="normal1"/>
        <w:spacing w:lineRule="auto" w:line="480" w:before="0" w:after="0"/>
        <w:ind w:firstLine="720"/>
        <w:jc w:val="start"/>
        <w:rPr/>
      </w:pPr>
      <w:r>
        <w:rPr>
          <w:rFonts w:eastAsia="Times New Roman" w:cs="Times New Roman" w:ascii="Times New Roman" w:hAnsi="Times New Roman"/>
          <w:b/>
          <w:bCs/>
          <w:color w:val="000000"/>
          <w:sz w:val="24"/>
          <w:szCs w:val="24"/>
        </w:rPr>
        <w:t xml:space="preserve">d) </w:t>
      </w:r>
      <w:r>
        <w:rPr>
          <w:rFonts w:eastAsia="Times New Roman" w:cs="Times New Roman" w:ascii="Times New Roman" w:hAnsi="Times New Roman"/>
          <w:b/>
          <w:bCs/>
          <w:sz w:val="24"/>
          <w:szCs w:val="24"/>
        </w:rPr>
        <w:t>Juan Jose Garcia Laverde</w:t>
      </w:r>
      <w:r>
        <w:rPr>
          <w:rFonts w:eastAsia="Times New Roman" w:cs="Times New Roman" w:ascii="Times New Roman" w:hAnsi="Times New Roman"/>
          <w:b/>
          <w:bCs/>
          <w:color w:val="000000"/>
          <w:sz w:val="24"/>
          <w:szCs w:val="24"/>
        </w:rPr>
        <w:t>:</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 xml:space="preserve">Analista de Requisitos y Calidad de Software (QA): Responsable del levantamiento y análisis de requisitos, la redacción de historias de usuario y criterios de aceptación, el diseño del plan de pruebas, la validación del cumplimiento de los criterios de aceptación y el control de defectos. </w:t>
      </w:r>
    </w:p>
    <w:p>
      <w:pPr>
        <w:pStyle w:val="normal1"/>
        <w:spacing w:lineRule="auto" w:line="480" w:before="240" w:after="120"/>
        <w:jc w:val="start"/>
        <w:rPr/>
      </w:pPr>
      <w:r>
        <w:rPr>
          <w:rFonts w:eastAsia="Times New Roman" w:cs="Times New Roman" w:ascii="Times New Roman" w:hAnsi="Times New Roman"/>
          <w:b/>
          <w:bCs/>
          <w:color w:val="000000"/>
          <w:sz w:val="24"/>
          <w:szCs w:val="24"/>
        </w:rPr>
        <w:t xml:space="preserve">3. Identificación y Análisis de los 10 Interesados (Stakeholders)</w:t>
      </w:r>
    </w:p>
    <w:p>
      <w:pPr>
        <w:pStyle w:val="normal1"/>
        <w:spacing w:lineRule="auto" w:line="480" w:before="0" w:after="0"/>
        <w:ind w:firstLine="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Se han identificado e investigado 10 perfiles de interesados clave que intervienen en el ciclo de vida del software SITBIO. Los actores AC-01 a AC-07 corresponden a los definidos en el documento de Formulación y Constitución del Proyecto (Tabla 3), y se incorporan el equipo desarrollador (ST-06), el soporte de TI (ST-07) y los administradores de la plataforma (ST-10) como interesados de gestión del proyecto. Para cada uno se desglosa su rol, nivel de autoridad, interés y necesidades frente al cliente de escritorio: </w:t>
      </w:r>
    </w:p>
    <w:p>
      <w:pPr>
        <w:pStyle w:val="normal1"/>
        <w:bidi w:val="0"/>
        <w:spacing w:lineRule="auto" w:line="480" w:before="0" w:after="0"/>
        <w:ind w:firstLine="720"/>
        <w:rPr/>
      </w:pPr>
      <w:r>
        <w:rPr>
          <w:rStyle w:val="Strong"/>
          <w:rFonts w:ascii="Times New Roman" w:hAnsi="Times New Roman"/>
          <w:b/>
          <w:bCs/>
          <w:sz w:val="24"/>
          <w:szCs w:val="24"/>
        </w:rPr>
        <w:t>1. Actor 1 (AC-01 / ST-04):</w:t>
      </w:r>
      <w:r>
        <w:rPr>
          <w:rStyle w:val="Strong"/>
          <w:rFonts w:ascii="Times New Roman" w:hAnsi="Times New Roman"/>
          <w:b w:val="false"/>
          <w:bCs w:val="false"/>
          <w:sz w:val="24"/>
          <w:szCs w:val="24"/>
        </w:rPr>
        <w:t xml:space="preserve"> Administrador del Sistema (TI de la institución):</w:t>
      </w:r>
      <w:r>
        <w:rPr>
          <w:rFonts w:ascii="Times New Roman" w:hAnsi="Times New Roman"/>
          <w:b w:val="false"/>
          <w:bCs w:val="false"/>
          <w:sz w:val="24"/>
          <w:szCs w:val="24"/>
        </w:rPr>
        <w:t xml:space="preserve"> Personal de TI de la IPS o, en instituciones pequeñas, el coordinador biomédico con una cuenta independiente para este rol. Gestiona los usuarios y los roles RBAC, los datos y parámetros de su institución, los catálogos maestros, la definición de campos dinámicos y la consulta de la bitácora de auditoría (CU-01, CU-02.1, CU-09, CU-10). Actúa solo dentro de su tenant y no tiene control sobre otras instituciones. Nivel: Alto Poder / Medio Interés.</w:t>
      </w:r>
    </w:p>
    <w:p>
      <w:pPr>
        <w:pStyle w:val="normal1"/>
        <w:bidi w:val="0"/>
        <w:spacing w:lineRule="auto" w:line="480" w:before="0" w:after="0"/>
        <w:ind w:firstLine="720"/>
        <w:rPr/>
      </w:pPr>
      <w:r>
        <w:rPr>
          <w:rStyle w:val="Strong"/>
          <w:rFonts w:eastAsia="Times New Roman" w:cs="Times New Roman" w:ascii="Times New Roman" w:hAnsi="Times New Roman"/>
          <w:b/>
          <w:bCs/>
          <w:sz w:val="24"/>
          <w:szCs w:val="24"/>
        </w:rPr>
        <w:t>2. Actor 2 (AC-02 / ST-02):</w:t>
      </w:r>
      <w:r>
        <w:rPr>
          <w:rStyle w:val="Strong"/>
          <w:rFonts w:eastAsia="Times New Roman" w:cs="Times New Roman" w:ascii="Times New Roman" w:hAnsi="Times New Roman"/>
          <w:b w:val="false"/>
          <w:bCs w:val="false"/>
          <w:sz w:val="24"/>
          <w:szCs w:val="24"/>
        </w:rPr>
        <w:t xml:space="preserve"> Ingeniero Biomédico / Coordinador:</w:t>
      </w:r>
      <w:r>
        <w:rPr>
          <w:rFonts w:eastAsia="Times New Roman" w:cs="Times New Roman" w:ascii="Times New Roman" w:hAnsi="Times New Roman"/>
          <w:b w:val="false"/>
          <w:bCs w:val="false"/>
          <w:sz w:val="24"/>
          <w:szCs w:val="24"/>
        </w:rPr>
        <w:t xml:space="preserve"> Profesional encargado de la supervisión técnica, aprobación y asignación de órdenes de trabajo, control del plan de mantenimiento preventivo/correctivo y consulta de indicadores estratégicos y de los agrupamientos K-Means (CU-02, CU-04, CU-05, CU-06.1). Nivel: Medio Poder / Alto Interés.</w:t>
      </w:r>
    </w:p>
    <w:p>
      <w:pPr>
        <w:pStyle w:val="normal1"/>
        <w:bidi w:val="0"/>
        <w:spacing w:lineRule="auto" w:line="480" w:before="0" w:after="0"/>
        <w:ind w:firstLine="720"/>
        <w:rPr/>
      </w:pPr>
      <w:r>
        <w:rPr>
          <w:rStyle w:val="Strong"/>
          <w:rFonts w:ascii="Times New Roman" w:hAnsi="Times New Roman"/>
          <w:b/>
          <w:bCs/>
          <w:sz w:val="24"/>
          <w:szCs w:val="24"/>
        </w:rPr>
        <w:t>3. Actor 3 (AC-03 / ST-03):</w:t>
      </w:r>
      <w:r>
        <w:rPr>
          <w:rStyle w:val="Strong"/>
          <w:rFonts w:ascii="Times New Roman" w:hAnsi="Times New Roman"/>
          <w:b w:val="false"/>
          <w:bCs w:val="false"/>
          <w:sz w:val="24"/>
          <w:szCs w:val="24"/>
        </w:rPr>
        <w:t xml:space="preserve"> Técnico de Mantenimiento en Campo:</w:t>
      </w:r>
      <w:r>
        <w:rPr>
          <w:rFonts w:ascii="Times New Roman" w:hAnsi="Times New Roman"/>
          <w:b w:val="false"/>
          <w:bCs w:val="false"/>
          <w:sz w:val="24"/>
          <w:szCs w:val="24"/>
        </w:rPr>
        <w:t xml:space="preserve"> Operador técnico que ejecuta las rutinas de mantenimiento preventivo y correctivo en las instalaciones de la IPS, actualizando los estados de las órdenes, registrando intervenciones técnicas, repuestos y camposDinamicos (MongoDB) y enriqueciendo las hojas de vida de los activos (CU-07, CU-07.1, CU-08). Nivel: Bajo Poder / Alto Interés.</w:t>
      </w:r>
    </w:p>
    <w:p>
      <w:pPr>
        <w:pStyle w:val="normal1"/>
        <w:spacing w:lineRule="auto" w:line="480" w:before="0" w:after="0"/>
        <w:ind w:firstLine="720"/>
        <w:jc w:val="start"/>
        <w:rPr>
          <w:rFonts w:ascii="Times New Roman" w:hAnsi="Times New Roman"/>
          <w:sz w:val="24"/>
          <w:szCs w:val="24"/>
        </w:rPr>
      </w:pPr>
      <w:r>
        <w:rPr>
          <w:rFonts w:eastAsia="Times New Roman" w:cs="Times New Roman" w:ascii="Times New Roman" w:hAnsi="Times New Roman"/>
          <w:b/>
          <w:bCs/>
          <w:color w:val="000000"/>
          <w:sz w:val="24"/>
          <w:szCs w:val="24"/>
        </w:rPr>
        <w:t>4. Actor 4 (AC-04 / ST-05) — Personal Clínico / Asistencial:</w:t>
      </w:r>
      <w:r>
        <w:rPr>
          <w:rFonts w:eastAsia="Times New Roman" w:cs="Times New Roman" w:ascii="Times New Roman" w:hAnsi="Times New Roman"/>
          <w:color w:val="000000"/>
          <w:sz w:val="24"/>
          <w:szCs w:val="24"/>
        </w:rPr>
        <w:t xml:space="preserve"> Médicos, enfermeros y jefes de servicio asistencial que generan reportes inmediatos de falla o solicitud de servicio sobre equipos biomédicos y realizan seguimiento al estado de atención mediante número único de ticket (CU-02.2, CU-02.3). Nivel: Bajo Poder / Medio Interés.</w:t>
      </w:r>
    </w:p>
    <w:p>
      <w:pPr>
        <w:pStyle w:val="normal1"/>
        <w:bidi w:val="0"/>
        <w:spacing w:lineRule="auto" w:line="480" w:before="0" w:after="0"/>
        <w:ind w:firstLine="720"/>
        <w:rPr/>
      </w:pPr>
      <w:r>
        <w:rPr>
          <w:rStyle w:val="Strong"/>
          <w:rFonts w:eastAsia="Times New Roman" w:cs="Times New Roman" w:ascii="Times New Roman" w:hAnsi="Times New Roman"/>
          <w:b/>
          <w:bCs/>
          <w:color w:val="000000"/>
          <w:sz w:val="24"/>
          <w:szCs w:val="24"/>
        </w:rPr>
        <w:t>5. Actor 5 (AC-05 / ST-01):</w:t>
      </w:r>
      <w:r>
        <w:rPr>
          <w:rStyle w:val="Strong"/>
          <w:rFonts w:eastAsia="Times New Roman" w:cs="Times New Roman" w:ascii="Times New Roman" w:hAnsi="Times New Roman"/>
          <w:b w:val="false"/>
          <w:bCs w:val="false"/>
          <w:color w:val="000000"/>
          <w:sz w:val="24"/>
          <w:szCs w:val="24"/>
        </w:rPr>
        <w:t xml:space="preserve"> Director / Gerente Biomédico (Patrocinador):</w:t>
      </w:r>
      <w:r>
        <w:rPr>
          <w:rFonts w:eastAsia="Times New Roman" w:cs="Times New Roman" w:ascii="Times New Roman" w:hAnsi="Times New Roman"/>
          <w:b w:val="false"/>
          <w:bCs w:val="false"/>
          <w:color w:val="000000"/>
          <w:sz w:val="24"/>
          <w:szCs w:val="24"/>
        </w:rPr>
        <w:t xml:space="preserve"> Representante ejecutivo y patrocinador del proyecto en la IPS, interesado en consultar tableros de control e indicadores analíticos de disponibilidad de equipamiento y costos operacionales, y en el cumplimiento de estándares sanitarios (CU-03, CU-05). Nivel: Alto Poder / Alto Interés.</w:t>
      </w:r>
    </w:p>
    <w:p>
      <w:pPr>
        <w:pStyle w:val="normal1"/>
        <w:spacing w:lineRule="auto" w:line="480" w:before="0" w:after="0"/>
        <w:ind w:firstLine="720"/>
        <w:jc w:val="start"/>
        <w:rPr>
          <w:rFonts w:ascii="Times New Roman" w:hAnsi="Times New Roman"/>
          <w:sz w:val="24"/>
          <w:szCs w:val="24"/>
        </w:rPr>
      </w:pPr>
      <w:r>
        <w:rPr>
          <w:rFonts w:eastAsia="Times New Roman" w:cs="Times New Roman" w:ascii="Times New Roman" w:hAnsi="Times New Roman"/>
          <w:b/>
          <w:bCs/>
          <w:color w:val="000000"/>
          <w:sz w:val="24"/>
          <w:szCs w:val="24"/>
        </w:rPr>
        <w:t>6. Actor 6 (AC-06 / ST-08) — Directiva Institucional:</w:t>
      </w:r>
      <w:r>
        <w:rPr>
          <w:rFonts w:eastAsia="Times New Roman" w:cs="Times New Roman" w:ascii="Times New Roman" w:hAnsi="Times New Roman"/>
          <w:color w:val="000000"/>
          <w:sz w:val="24"/>
          <w:szCs w:val="24"/>
        </w:rPr>
        <w:t xml:space="preserve"> Cuerpo directivo que evalúa el impacto financiero, la sostenibilidad del software y el cumplimiento de metas institucionales globales. Nivel: Alto Poder / Bajo Interés.</w:t>
      </w:r>
    </w:p>
    <w:p>
      <w:pPr>
        <w:pStyle w:val="normal1"/>
        <w:spacing w:lineRule="auto" w:line="480" w:before="0" w:after="0"/>
        <w:ind w:firstLine="720"/>
        <w:jc w:val="start"/>
        <w:rPr>
          <w:rFonts w:ascii="Times New Roman" w:hAnsi="Times New Roman"/>
          <w:sz w:val="24"/>
          <w:szCs w:val="24"/>
        </w:rPr>
      </w:pPr>
      <w:r>
        <w:rPr>
          <w:rFonts w:eastAsia="Times New Roman" w:cs="Times New Roman" w:ascii="Times New Roman" w:hAnsi="Times New Roman"/>
          <w:b/>
          <w:bCs/>
          <w:color w:val="000000"/>
          <w:sz w:val="24"/>
          <w:szCs w:val="24"/>
        </w:rPr>
        <w:t>7. Actor 7 (AC-07 / ST-09) — Ente Regulador / Auditor Externo:</w:t>
      </w:r>
      <w:r>
        <w:rPr>
          <w:rFonts w:eastAsia="Times New Roman" w:cs="Times New Roman" w:ascii="Times New Roman" w:hAnsi="Times New Roman"/>
          <w:color w:val="000000"/>
          <w:sz w:val="24"/>
          <w:szCs w:val="24"/>
        </w:rPr>
        <w:t xml:space="preserve"> Organismos gubernamentales (INVIMA, Secretarías de Salud) que auditan el cumplimiento de la Resolución 3100 de 2019 de Minsalud mediante reportes e historiales de mantenimiento exportados (CU-06.1, CU-09). Nivel: Alto Poder / Alto Interés.</w:t>
      </w:r>
    </w:p>
    <w:p>
      <w:pPr>
        <w:pStyle w:val="normal1"/>
        <w:bidi w:val="0"/>
        <w:spacing w:lineRule="auto" w:line="480" w:before="0" w:after="0"/>
        <w:ind w:firstLine="720"/>
        <w:rPr/>
      </w:pPr>
      <w:r>
        <w:rPr>
          <w:rStyle w:val="Strong"/>
          <w:rFonts w:eastAsia="Times New Roman" w:cs="Times New Roman" w:ascii="Times New Roman" w:hAnsi="Times New Roman"/>
          <w:b/>
          <w:bCs/>
          <w:sz w:val="24"/>
          <w:szCs w:val="24"/>
        </w:rPr>
        <w:t>8. Actor 8 (ST-06 / EQ):</w:t>
      </w:r>
      <w:r>
        <w:rPr>
          <w:rStyle w:val="Strong"/>
          <w:rFonts w:eastAsia="Times New Roman" w:cs="Times New Roman" w:ascii="Times New Roman" w:hAnsi="Times New Roman"/>
          <w:b w:val="false"/>
          <w:bCs w:val="false"/>
          <w:sz w:val="24"/>
          <w:szCs w:val="24"/>
        </w:rPr>
        <w:t xml:space="preserve"> Equipo Desarrollador ADSO SENA:</w:t>
      </w:r>
      <w:r>
        <w:rPr>
          <w:rFonts w:eastAsia="Times New Roman" w:cs="Times New Roman" w:ascii="Times New Roman" w:hAnsi="Times New Roman"/>
          <w:b w:val="false"/>
          <w:bCs w:val="false"/>
          <w:sz w:val="24"/>
          <w:szCs w:val="24"/>
        </w:rPr>
        <w:t xml:space="preserve"> Los 4 aprendices encargados del análisis de requisitos, la arquitectura, el frontend WPF, el backend REST API, las bases de datos (PostgreSQL y MongoDB), la analítica en Python y las pruebas de calidad de la aplicación de escritorio. Nivel: Medio Poder / Alto Interés.</w:t>
      </w:r>
    </w:p>
    <w:p>
      <w:pPr>
        <w:pStyle w:val="normal1"/>
        <w:bidi w:val="0"/>
        <w:spacing w:lineRule="auto" w:line="480" w:before="0" w:after="0"/>
        <w:ind w:firstLine="720"/>
        <w:rPr/>
      </w:pPr>
      <w:r>
        <w:rPr>
          <w:rStyle w:val="Strong"/>
          <w:rFonts w:ascii="Times New Roman" w:hAnsi="Times New Roman"/>
          <w:b/>
          <w:bCs/>
          <w:sz w:val="24"/>
          <w:szCs w:val="24"/>
        </w:rPr>
        <w:t>9. Actor 9 (ST-07 / INF):</w:t>
      </w:r>
      <w:r>
        <w:rPr>
          <w:rStyle w:val="Strong"/>
          <w:rFonts w:ascii="Times New Roman" w:hAnsi="Times New Roman"/>
          <w:b w:val="false"/>
          <w:bCs w:val="false"/>
          <w:sz w:val="24"/>
          <w:szCs w:val="24"/>
        </w:rPr>
        <w:t xml:space="preserve"> Soporte TI de la IPS:</w:t>
      </w:r>
      <w:r>
        <w:rPr>
          <w:rFonts w:ascii="Times New Roman" w:hAnsi="Times New Roman"/>
          <w:b w:val="false"/>
          <w:bCs w:val="false"/>
          <w:sz w:val="24"/>
          <w:szCs w:val="24"/>
        </w:rPr>
        <w:t xml:space="preserve"> Personal técnico de cada IPS encargado de instalar el cliente de escritorio en los equipos de la institución, mantener la conexión a Internet hacia el servicio en la nube y atender el primer nivel de soporte de sus usuarios. Los servidores, las bases de datos y los respaldos los opera el proveedor (ST-10). Nivel: Medio Poder / Medio Interés.</w:t>
      </w:r>
      <w:r>
        <w:rPr>
          <w:rFonts w:ascii="Times New Roman" w:hAnsi="Times New Roman"/>
          <w:b w:val="false"/>
          <w:bCs w:val="false"/>
          <w:sz w:val="24"/>
          <w:szCs w:val="24"/>
        </w:rPr>
      </w:r>
      <w:r>
        <w:rPr>
          <w:rFonts w:ascii="Times New Roman" w:hAnsi="Times New Roman"/>
          <w:b w:val="false"/>
          <w:bCs w:val="false"/>
          <w:sz w:val="24"/>
          <w:szCs w:val="24"/>
        </w:rPr>
      </w:r>
    </w:p>
    <w:p>
      <w:pPr>
        <w:pStyle w:val="normal1"/>
        <w:bidi w:val="0"/>
        <w:spacing w:lineRule="auto" w:line="480" w:before="0" w:after="0"/>
        <w:ind w:firstLine="720"/>
        <w:rPr/>
      </w:pPr>
      <w:r>
        <w:rPr>
          <w:rStyle w:val="Strong"/>
          <w:rFonts w:ascii="Times New Roman" w:hAnsi="Times New Roman"/>
          <w:b/>
          <w:bCs/>
          <w:sz w:val="24"/>
          <w:szCs w:val="24"/>
        </w:rPr>
        <w:t>10. Actor 10 (ST-10 / PLAT):</w:t>
      </w:r>
      <w:r>
        <w:rPr>
          <w:rStyle w:val="Strong"/>
          <w:rFonts w:ascii="Times New Roman" w:hAnsi="Times New Roman"/>
          <w:b w:val="false"/>
          <w:bCs w:val="false"/>
          <w:sz w:val="24"/>
          <w:szCs w:val="24"/>
        </w:rPr>
        <w:t xml:space="preserve"> Administradores de la Plataforma SITBIO (proveedor):</w:t>
      </w:r>
      <w:r>
        <w:rPr>
          <w:rFonts w:ascii="Times New Roman" w:hAnsi="Times New Roman"/>
          <w:b w:val="false"/>
          <w:bCs w:val="false"/>
          <w:sz w:val="24"/>
          <w:szCs w:val="24"/>
        </w:rPr>
        <w:t xml:space="preserve"> Equipo del proveedor del servicio SaaS que presenta y comercializa los planes, atiende las solicitudes de demostración, cotización y cambio de plan, firma el contrato de servicio y el acuerdo de tratamiento de datos con cada IPS, crea, suspende y desactiva los tenants con su plan, entrega la cuenta inicial del Administrador del Sistema y opera la infraestructura en la nube (servidores, bases de datos y respaldos). No son usuarios de la aplicación de escritorio ni acceden a los datos operativos de las instituciones. Nivel: Alto Poder / Medio Interés.</w:t>
      </w:r>
      <w:r>
        <w:rPr>
          <w:rFonts w:ascii="Times New Roman" w:hAnsi="Times New Roman"/>
          <w:b w:val="false"/>
          <w:bCs w:val="false"/>
          <w:sz w:val="24"/>
          <w:szCs w:val="24"/>
        </w:rPr>
      </w:r>
      <w:r>
        <w:rPr>
          <w:rFonts w:ascii="Times New Roman" w:hAnsi="Times New Roman"/>
          <w:b w:val="false"/>
          <w:bCs w:val="false"/>
          <w:sz w:val="24"/>
          <w:szCs w:val="24"/>
        </w:rPr>
      </w:r>
    </w:p>
    <w:p>
      <w:pPr>
        <w:pStyle w:val="normal1"/>
        <w:spacing w:lineRule="auto" w:line="480" w:before="240" w:after="0"/>
        <w:ind w:hanging="0"/>
        <w:jc w:val="start"/>
        <w:rPr/>
      </w:pPr>
      <w:r>
        <w:rPr>
          <w:rFonts w:eastAsia="Times New Roman" w:cs="Times New Roman" w:ascii="Times New Roman" w:hAnsi="Times New Roman"/>
          <w:b/>
          <w:bCs/>
          <w:color w:val="000000"/>
          <w:sz w:val="24"/>
          <w:szCs w:val="24"/>
        </w:rPr>
        <w:t>Tabla 2</w:t>
      </w:r>
    </w:p>
    <w:p>
      <w:pPr>
        <w:pStyle w:val="normal1"/>
        <w:spacing w:lineRule="auto" w:line="480" w:before="0" w:after="120"/>
        <w:ind w:hanging="0"/>
        <w:jc w:val="start"/>
        <w:rPr/>
      </w:pPr>
      <w:r>
        <w:rPr>
          <w:rFonts w:eastAsia="Times New Roman" w:cs="Times New Roman" w:ascii="Times New Roman" w:hAnsi="Times New Roman"/>
          <w:i/>
          <w:iCs/>
          <w:color w:val="000000"/>
          <w:sz w:val="24"/>
          <w:szCs w:val="24"/>
        </w:rPr>
        <w:t xml:space="preserve">Registro y Matriz de Clasificación de los 10 Interesados de SITBIO</w:t>
      </w:r>
    </w:p>
    <w:tbl>
      <w:tblPr>
        <w:tblStyle w:val="Table2"/>
        <w:tblW w:w="9360" w:type="dxa"/>
        <w:jc w:val="center"/>
        <w:tblInd w:w="0" w:type="dxa"/>
        <w:tblLayout w:type="fixed"/>
        <w:tblCellMar>
          <w:top w:w="120" w:type="dxa"/>
          <w:start w:w="150" w:type="dxa"/>
          <w:bottom w:w="120" w:type="dxa"/>
          <w:end w:w="150" w:type="dxa"/>
        </w:tblCellMar>
        <w:tblLook w:val="0400"/>
      </w:tblPr>
      <w:tblGrid>
        <w:gridCol w:w="1872"/>
        <w:gridCol w:w="1872"/>
        <w:gridCol w:w="1872"/>
        <w:gridCol w:w="1872"/>
        <w:gridCol w:w="1872"/>
      </w:tblGrid>
      <w:tr>
        <w:trPr>
          <w:tblHeader w:val="true"/>
        </w:trPr>
        <w:tc>
          <w:tcPr>
            <w:tcW w:w="1872"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color w:val="000000"/>
                <w:sz w:val="21"/>
                <w:szCs w:val="21"/>
              </w:rPr>
              <w:t>Código</w:t>
            </w:r>
          </w:p>
        </w:tc>
        <w:tc>
          <w:tcPr>
            <w:tcW w:w="1872"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color w:val="000000"/>
                <w:sz w:val="21"/>
                <w:szCs w:val="21"/>
              </w:rPr>
              <w:t>Perfil de Interesado</w:t>
            </w:r>
          </w:p>
        </w:tc>
        <w:tc>
          <w:tcPr>
            <w:tcW w:w="1872"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color w:val="000000"/>
                <w:sz w:val="21"/>
                <w:szCs w:val="21"/>
              </w:rPr>
              <w:t>Rol en el Proyecto</w:t>
            </w:r>
          </w:p>
        </w:tc>
        <w:tc>
          <w:tcPr>
            <w:tcW w:w="1872"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color w:val="000000"/>
                <w:sz w:val="21"/>
                <w:szCs w:val="21"/>
              </w:rPr>
              <w:t>Nivel Poder</w:t>
            </w:r>
          </w:p>
        </w:tc>
        <w:tc>
          <w:tcPr>
            <w:tcW w:w="1872"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color w:val="000000"/>
                <w:sz w:val="21"/>
                <w:szCs w:val="21"/>
              </w:rPr>
              <w:t>Nivel Interés</w:t>
            </w:r>
          </w:p>
        </w:tc>
      </w:tr>
      <w:tr>
        <w:trPr/>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AC-01 / ST-04</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 xml:space="preserve">Administrador del Sistema (TI de la institución)</w:t>
            </w:r>
          </w:p>
        </w:tc>
        <w:tc>
          <w:tcPr>
            <w:tcW w:w="1872" w:type="dxa"/>
            <w:tcBorders/>
            <w:tcMar>
              <w:top w:w="100" w:type="dxa"/>
              <w:bottom w:w="100" w:type="dxa"/>
            </w:tcMar>
          </w:tcPr>
          <w:p>
            <w:pPr>
              <w:pStyle w:val="normal1"/>
              <w:spacing w:lineRule="auto" w:line="276" w:before="0" w:after="0"/>
              <w:jc w:val="star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Usuarios, RBAC, Configuración y Campos Dinámicos</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Alto</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Medio</w:t>
            </w:r>
          </w:p>
        </w:tc>
      </w:tr>
      <w:tr>
        <w:trPr/>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AC-02 / ST-02</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Ingeniero Biomédico</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Gestión de Activos y Órdenes</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Medio</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Alto</w:t>
            </w:r>
          </w:p>
        </w:tc>
      </w:tr>
      <w:tr>
        <w:trPr/>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AC-03 / ST-03</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Técnico de Mantenimiento</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Ejecución de Trabajos en Campo</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Bajo</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Alto</w:t>
            </w:r>
          </w:p>
        </w:tc>
      </w:tr>
      <w:tr>
        <w:trPr/>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AC-04 / ST-05</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Personal Clínico / Asistencial</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Reporte de Fallas y Peticiones</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Bajo</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Medio</w:t>
            </w:r>
          </w:p>
        </w:tc>
      </w:tr>
      <w:tr>
        <w:trPr/>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AC-05 / ST-01</w:t>
            </w:r>
          </w:p>
        </w:tc>
        <w:tc>
          <w:tcPr>
            <w:tcW w:w="1872" w:type="dxa"/>
            <w:tcBorders/>
            <w:tcMar>
              <w:top w:w="100" w:type="dxa"/>
              <w:bottom w:w="100" w:type="dxa"/>
            </w:tcMar>
          </w:tcPr>
          <w:p>
            <w:pPr>
              <w:pStyle w:val="normal1"/>
              <w:spacing w:lineRule="auto" w:line="276" w:before="0" w:after="0"/>
              <w:jc w:val="star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Director / Gerente Biomédico </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Patrocinador y Aprobador</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Alto</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Alto</w:t>
            </w:r>
          </w:p>
        </w:tc>
      </w:tr>
      <w:tr>
        <w:trPr/>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AC-06 / ST-08</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Directiva Institucional</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Evaluación Estratégica</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Alto</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Bajo</w:t>
            </w:r>
          </w:p>
        </w:tc>
      </w:tr>
      <w:tr>
        <w:trPr/>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AC-07 / ST-09</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Ente Regulador / Auditor</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Auditoría de Norma Res. 3100</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Alto</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Alto</w:t>
            </w:r>
          </w:p>
        </w:tc>
      </w:tr>
      <w:tr>
        <w:trPr/>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ST-06 / EQ</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Equipo Desarrollador ADSO</w:t>
            </w:r>
          </w:p>
        </w:tc>
        <w:tc>
          <w:tcPr>
            <w:tcW w:w="1872" w:type="dxa"/>
            <w:tcBorders/>
            <w:tcMar>
              <w:top w:w="100" w:type="dxa"/>
              <w:bottom w:w="100" w:type="dxa"/>
            </w:tcMar>
          </w:tcPr>
          <w:p>
            <w:pPr>
              <w:pStyle w:val="normal1"/>
              <w:spacing w:lineRule="auto" w:line="276" w:before="0" w:after="0"/>
              <w:jc w:val="star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Construcción, Analítica y QA de Software </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Medio</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Alto</w:t>
            </w:r>
          </w:p>
        </w:tc>
      </w:tr>
      <w:tr>
        <w:trPr/>
        <w:tc>
          <w:tcPr>
            <w:tcW w:w="1872" w:type="dxa"/>
            <w:tcBorders/>
            <w:tcMar>
              <w:top w:w="100" w:type="dxa"/>
              <w:bottom w:w="100" w:type="dxa"/>
            </w:tcMar>
          </w:tcPr>
          <w:p>
            <w:pPr>
              <w:pStyle w:val="normal1"/>
              <w:keepNext/>
              <w:spacing w:lineRule="auto" w:line="276" w:before="0" w:after="0"/>
              <w:jc w:val="start"/>
              <w:rPr/>
            </w:pPr>
            <w:r>
              <w:rPr>
                <w:rFonts w:eastAsia="Times New Roman" w:cs="Times New Roman" w:ascii="Times New Roman" w:hAnsi="Times New Roman"/>
                <w:color w:val="000000"/>
                <w:sz w:val="20"/>
                <w:szCs w:val="20"/>
              </w:rPr>
              <w:t>ST-07 / INF</w:t>
            </w:r>
          </w:p>
        </w:tc>
        <w:tc>
          <w:tcPr>
            <w:tcW w:w="1872" w:type="dxa"/>
            <w:tcBorders/>
            <w:tcMar>
              <w:top w:w="100" w:type="dxa"/>
              <w:bottom w:w="100" w:type="dxa"/>
            </w:tcMar>
          </w:tcPr>
          <w:p>
            <w:pPr>
              <w:pStyle w:val="normal1"/>
              <w:keepNext/>
              <w:spacing w:lineRule="auto" w:line="276" w:before="0" w:after="0"/>
              <w:jc w:val="start"/>
              <w:rPr/>
            </w:pPr>
            <w:r>
              <w:rPr>
                <w:rFonts w:eastAsia="Times New Roman" w:cs="Times New Roman" w:ascii="Times New Roman" w:hAnsi="Times New Roman"/>
                <w:color w:val="000000"/>
                <w:sz w:val="20"/>
                <w:szCs w:val="20"/>
              </w:rPr>
              <w:t xml:space="preserve">Soporte TI de la IPS</w:t>
            </w:r>
          </w:p>
        </w:tc>
        <w:tc>
          <w:tcPr>
            <w:tcW w:w="1872" w:type="dxa"/>
            <w:tcBorders/>
            <w:tcMar>
              <w:top w:w="100" w:type="dxa"/>
              <w:bottom w:w="100" w:type="dxa"/>
            </w:tcMar>
          </w:tcPr>
          <w:p>
            <w:pPr>
              <w:pStyle w:val="normal1"/>
              <w:keepNext/>
              <w:spacing w:lineRule="auto" w:line="276" w:before="0" w:after="0"/>
              <w:jc w:val="start"/>
              <w:rPr/>
            </w:pPr>
            <w:r>
              <w:rPr>
                <w:rFonts w:eastAsia="Times New Roman" w:cs="Times New Roman" w:ascii="Times New Roman" w:hAnsi="Times New Roman"/>
                <w:color w:val="000000"/>
                <w:sz w:val="20"/>
                <w:szCs w:val="20"/>
              </w:rPr>
              <w:t xml:space="preserve">Instalación del cliente y conectividad</w:t>
            </w:r>
          </w:p>
        </w:tc>
        <w:tc>
          <w:tcPr>
            <w:tcW w:w="1872" w:type="dxa"/>
            <w:tcBorders/>
            <w:tcMar>
              <w:top w:w="100" w:type="dxa"/>
              <w:bottom w:w="100" w:type="dxa"/>
            </w:tcMar>
          </w:tcPr>
          <w:p>
            <w:pPr>
              <w:pStyle w:val="normal1"/>
              <w:keepNext/>
              <w:spacing w:lineRule="auto" w:line="276" w:before="0" w:after="0"/>
              <w:jc w:val="start"/>
              <w:rPr/>
            </w:pPr>
            <w:r>
              <w:rPr>
                <w:rFonts w:eastAsia="Times New Roman" w:cs="Times New Roman" w:ascii="Times New Roman" w:hAnsi="Times New Roman"/>
                <w:color w:val="000000"/>
                <w:sz w:val="20"/>
                <w:szCs w:val="20"/>
              </w:rPr>
              <w:t>Medio</w:t>
            </w:r>
          </w:p>
        </w:tc>
        <w:tc>
          <w:tcPr>
            <w:tcW w:w="1872" w:type="dxa"/>
            <w:tcBorders/>
            <w:tcMar>
              <w:top w:w="100" w:type="dxa"/>
              <w:bottom w:w="100" w:type="dxa"/>
            </w:tcMar>
          </w:tcPr>
          <w:p>
            <w:pPr>
              <w:pStyle w:val="normal1"/>
              <w:keepNext/>
              <w:spacing w:lineRule="auto" w:line="276" w:before="0" w:after="0"/>
              <w:jc w:val="start"/>
              <w:rPr/>
            </w:pPr>
            <w:r>
              <w:rPr>
                <w:rFonts w:eastAsia="Times New Roman" w:cs="Times New Roman" w:ascii="Times New Roman" w:hAnsi="Times New Roman"/>
                <w:color w:val="000000"/>
                <w:sz w:val="20"/>
                <w:szCs w:val="20"/>
              </w:rPr>
              <w:t>Medio</w:t>
            </w:r>
          </w:p>
        </w:tc>
      </w:tr>
      <w:tr>
        <w:trPr/>
        <w:tc>
          <w:tcPr>
            <w:tcW w:w="1872" w:type="dxa"/>
            <w:tcBorders>
              <w:bottom w:val="single" w:sz="8" w:space="0" w:color="000000"/>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 xml:space="preserve">ST-10 / PLAT</w:t>
            </w:r>
          </w:p>
        </w:tc>
        <w:tc>
          <w:tcPr>
            <w:tcW w:w="1872" w:type="dxa"/>
            <w:tcBorders>
              <w:bottom w:val="single" w:sz="8" w:space="0" w:color="000000"/>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 xml:space="preserve">Administradores de la Plataforma (proveedor)</w:t>
            </w:r>
          </w:p>
        </w:tc>
        <w:tc>
          <w:tcPr>
            <w:tcW w:w="1872" w:type="dxa"/>
            <w:tcBorders>
              <w:bottom w:val="single" w:sz="8" w:space="0" w:color="000000"/>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 xml:space="preserve">Comercialización y solicitudes de planes, aprovisionamiento e infraestructura en la nube</w:t>
            </w:r>
          </w:p>
        </w:tc>
        <w:tc>
          <w:tcPr>
            <w:tcW w:w="1872" w:type="dxa"/>
            <w:tcBorders>
              <w:bottom w:val="single" w:sz="8" w:space="0" w:color="000000"/>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 xml:space="preserve">Alto</w:t>
            </w:r>
          </w:p>
        </w:tc>
        <w:tc>
          <w:tcPr>
            <w:tcW w:w="1872" w:type="dxa"/>
            <w:tcBorders>
              <w:bottom w:val="single" w:sz="8" w:space="0" w:color="000000"/>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 xml:space="preserve">Medio</w:t>
            </w:r>
          </w:p>
        </w:tc>
      </w:tr>
    </w:tbl>
    <w:p>
      <w:pPr>
        <w:pStyle w:val="normal1"/>
        <w:spacing w:lineRule="auto" w:line="276" w:before="80" w:after="240"/>
        <w:ind w:hanging="0"/>
        <w:jc w:val="start"/>
        <w:rPr/>
      </w:pPr>
      <w:r>
        <w:rPr>
          <w:rFonts w:eastAsia="Times New Roman" w:cs="Times New Roman" w:ascii="Times New Roman" w:hAnsi="Times New Roman"/>
          <w:i/>
          <w:iCs/>
          <w:color w:val="000000"/>
          <w:sz w:val="20"/>
          <w:szCs w:val="20"/>
        </w:rPr>
        <w:t xml:space="preserve">Nota. </w:t>
      </w:r>
      <w:r>
        <w:rPr>
          <w:rFonts w:eastAsia="Times New Roman" w:cs="Times New Roman" w:ascii="Times New Roman" w:hAnsi="Times New Roman"/>
          <w:color w:val="000000"/>
          <w:sz w:val="20"/>
          <w:szCs w:val="20"/>
        </w:rPr>
        <w:t>Matriz de caracterización de interesados ajustada al alcance del ejecutable de escritorio.</w:t>
      </w:r>
    </w:p>
    <w:p>
      <w:pPr>
        <w:pStyle w:val="normal1"/>
        <w:spacing w:lineRule="auto" w:line="480" w:before="240" w:after="120"/>
        <w:jc w:val="start"/>
        <w:rPr/>
      </w:pPr>
      <w:r>
        <w:rPr>
          <w:rFonts w:eastAsia="Times New Roman" w:cs="Times New Roman" w:ascii="Times New Roman" w:hAnsi="Times New Roman"/>
          <w:b/>
          <w:bCs/>
          <w:color w:val="000000"/>
          <w:sz w:val="24"/>
          <w:szCs w:val="24"/>
        </w:rPr>
        <w:t>4. Metodología y Forma de Trabajo (Scrum)</w:t>
      </w:r>
    </w:p>
    <w:p>
      <w:pPr>
        <w:pStyle w:val="normal1"/>
        <w:spacing w:lineRule="auto" w:line="480" w:before="0" w:after="0"/>
        <w:ind w:firstLine="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El desarrollo del ejecutable de escritorio SITBIO se gestiona mediante el marco de trabajo ágil Scrum, adaptado a iteraciones de dos semanas (Sprints), para un total de seis sprints a lo largo de las 12 semanas del proyecto. El trabajo se organiza en un tablero Kanban de cinco columnas: (a) Backlog, (b) To Do, (c) In Progress (Desarrollo C#/WPF), (d) Testing/QA (Pruebas unitarias e integrales) y (e) Done. </w:t>
      </w:r>
    </w:p>
    <w:p>
      <w:pPr>
        <w:pStyle w:val="normal1"/>
        <w:spacing w:lineRule="auto" w:line="480" w:before="240" w:after="120"/>
        <w:jc w:val="start"/>
        <w:rPr/>
      </w:pPr>
      <w:r>
        <w:rPr>
          <w:rFonts w:eastAsia="Times New Roman" w:cs="Times New Roman" w:ascii="Times New Roman" w:hAnsi="Times New Roman"/>
          <w:b/>
          <w:bCs/>
          <w:i/>
          <w:iCs/>
          <w:color w:val="000000"/>
          <w:sz w:val="24"/>
          <w:szCs w:val="24"/>
        </w:rPr>
        <w:t>4.1 Criterios de Calidad (DoR y DoD)</w:t>
      </w:r>
    </w:p>
    <w:p>
      <w:pPr>
        <w:pStyle w:val="normal1"/>
        <w:spacing w:lineRule="auto" w:line="480" w:before="0" w:after="0"/>
        <w:ind w:firstLine="720"/>
        <w:jc w:val="start"/>
        <w:rPr/>
      </w:pPr>
      <w:r>
        <w:rPr>
          <w:rFonts w:eastAsia="Times New Roman" w:cs="Times New Roman" w:ascii="Times New Roman" w:hAnsi="Times New Roman"/>
          <w:b/>
          <w:bCs/>
          <w:color w:val="000000"/>
          <w:sz w:val="24"/>
          <w:szCs w:val="24"/>
        </w:rPr>
        <w:t>Definition of Ready (DoR):</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 xml:space="preserve">Una Historia de Usuario estará lista para refinamiento y asignación técnica cuando cuente con la descripción formal en formato ‘Como / Quiero / Para’, los criterios de aceptación en sintaxis ‘Given / When / Then’, los maquetados aprobados para la interfaz WPF y las dependencias de base de datos (esquema relacional y colecciones MongoDB) resueltas. </w:t>
      </w:r>
    </w:p>
    <w:p>
      <w:pPr>
        <w:pStyle w:val="normal1"/>
        <w:spacing w:lineRule="auto" w:line="480" w:before="0" w:after="0"/>
        <w:ind w:firstLine="720"/>
        <w:jc w:val="start"/>
        <w:rPr/>
      </w:pPr>
      <w:r>
        <w:rPr>
          <w:rFonts w:eastAsia="Times New Roman" w:cs="Times New Roman" w:ascii="Times New Roman" w:hAnsi="Times New Roman"/>
          <w:b/>
          <w:bCs/>
          <w:color w:val="000000"/>
          <w:sz w:val="24"/>
          <w:szCs w:val="24"/>
        </w:rPr>
        <w:t>Definition of Done (DoD):</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 xml:space="preserve">Una Historia de Usuario se considerará completada cuando la interfaz gráfica en WPF cumpla los maquetados, el código C# esté integrado en la rama principal de Git, las pruebas unitarias e integrales ejecutadas por Héctor Steven Cuesta sean aprobadas por Juan José García Laverde sin defectos de nivel alto o bloqueante, y la funcionalidad esté documentada. </w:t>
      </w:r>
    </w:p>
    <w:p>
      <w:pPr>
        <w:pStyle w:val="normal1"/>
        <w:spacing w:lineRule="auto" w:line="480" w:before="240" w:after="120"/>
        <w:jc w:val="start"/>
        <w:rPr/>
      </w:pPr>
      <w:r>
        <w:rPr>
          <w:rFonts w:eastAsia="Times New Roman" w:cs="Times New Roman" w:ascii="Times New Roman" w:hAnsi="Times New Roman"/>
          <w:b/>
          <w:bCs/>
          <w:color w:val="000000"/>
          <w:sz w:val="24"/>
          <w:szCs w:val="24"/>
        </w:rPr>
        <w:t>5. Cronograma, Hitos y Roadmap de Planeación</w:t>
      </w:r>
    </w:p>
    <w:p>
      <w:pPr>
        <w:pStyle w:val="normal1"/>
        <w:spacing w:lineRule="auto" w:line="480" w:before="0" w:after="0"/>
        <w:ind w:firstLine="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La planeación temporal abarca un período de 12 semanas, alineado con las cuatro fases definidas en la Formulación y Constitución del Proyecto (análisis, diseño, desarrollo e integración, y pruebas y documentación), distribuido en seis Sprints de dos semanas enfocados en el cliente ejecutable de escritorio, sus servicios REST, el modelo de datos en MongoDB y el módulo analítico: </w:t>
      </w:r>
    </w:p>
    <w:p>
      <w:pPr>
        <w:pStyle w:val="normal1"/>
        <w:spacing w:lineRule="auto" w:line="480" w:before="240" w:after="0"/>
        <w:ind w:hanging="0"/>
        <w:jc w:val="start"/>
        <w:rPr/>
      </w:pPr>
      <w:r>
        <w:rPr>
          <w:rFonts w:eastAsia="Times New Roman" w:cs="Times New Roman" w:ascii="Times New Roman" w:hAnsi="Times New Roman"/>
          <w:b/>
          <w:bCs/>
          <w:color w:val="000000"/>
          <w:sz w:val="24"/>
          <w:szCs w:val="24"/>
        </w:rPr>
        <w:t>Tabla 3</w:t>
      </w:r>
    </w:p>
    <w:p>
      <w:pPr>
        <w:pStyle w:val="normal1"/>
        <w:spacing w:lineRule="auto" w:line="480" w:before="0" w:after="120"/>
        <w:ind w:hanging="0"/>
        <w:jc w:val="start"/>
        <w:rPr/>
      </w:pPr>
      <w:r>
        <w:rPr>
          <w:rFonts w:eastAsia="Times New Roman" w:cs="Times New Roman" w:ascii="Times New Roman" w:hAnsi="Times New Roman"/>
          <w:i/>
          <w:iCs/>
          <w:color w:val="000000"/>
          <w:sz w:val="24"/>
          <w:szCs w:val="24"/>
        </w:rPr>
        <w:t>Roadmap General de Planeación por Sprints para SITBIO</w:t>
      </w:r>
    </w:p>
    <w:tbl>
      <w:tblPr>
        <w:tblStyle w:val="Table3"/>
        <w:tblW w:w="9360" w:type="dxa"/>
        <w:jc w:val="center"/>
        <w:tblInd w:w="0" w:type="dxa"/>
        <w:tblLayout w:type="fixed"/>
        <w:tblCellMar>
          <w:top w:w="120" w:type="dxa"/>
          <w:start w:w="150" w:type="dxa"/>
          <w:bottom w:w="120" w:type="dxa"/>
          <w:end w:w="150" w:type="dxa"/>
        </w:tblCellMar>
        <w:tblLook w:val="0400"/>
      </w:tblPr>
      <w:tblGrid>
        <w:gridCol w:w="2340"/>
        <w:gridCol w:w="2340"/>
        <w:gridCol w:w="2340"/>
        <w:gridCol w:w="2340"/>
      </w:tblGrid>
      <w:tr>
        <w:trPr>
          <w:tblHeader w:val="true"/>
        </w:trPr>
        <w:tc>
          <w:tcPr>
            <w:tcW w:w="2340"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color w:val="000000"/>
                <w:sz w:val="21"/>
                <w:szCs w:val="21"/>
              </w:rPr>
              <w:t>Sprint / Periodo</w:t>
            </w:r>
          </w:p>
        </w:tc>
        <w:tc>
          <w:tcPr>
            <w:tcW w:w="2340"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color w:val="000000"/>
                <w:sz w:val="21"/>
                <w:szCs w:val="21"/>
              </w:rPr>
              <w:t>Módulo / Enfoque Técnico</w:t>
            </w:r>
          </w:p>
        </w:tc>
        <w:tc>
          <w:tcPr>
            <w:tcW w:w="2340"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color w:val="000000"/>
                <w:sz w:val="21"/>
                <w:szCs w:val="21"/>
              </w:rPr>
              <w:t>Entregables Principales</w:t>
            </w:r>
          </w:p>
        </w:tc>
        <w:tc>
          <w:tcPr>
            <w:tcW w:w="2340"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color w:val="000000"/>
                <w:sz w:val="21"/>
                <w:szCs w:val="21"/>
              </w:rPr>
              <w:t>Responsables</w:t>
            </w:r>
          </w:p>
        </w:tc>
      </w:tr>
      <w:tr>
        <w:trPr/>
        <w:tc>
          <w:tcPr>
            <w:tcW w:w="2340"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Sprint 1 (Sem. 1-2)</w:t>
            </w:r>
          </w:p>
        </w:tc>
        <w:tc>
          <w:tcPr>
            <w:tcW w:w="2340" w:type="dxa"/>
            <w:tcBorders/>
            <w:tcMar>
              <w:top w:w="100" w:type="dxa"/>
              <w:bottom w:w="100" w:type="dxa"/>
            </w:tcMar>
          </w:tcPr>
          <w:p>
            <w:pPr>
              <w:pStyle w:val="normal1"/>
              <w:spacing w:lineRule="auto" w:line="276" w:before="0" w:after="0"/>
              <w:jc w:val="star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Ingeniería de Requisitos </w:t>
            </w:r>
          </w:p>
        </w:tc>
        <w:tc>
          <w:tcPr>
            <w:tcW w:w="2340" w:type="dxa"/>
            <w:tcBorders/>
            <w:tcMar>
              <w:top w:w="100" w:type="dxa"/>
              <w:bottom w:w="100" w:type="dxa"/>
            </w:tcMar>
          </w:tcPr>
          <w:p>
            <w:pPr>
              <w:pStyle w:val="normal1"/>
              <w:spacing w:lineRule="auto" w:line="276" w:before="0" w:after="0"/>
              <w:jc w:val="star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Requisitos funcionales y normativos, historias de usuario, modelo conceptual </w:t>
            </w:r>
          </w:p>
        </w:tc>
        <w:tc>
          <w:tcPr>
            <w:tcW w:w="2340" w:type="dxa"/>
            <w:tcBorders/>
            <w:tcMar>
              <w:top w:w="100" w:type="dxa"/>
              <w:bottom w:w="100" w:type="dxa"/>
            </w:tcMar>
          </w:tcPr>
          <w:p>
            <w:pPr>
              <w:pStyle w:val="normal1"/>
              <w:spacing w:lineRule="auto" w:line="276" w:before="0" w:after="0"/>
              <w:jc w:val="star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Juan José García &amp; Miguel Ocampo </w:t>
            </w:r>
          </w:p>
        </w:tc>
      </w:tr>
      <w:tr>
        <w:trPr/>
        <w:tc>
          <w:tcPr>
            <w:tcW w:w="2340"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Sprint 2 (Sem. 3-4)</w:t>
            </w:r>
          </w:p>
        </w:tc>
        <w:tc>
          <w:tcPr>
            <w:tcW w:w="2340" w:type="dxa"/>
            <w:tcBorders/>
            <w:tcMar>
              <w:top w:w="100" w:type="dxa"/>
              <w:bottom w:w="100" w:type="dxa"/>
            </w:tcMar>
          </w:tcPr>
          <w:p>
            <w:pPr>
              <w:pStyle w:val="normal1"/>
              <w:spacing w:lineRule="auto" w:line="276" w:before="0" w:after="0"/>
              <w:jc w:val="star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Arquitectura, Maquetación y Modelo de Datos </w:t>
            </w:r>
          </w:p>
        </w:tc>
        <w:tc>
          <w:tcPr>
            <w:tcW w:w="2340" w:type="dxa"/>
            <w:tcBorders/>
            <w:tcMar>
              <w:top w:w="100" w:type="dxa"/>
              <w:bottom w:w="100" w:type="dxa"/>
            </w:tcMar>
          </w:tcPr>
          <w:p>
            <w:pPr>
              <w:pStyle w:val="normal1"/>
              <w:spacing w:lineRule="auto" w:line="276" w:before="0" w:after="0"/>
              <w:jc w:val="star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Arquitectura cliente-servidor, maquetas WPF, modelo relacional y modelo de documentos MongoDB </w:t>
            </w:r>
          </w:p>
        </w:tc>
        <w:tc>
          <w:tcPr>
            <w:tcW w:w="2340"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Héctor Cuesta &amp; Miguel Ocampo</w:t>
            </w:r>
            <w:r>
              <w:rPr>
                <w:sz w:val="20"/>
                <w:szCs w:val="20"/>
              </w:rPr>
              <w:t xml:space="preserve">Esteban Bedoya, Héctor Cuesta &amp; Miguel Ocampo </w:t>
            </w:r>
          </w:p>
        </w:tc>
      </w:tr>
      <w:tr>
        <w:trPr/>
        <w:tc>
          <w:tcPr>
            <w:tcW w:w="2340"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Sprint 3 (Sem. 5-6)</w:t>
            </w:r>
          </w:p>
        </w:tc>
        <w:tc>
          <w:tcPr>
            <w:tcW w:w="2340" w:type="dxa"/>
            <w:tcBorders/>
            <w:tcMar>
              <w:top w:w="100" w:type="dxa"/>
              <w:bottom w:w="100" w:type="dxa"/>
            </w:tcMar>
          </w:tcPr>
          <w:p>
            <w:pPr>
              <w:pStyle w:val="normal1"/>
              <w:spacing w:lineRule="auto" w:line="276" w:before="0" w:after="0"/>
              <w:jc w:val="star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Seguridad y Gestión de Activos </w:t>
            </w:r>
          </w:p>
        </w:tc>
        <w:tc>
          <w:tcPr>
            <w:tcW w:w="2340" w:type="dxa"/>
            <w:tcBorders/>
            <w:tcMar>
              <w:top w:w="100" w:type="dxa"/>
              <w:bottom w:w="100" w:type="dxa"/>
            </w:tcMar>
          </w:tcPr>
          <w:p>
            <w:pPr>
              <w:pStyle w:val="normal1"/>
              <w:spacing w:lineRule="auto" w:line="276" w:before="0" w:after="0"/>
              <w:jc w:val="star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Cliente WPF base, API de autenticación (JWT/BCrypt), RBAC, inventario y hojas de vida </w:t>
            </w:r>
          </w:p>
        </w:tc>
        <w:tc>
          <w:tcPr>
            <w:tcW w:w="2340"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Miguel Ocampo &amp; Esteban Bedoya</w:t>
            </w:r>
          </w:p>
        </w:tc>
      </w:tr>
      <w:tr>
        <w:trPr/>
        <w:tc>
          <w:tcPr>
            <w:tcW w:w="2340"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Sprint 4 (Sem. 7-8)</w:t>
            </w:r>
          </w:p>
        </w:tc>
        <w:tc>
          <w:tcPr>
            <w:tcW w:w="2340"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Solicitudes, Órdenes e Intervenciones </w:t>
            </w:r>
          </w:p>
        </w:tc>
        <w:tc>
          <w:tcPr>
            <w:tcW w:w="2340"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Tickets de falla, asignación de órdenes, intervenciones en MongoDB y motor de camposDinamicos </w:t>
            </w:r>
          </w:p>
        </w:tc>
        <w:tc>
          <w:tcPr>
            <w:tcW w:w="2340"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Miguel Ocampo, Esteban Bedoya &amp; Héctor Cuesta </w:t>
            </w:r>
          </w:p>
        </w:tc>
      </w:tr>
      <w:tr>
        <w:trPr/>
        <w:tc>
          <w:tcPr>
            <w:tcW w:w="2340"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Sprint 5 (Sem. 9-10) </w:t>
            </w:r>
          </w:p>
        </w:tc>
        <w:tc>
          <w:tcPr>
            <w:tcW w:w="2340"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Analítica y Reportes </w:t>
            </w:r>
          </w:p>
        </w:tc>
        <w:tc>
          <w:tcPr>
            <w:tcW w:w="2340"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Pipeline Python (PyMongo, Pandas, K-Means), reportes PDF/Excel e integración general </w:t>
            </w:r>
          </w:p>
        </w:tc>
        <w:tc>
          <w:tcPr>
            <w:tcW w:w="2340"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Esteban Bedoya &amp; Equipo completo </w:t>
            </w:r>
          </w:p>
        </w:tc>
      </w:tr>
      <w:tr>
        <w:trPr/>
        <w:tc>
          <w:tcPr>
            <w:tcW w:w="2340" w:type="dxa"/>
            <w:tcBorders>
              <w:bottom w:val="single" w:sz="8" w:space="0" w:color="000000"/>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Sprint 6 (Sem. 11-12) </w:t>
            </w:r>
          </w:p>
        </w:tc>
        <w:tc>
          <w:tcPr>
            <w:tcW w:w="2340" w:type="dxa"/>
            <w:tcBorders>
              <w:bottom w:val="single" w:sz="8" w:space="0" w:color="000000"/>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Pruebas, Ajustes y Cierre </w:t>
            </w:r>
          </w:p>
        </w:tc>
        <w:tc>
          <w:tcPr>
            <w:tcW w:w="2340" w:type="dxa"/>
            <w:tcBorders>
              <w:bottom w:val="single" w:sz="8" w:space="0" w:color="000000"/>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Pruebas funcionales e integrales, correcciones, manuales y cierre del MVP </w:t>
            </w:r>
          </w:p>
        </w:tc>
        <w:tc>
          <w:tcPr>
            <w:tcW w:w="2340" w:type="dxa"/>
            <w:tcBorders>
              <w:bottom w:val="single" w:sz="8" w:space="0" w:color="000000"/>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Héctor Cuesta, Juan José García &amp; Equipo completo </w:t>
            </w:r>
          </w:p>
        </w:tc>
      </w:tr>
    </w:tbl>
    <w:p>
      <w:pPr>
        <w:pStyle w:val="normal1"/>
        <w:spacing w:lineRule="auto" w:line="276" w:before="80" w:after="240"/>
        <w:ind w:hanging="0"/>
        <w:jc w:val="start"/>
        <w:rPr/>
      </w:pPr>
      <w:r>
        <w:rPr>
          <w:rFonts w:eastAsia="Times New Roman" w:cs="Times New Roman" w:ascii="Times New Roman" w:hAnsi="Times New Roman"/>
          <w:i/>
          <w:iCs/>
          <w:color w:val="000000"/>
          <w:sz w:val="20"/>
          <w:szCs w:val="20"/>
        </w:rPr>
        <w:t xml:space="preserve">Nota. </w:t>
      </w:r>
      <w:r>
        <w:rPr>
          <w:rFonts w:eastAsia="Times New Roman" w:cs="Times New Roman" w:ascii="Times New Roman" w:hAnsi="Times New Roman"/>
          <w:color w:val="000000"/>
          <w:sz w:val="20"/>
          <w:szCs w:val="20"/>
        </w:rPr>
        <w:t>Cronograma de planeación ajustado a la ejecución del prototipo ejecutable de escritorio.</w:t>
      </w:r>
    </w:p>
    <w:p>
      <w:pPr>
        <w:pStyle w:val="normal1"/>
        <w:spacing w:lineRule="auto" w:line="480" w:before="240" w:after="120"/>
        <w:jc w:val="start"/>
        <w:rPr/>
      </w:pPr>
      <w:r>
        <w:rPr>
          <w:rFonts w:eastAsia="Times New Roman" w:cs="Times New Roman" w:ascii="Times New Roman" w:hAnsi="Times New Roman"/>
          <w:b/>
          <w:bCs/>
          <w:color w:val="000000"/>
          <w:sz w:val="24"/>
          <w:szCs w:val="24"/>
        </w:rPr>
        <w:t>6. Identificación y Gestión de Riesgos</w:t>
      </w:r>
    </w:p>
    <w:p>
      <w:pPr>
        <w:pStyle w:val="normal1"/>
        <w:spacing w:lineRule="auto" w:line="480" w:before="0" w:after="0"/>
        <w:ind w:firstLine="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Los riesgos iniciales RSK-01 a RSK-05, identificados en la Formulación y Constitución del Proyecto, se mantienen vigentes. Para la etapa de ejecución se identificaron cinco riesgos adicionales de la aplicación de escritorio y su modelo SaaS, estableciendo medidas preventivas y de mitigación: </w:t>
      </w:r>
    </w:p>
    <w:p>
      <w:pPr>
        <w:pStyle w:val="normal1"/>
        <w:spacing w:lineRule="auto" w:line="480" w:before="0" w:after="0"/>
        <w:ind w:firstLine="720"/>
        <w:jc w:val="start"/>
        <w:rPr/>
      </w:pPr>
      <w:r>
        <w:rPr>
          <w:rFonts w:eastAsia="Times New Roman" w:cs="Times New Roman" w:ascii="Times New Roman" w:hAnsi="Times New Roman"/>
          <w:b/>
          <w:bCs/>
          <w:color w:val="000000"/>
          <w:sz w:val="24"/>
          <w:szCs w:val="24"/>
        </w:rPr>
        <w:t>a) RSK-06 (Inconsistencia de datos entre cliente de escritorio y backend):</w:t>
      </w:r>
      <w:r>
        <w:rPr>
          <w:rFonts w:eastAsia="Times New Roman" w:cs="Times New Roman" w:ascii="Times New Roman" w:hAnsi="Times New Roman"/>
          <w:color w:val="000000"/>
          <w:sz w:val="24"/>
          <w:szCs w:val="24"/>
        </w:rPr>
        <w:t xml:space="preserve"> Mitigado mediante validaciones strictly en la capa WPF y manejo de DTOs tipados en la API REST.</w:t>
      </w:r>
    </w:p>
    <w:p>
      <w:pPr>
        <w:pStyle w:val="normal1"/>
        <w:spacing w:lineRule="auto" w:line="480" w:before="0" w:after="0"/>
        <w:ind w:firstLine="720"/>
        <w:jc w:val="start"/>
        <w:rPr/>
      </w:pPr>
      <w:r>
        <w:rPr>
          <w:rFonts w:eastAsia="Times New Roman" w:cs="Times New Roman" w:ascii="Times New Roman" w:hAnsi="Times New Roman"/>
          <w:b/>
          <w:bCs/>
          <w:color w:val="000000"/>
          <w:sz w:val="24"/>
          <w:szCs w:val="24"/>
        </w:rPr>
        <w:t>b) RSK-07 (Aislamiento Multi-tenant inadecuado):</w:t>
      </w:r>
      <w:r>
        <w:rPr>
          <w:rFonts w:eastAsia="Times New Roman" w:cs="Times New Roman" w:ascii="Times New Roman" w:hAnsi="Times New Roman"/>
          <w:color w:val="000000"/>
          <w:sz w:val="24"/>
          <w:szCs w:val="24"/>
        </w:rPr>
        <w:t xml:space="preserve"> Mitigado mediante la inclusión del tenant_id obligatorio en la cabecera JWT yel filtrado por TenantId a nivel de repositorios en PostgreSQL y de consultas en MongoDB.</w:t>
      </w:r>
    </w:p>
    <w:p>
      <w:pPr>
        <w:pStyle w:val="normal1"/>
        <w:spacing w:lineRule="auto" w:line="480" w:before="0" w:after="0"/>
        <w:ind w:firstLine="720"/>
        <w:jc w:val="start"/>
        <w:rPr/>
      </w:pPr>
      <w:r>
        <w:rPr>
          <w:rFonts w:eastAsia="Times New Roman" w:cs="Times New Roman" w:ascii="Times New Roman" w:hAnsi="Times New Roman"/>
          <w:b/>
          <w:bCs/>
          <w:color w:val="000000"/>
          <w:sz w:val="24"/>
          <w:szCs w:val="24"/>
        </w:rPr>
        <w:t>c) RSK-08 (Complejidad en el rendimiento de interfaz WPF):</w:t>
      </w:r>
      <w:r>
        <w:rPr>
          <w:rFonts w:eastAsia="Times New Roman" w:cs="Times New Roman" w:ascii="Times New Roman" w:hAnsi="Times New Roman"/>
          <w:color w:val="000000"/>
          <w:sz w:val="24"/>
          <w:szCs w:val="24"/>
        </w:rPr>
        <w:t xml:space="preserve"> Mitigado mediante el patrón MVVM y llamadas asincrónicas (async/await) para evitar el congelamiento del hilo principal de la UI.</w:t>
      </w:r>
    </w:p>
    <w:p>
      <w:pPr>
        <w:pStyle w:val="normal1"/>
        <w:spacing w:lineRule="auto" w:line="480" w:before="0" w:after="0"/>
        <w:ind w:firstLine="720"/>
        <w:jc w:val="start"/>
        <w:rPr/>
      </w:pPr>
      <w:r>
        <w:rPr>
          <w:rFonts w:eastAsia="Times New Roman" w:cs="Times New Roman" w:ascii="Times New Roman" w:hAnsi="Times New Roman"/>
          <w:b/>
          <w:bCs/>
          <w:color w:val="000000"/>
          <w:sz w:val="24"/>
          <w:szCs w:val="24"/>
        </w:rPr>
        <w:t>d) RSK-09 (Incompatibilidad en despliegue en clientes de escritorio):</w:t>
      </w:r>
      <w:r>
        <w:rPr>
          <w:rFonts w:eastAsia="Times New Roman" w:cs="Times New Roman" w:ascii="Times New Roman" w:hAnsi="Times New Roman"/>
          <w:color w:val="000000"/>
          <w:sz w:val="24"/>
          <w:szCs w:val="24"/>
        </w:rPr>
        <w:t xml:space="preserve"> Mitigado generando instaladores auto-contenidos con runtime .NET integrado.</w:t>
      </w:r>
    </w:p>
    <w:p>
      <w:pPr>
        <w:pStyle w:val="normal1"/>
        <w:spacing w:lineRule="auto" w:line="480" w:before="0" w:after="0"/>
        <w:ind w:firstLine="720"/>
        <w:jc w:val="start"/>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RSK-10 (Desfase del cronograma por la incorporación de MongoDB y del módulo analítico):</w:t>
      </w:r>
      <w:r>
        <w:rPr>
          <w:rFonts w:eastAsia="Times New Roman" w:cs="Times New Roman" w:ascii="Times New Roman" w:hAnsi="Times New Roman"/>
          <w:color w:val="000000"/>
          <w:sz w:val="24"/>
          <w:szCs w:val="24"/>
        </w:rPr>
        <w:t xml:space="preserve"> Mitigado priorizando el MVP en el backlog, dedicando el Sprint 5 al pipeline analítico y a los reportes, y validando el modelo de documentos MongoDB desde el Sprint 2. </w:t>
      </w:r>
    </w:p>
    <w:p>
      <w:pPr>
        <w:pStyle w:val="normal1"/>
        <w:spacing w:lineRule="auto" w:line="480" w:before="240" w:after="120"/>
        <w:jc w:val="start"/>
        <w:rPr/>
      </w:pPr>
      <w:r>
        <w:rPr>
          <w:rFonts w:eastAsia="Times New Roman" w:cs="Times New Roman" w:ascii="Times New Roman" w:hAnsi="Times New Roman"/>
          <w:b/>
          <w:bCs/>
          <w:color w:val="000000"/>
          <w:sz w:val="24"/>
          <w:szCs w:val="24"/>
        </w:rPr>
        <w:t>7. Asignación de Responsabilidades (Matriz RACI)</w:t>
      </w:r>
    </w:p>
    <w:p>
      <w:pPr>
        <w:pStyle w:val="normal1"/>
        <w:spacing w:lineRule="auto" w:line="480" w:before="0" w:after="0"/>
        <w:ind w:firstLine="720"/>
        <w:jc w:val="start"/>
        <w:rPr/>
      </w:pPr>
      <w:r>
        <w:rPr>
          <w:rFonts w:eastAsia="Times New Roman" w:cs="Times New Roman" w:ascii="Times New Roman" w:hAnsi="Times New Roman"/>
          <w:color w:val="000000"/>
          <w:sz w:val="24"/>
          <w:szCs w:val="24"/>
        </w:rPr>
        <w:t>La asignación de responsabilidades de los cuatro desarrolladores para los entregables clave del ejecutable de escritorio se formaliza en la Tabla 4:</w:t>
      </w:r>
    </w:p>
    <w:p>
      <w:pPr>
        <w:pStyle w:val="normal1"/>
        <w:spacing w:lineRule="auto" w:line="480" w:before="240" w:after="0"/>
        <w:ind w:hanging="0"/>
        <w:jc w:val="start"/>
        <w:rPr/>
      </w:pPr>
      <w:r>
        <w:rPr>
          <w:rFonts w:eastAsia="Times New Roman" w:cs="Times New Roman" w:ascii="Times New Roman" w:hAnsi="Times New Roman"/>
          <w:b/>
          <w:bCs/>
          <w:color w:val="000000"/>
          <w:sz w:val="24"/>
          <w:szCs w:val="24"/>
        </w:rPr>
        <w:t>Tabla 4</w:t>
      </w:r>
    </w:p>
    <w:p>
      <w:pPr>
        <w:pStyle w:val="normal1"/>
        <w:spacing w:lineRule="auto" w:line="480" w:before="0" w:after="120"/>
        <w:ind w:hanging="0"/>
        <w:jc w:val="start"/>
        <w:rPr/>
      </w:pPr>
      <w:r>
        <w:rPr>
          <w:rFonts w:eastAsia="Times New Roman" w:cs="Times New Roman" w:ascii="Times New Roman" w:hAnsi="Times New Roman"/>
          <w:i/>
          <w:iCs/>
          <w:color w:val="000000"/>
          <w:sz w:val="24"/>
          <w:szCs w:val="24"/>
        </w:rPr>
        <w:t>Matriz RACI de Responsabilidades por Integrante del Equipo</w:t>
      </w:r>
    </w:p>
    <w:tbl>
      <w:tblPr>
        <w:tblStyle w:val="Table4"/>
        <w:tblW w:w="9360" w:type="dxa"/>
        <w:jc w:val="center"/>
        <w:tblInd w:w="0" w:type="dxa"/>
        <w:tblLayout w:type="fixed"/>
        <w:tblCellMar>
          <w:top w:w="120" w:type="dxa"/>
          <w:start w:w="150" w:type="dxa"/>
          <w:bottom w:w="120" w:type="dxa"/>
          <w:end w:w="150" w:type="dxa"/>
        </w:tblCellMar>
        <w:tblLook w:val="0400"/>
      </w:tblPr>
      <w:tblGrid>
        <w:gridCol w:w="1872"/>
        <w:gridCol w:w="1872"/>
        <w:gridCol w:w="1872"/>
        <w:gridCol w:w="1872"/>
        <w:gridCol w:w="1872"/>
      </w:tblGrid>
      <w:tr>
        <w:trPr>
          <w:tblHeader w:val="true"/>
        </w:trPr>
        <w:tc>
          <w:tcPr>
            <w:tcW w:w="1872"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color w:val="000000"/>
                <w:sz w:val="21"/>
                <w:szCs w:val="21"/>
              </w:rPr>
              <w:t>Entregable / Actividad</w:t>
            </w:r>
          </w:p>
        </w:tc>
        <w:tc>
          <w:tcPr>
            <w:tcW w:w="1872"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color w:val="000000"/>
                <w:sz w:val="21"/>
                <w:szCs w:val="21"/>
              </w:rPr>
              <w:t>Miguel Ocampo</w:t>
            </w:r>
          </w:p>
        </w:tc>
        <w:tc>
          <w:tcPr>
            <w:tcW w:w="1872"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color w:val="000000"/>
                <w:sz w:val="21"/>
                <w:szCs w:val="21"/>
              </w:rPr>
              <w:t>Esteban Bedoya</w:t>
            </w:r>
          </w:p>
        </w:tc>
        <w:tc>
          <w:tcPr>
            <w:tcW w:w="1872"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color w:val="000000"/>
                <w:sz w:val="21"/>
                <w:szCs w:val="21"/>
              </w:rPr>
              <w:t>Héctor Cuesta</w:t>
            </w:r>
          </w:p>
        </w:tc>
        <w:tc>
          <w:tcPr>
            <w:tcW w:w="1872" w:type="dxa"/>
            <w:tcBorders>
              <w:top w:val="single" w:sz="8" w:space="0" w:color="000000"/>
              <w:bottom w:val="single" w:sz="8" w:space="0" w:color="000000"/>
            </w:tcBorders>
          </w:tcPr>
          <w:p>
            <w:pPr>
              <w:pStyle w:val="normal1"/>
              <w:spacing w:lineRule="auto" w:line="276" w:before="0" w:after="0"/>
              <w:jc w:val="start"/>
              <w:rPr/>
            </w:pPr>
            <w:r>
              <w:rPr>
                <w:rFonts w:eastAsia="Times New Roman" w:cs="Times New Roman" w:ascii="Times New Roman" w:hAnsi="Times New Roman"/>
                <w:b/>
                <w:bCs/>
                <w:sz w:val="21"/>
                <w:szCs w:val="21"/>
              </w:rPr>
              <w:t>Juan Jose Garcia Laverde</w:t>
            </w:r>
          </w:p>
        </w:tc>
      </w:tr>
      <w:tr>
        <w:trPr/>
        <w:tc>
          <w:tcPr>
            <w:tcW w:w="1872" w:type="dxa"/>
            <w:tcBorders/>
            <w:tcMar>
              <w:top w:w="100" w:type="dxa"/>
              <w:bottom w:w="100" w:type="dxa"/>
            </w:tcMar>
          </w:tcPr>
          <w:p>
            <w:pPr>
              <w:pStyle w:val="normal1"/>
              <w:spacing w:lineRule="auto" w:line="276" w:before="0" w:after="0"/>
              <w:jc w:val="star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Análisis de requisitos y modelo conceptual </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C</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I</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R</w:t>
            </w:r>
          </w:p>
        </w:tc>
      </w:tr>
      <w:tr>
        <w:trPr/>
        <w:tc>
          <w:tcPr>
            <w:tcW w:w="1872" w:type="dxa"/>
            <w:tcBorders/>
            <w:tcMar>
              <w:top w:w="100" w:type="dxa"/>
              <w:bottom w:w="100" w:type="dxa"/>
            </w:tcMar>
          </w:tcPr>
          <w:p>
            <w:pPr>
              <w:pStyle w:val="normal1"/>
              <w:spacing w:lineRule="auto" w:line="276" w:before="0" w:after="0"/>
              <w:jc w:val="star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Diseño de interfaz de escritorio WPF </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A/R</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C</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I</w:t>
            </w:r>
          </w:p>
        </w:tc>
        <w:tc>
          <w:tcPr>
            <w:tcW w:w="1872" w:type="dxa"/>
            <w:tcBorders/>
            <w:tcMar>
              <w:top w:w="100" w:type="dxa"/>
              <w:bottom w:w="100" w:type="dxa"/>
            </w:tcMar>
          </w:tcPr>
          <w:p>
            <w:pPr>
              <w:pStyle w:val="normal1"/>
              <w:spacing w:lineRule="auto" w:line="276" w:before="0" w:after="0"/>
              <w:jc w:val="start"/>
              <w:rPr/>
            </w:pPr>
            <w:r>
              <w:rPr>
                <w:rFonts w:eastAsia="Times New Roman" w:cs="Times New Roman" w:ascii="Times New Roman" w:hAnsi="Times New Roman"/>
                <w:color w:val="000000"/>
                <w:sz w:val="20"/>
                <w:szCs w:val="20"/>
              </w:rPr>
              <w:t>C</w:t>
            </w:r>
          </w:p>
        </w:tc>
      </w:tr>
      <w:tr>
        <w:trPr/>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API REST, JWT/BCrypt y RBAC </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A</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R</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C</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I</w:t>
            </w:r>
          </w:p>
        </w:tc>
      </w:tr>
      <w:tr>
        <w:trPr/>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Base de datos PostgreSQL y multi-tenant </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A</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C</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R</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I</w:t>
            </w:r>
          </w:p>
        </w:tc>
      </w:tr>
      <w:tr>
        <w:trPr/>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Intervenciones en MongoDB y camposDinamicos </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A</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R</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R</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I</w:t>
            </w:r>
          </w:p>
        </w:tc>
      </w:tr>
      <w:tr>
        <w:trPr/>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Pipeline analítico en Python (Pandas y K-Means) </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A</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R</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C</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I</w:t>
            </w:r>
          </w:p>
        </w:tc>
      </w:tr>
      <w:tr>
        <w:trPr/>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Pruebas funcionales y de integración </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A</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C</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R</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C</w:t>
            </w:r>
          </w:p>
        </w:tc>
      </w:tr>
      <w:tr>
        <w:trPr/>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Plan de calidad y control de defectos </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A</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C</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C</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R</w:t>
            </w:r>
          </w:p>
        </w:tc>
      </w:tr>
      <w:tr>
        <w:trPr/>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Documentación Técnica y Manuales</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A/R</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R</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R</w:t>
            </w:r>
          </w:p>
        </w:tc>
        <w:tc>
          <w:tcPr>
            <w:tcW w:w="1872" w:type="dxa"/>
            <w:tcBorders/>
            <w:tcMar>
              <w:top w:w="100" w:type="dxa"/>
              <w:bottom w:w="100" w:type="dxa"/>
            </w:tcMar>
          </w:tcPr>
          <w:p>
            <w:pPr>
              <w:pStyle w:val="normal1"/>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R</w:t>
            </w:r>
          </w:p>
        </w:tc>
      </w:tr>
    </w:tbl>
    <w:p>
      <w:pPr>
        <w:pStyle w:val="normal1"/>
        <w:spacing w:lineRule="auto" w:line="276" w:before="80" w:after="240"/>
        <w:ind w:hanging="0"/>
        <w:jc w:val="start"/>
        <w:rPr>
          <w:rFonts w:ascii="Times New Roman" w:hAnsi="Times New Roman" w:eastAsia="Times New Roman" w:cs="Times New Roman"/>
          <w:color w:val="000000"/>
          <w:sz w:val="20"/>
          <w:szCs w:val="20"/>
        </w:rPr>
      </w:pPr>
      <w:r>
        <w:rPr>
          <w:rStyle w:val="Emphasis"/>
          <w:rFonts w:eastAsia="Times New Roman" w:cs="Times New Roman" w:ascii="Times New Roman" w:hAnsi="Times New Roman"/>
          <w:color w:val="000000"/>
          <w:sz w:val="20"/>
          <w:szCs w:val="20"/>
        </w:rPr>
        <w:t>Nota.</w:t>
      </w:r>
      <w:r>
        <w:rPr>
          <w:rFonts w:eastAsia="Times New Roman" w:cs="Times New Roman" w:ascii="Times New Roman" w:hAnsi="Times New Roman"/>
          <w:color w:val="000000"/>
          <w:sz w:val="20"/>
          <w:szCs w:val="20"/>
        </w:rPr>
        <w:t xml:space="preserve"> Convenciones RACI: R = Responsable de ejecución, A = Aprobador final, C = Consultado, I = Informado. Se asigna un único aprobador por actividad. </w:t>
      </w:r>
    </w:p>
    <w:p>
      <w:pPr>
        <w:pStyle w:val="normal1"/>
        <w:spacing w:lineRule="auto" w:line="480" w:before="240" w:after="120"/>
        <w:jc w:val="start"/>
        <w:rPr/>
      </w:pPr>
      <w:r>
        <w:rPr>
          <w:rFonts w:eastAsia="Times New Roman" w:cs="Times New Roman" w:ascii="Times New Roman" w:hAnsi="Times New Roman"/>
          <w:b/>
          <w:bCs/>
          <w:color w:val="000000"/>
          <w:sz w:val="24"/>
          <w:szCs w:val="24"/>
        </w:rPr>
        <w:t>8. Mecanismos de Seguimiento, Control y Calidad</w:t>
      </w:r>
    </w:p>
    <w:p>
      <w:pPr>
        <w:pStyle w:val="normal1"/>
        <w:spacing w:lineRule="auto" w:line="480" w:before="0" w:after="0"/>
        <w:ind w:firstLine="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El control operativo del proyecto se fundamenta en tres mecanismos principales: (a) Sincronización diaria breve de 15 minutos (Daily Standup) para identificar bloqueos técnicos, (b) Revisiones quincenales de avance (Sprint Review) con demostración del ejecutable WPF funcional, y (c) Medición mediante indicadores clave (KPIs) de velocidad de equipo, porcentaje de cobertura de pruebas QA (&gt;80%), cero defectos bloqueantes no resueltos, trazabilidad del 100% de las peticiones de mantenimiento desde su creación hasta el cierre de la orden de trabajo, y aislamiento total de la información entre tenants. </w:t>
      </w:r>
    </w:p>
    <w:p>
      <w:pPr>
        <w:pStyle w:val="normal1"/>
        <w:spacing w:lineRule="auto" w:line="480" w:before="240" w:after="120"/>
        <w:jc w:val="start"/>
        <w:rPr/>
      </w:pPr>
      <w:r>
        <w:rPr>
          <w:rFonts w:eastAsia="Times New Roman" w:cs="Times New Roman" w:ascii="Times New Roman" w:hAnsi="Times New Roman"/>
          <w:b/>
          <w:bCs/>
          <w:color w:val="000000"/>
          <w:sz w:val="24"/>
          <w:szCs w:val="24"/>
        </w:rPr>
        <w:t>Referencias Bibliográficas</w:t>
      </w:r>
    </w:p>
    <w:p>
      <w:pPr>
        <w:pStyle w:val="Normal"/>
        <w:spacing w:lineRule="auto" w:line="480" w:before="0" w:after="120"/>
        <w:ind w:hanging="720" w:start="720"/>
        <w:jc w:val="start"/>
        <w:rPr>
          <w:rFonts w:ascii="Times New Roman" w:hAnsi="Times New Roman" w:eastAsia="Times New Roman" w:cs="Times New Roman"/>
          <w:color w:val="000000"/>
          <w:sz w:val="24"/>
          <w:szCs w:val="24"/>
        </w:rPr>
      </w:pPr>
      <w:bookmarkStart w:id="0" w:name="docs-internal-guid-067fde8c-7fff-c70b-0e"/>
      <w:bookmarkEnd w:id="0"/>
      <w:r>
        <w:rPr>
          <w:rFonts w:eastAsia="Times New Roman" w:cs="Times New Roman" w:ascii="Times New Roman;serif" w:hAnsi="Times New Roman;serif"/>
          <w:b w:val="false"/>
          <w:i w:val="false"/>
          <w:caps w:val="false"/>
          <w:smallCaps w:val="false"/>
          <w:strike w:val="false"/>
          <w:dstrike w:val="false"/>
          <w:color w:val="000000"/>
          <w:sz w:val="24"/>
          <w:szCs w:val="24"/>
          <w:u w:val="none"/>
          <w:effect w:val="none"/>
          <w:shd w:fill="auto" w:val="clear"/>
        </w:rPr>
        <w:t xml:space="preserve">Camacho-Cogollo, J. E., Martínez-Vega, R. A., &amp; Rodríguez-Morales, C. A. (2020). Evaluación del cumplimiento de programas de mantenimiento y calibración en equipamiento biomédico hospitalario. Revista de Ingeniería </w:t>
      </w:r>
      <w:r>
        <w:rPr>
          <w:rFonts w:eastAsia="Times New Roman" w:cs="Times New Roman" w:ascii="Times New Roman;serif" w:hAnsi="Times New Roman;serif"/>
          <w:b w:val="false"/>
          <w:i w:val="false"/>
          <w:caps w:val="false"/>
          <w:smallCaps w:val="false"/>
          <w:strike w:val="false"/>
          <w:dstrike w:val="false"/>
          <w:color w:val="000000"/>
          <w:sz w:val="24"/>
          <w:szCs w:val="24"/>
          <w:u w:val="single"/>
          <w:effect w:val="none"/>
          <w:shd w:fill="auto" w:val="clear"/>
        </w:rPr>
        <w:t>Clínica</w:t>
      </w:r>
      <w:r>
        <w:rPr>
          <w:rFonts w:eastAsia="Times New Roman" w:cs="Times New Roman" w:ascii="Times New Roman;serif" w:hAnsi="Times New Roman;serif"/>
          <w:b w:val="false"/>
          <w:i w:val="false"/>
          <w:caps w:val="false"/>
          <w:smallCaps w:val="false"/>
          <w:strike w:val="false"/>
          <w:dstrike w:val="false"/>
          <w:color w:val="000000"/>
          <w:sz w:val="24"/>
          <w:szCs w:val="24"/>
          <w:u w:val="none"/>
          <w:effect w:val="none"/>
          <w:shd w:fill="auto" w:val="clear"/>
        </w:rPr>
        <w:t xml:space="preserve"> y Tecnología Médica, 14(2), 45-58.</w:t>
      </w:r>
      <w:r>
        <w:rPr>
          <w:rFonts w:eastAsia="Times New Roman" w:cs="Times New Roman" w:ascii="Times New Roman" w:hAnsi="Times New Roman"/>
          <w:color w:val="000000"/>
          <w:sz w:val="24"/>
          <w:szCs w:val="24"/>
        </w:rPr>
        <w:t xml:space="preserve"> </w:t>
      </w:r>
    </w:p>
    <w:p>
      <w:pPr>
        <w:pStyle w:val="normal1"/>
        <w:spacing w:lineRule="auto" w:line="480" w:before="0" w:after="120"/>
        <w:ind w:hanging="720" w:start="720"/>
        <w:jc w:val="start"/>
        <w:rPr/>
      </w:pPr>
      <w:r>
        <w:rPr>
          <w:rFonts w:eastAsia="Times New Roman" w:cs="Times New Roman" w:ascii="Times New Roman" w:hAnsi="Times New Roman"/>
          <w:color w:val="000000"/>
          <w:sz w:val="24"/>
          <w:szCs w:val="24"/>
        </w:rPr>
        <w:t>Ministerio de Salud y Protección Social. (2019). Resolución 3100 de 2019: Por la cual se definen los procedimientos y condiciones de inscripción de los prestadores de servicios de salud y de habilitación de los servicios de salud. Diario Oficial No. 51.149.</w:t>
      </w:r>
    </w:p>
    <w:p>
      <w:pPr>
        <w:pStyle w:val="normal1"/>
        <w:spacing w:lineRule="auto" w:line="480" w:before="0" w:after="120"/>
        <w:ind w:hanging="720" w:start="720"/>
        <w:jc w:val="start"/>
        <w:rPr/>
      </w:pPr>
      <w:r>
        <w:rPr>
          <w:rFonts w:eastAsia="Times New Roman" w:cs="Times New Roman" w:ascii="Times New Roman" w:hAnsi="Times New Roman"/>
          <w:color w:val="000000"/>
          <w:sz w:val="24"/>
          <w:szCs w:val="24"/>
        </w:rPr>
        <w:t>Orozco, M. A., &amp; Cortés, L. F. (2021). Diagnóstico de la gestión de equipos biomédicos en Instituciones Prestadoras de Servicios de Salud. Editorial Universidad de Antioquia.</w:t>
      </w:r>
    </w:p>
    <w:p>
      <w:pPr>
        <w:pStyle w:val="normal1"/>
        <w:spacing w:lineRule="auto" w:line="480" w:before="0" w:after="120"/>
        <w:ind w:hanging="720" w:start="720"/>
        <w:jc w:val="start"/>
        <w:rPr/>
      </w:pPr>
      <w:r>
        <w:rPr>
          <w:rFonts w:eastAsia="Times New Roman" w:cs="Times New Roman" w:ascii="Times New Roman" w:hAnsi="Times New Roman"/>
          <w:color w:val="000000"/>
          <w:sz w:val="24"/>
          <w:szCs w:val="24"/>
        </w:rPr>
        <w:t>Project Management Institute. (2021). Guía de los fundamentos para la dirección de proyectos (Guía del PMBOK) (7a ed.). Project Management Institute.</w:t>
      </w:r>
    </w:p>
    <w:p>
      <w:pPr>
        <w:pStyle w:val="normal1"/>
        <w:spacing w:lineRule="auto" w:line="480" w:before="0" w:after="120"/>
        <w:ind w:hanging="720" w:start="720"/>
        <w:jc w:val="start"/>
        <w:rPr/>
      </w:pPr>
      <w:r>
        <w:rPr>
          <w:rFonts w:eastAsia="Times New Roman" w:cs="Times New Roman" w:ascii="Times New Roman" w:hAnsi="Times New Roman"/>
          <w:color w:val="000000"/>
          <w:sz w:val="24"/>
          <w:szCs w:val="24"/>
        </w:rPr>
        <w:t>Servicio Nacional de Aprendizaje (SENA). (2024). Guía para la formulación y estructuración de proyectos de software en el programa ADSO. Centro de la Tecnología y Manufactura Avanzada (CTMA).</w:t>
      </w:r>
    </w:p>
    <w:sectPr>
      <w:headerReference w:type="even" r:id="rId2"/>
      <w:headerReference w:type="default" r:id="rId3"/>
      <w:headerReference w:type="first" r:id="rId4"/>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w:altName w:val="serif"/>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end"/>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end"/>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pPr>
      <w:widowControl/>
      <w:bidi w:val="0"/>
      <w:spacing w:lineRule="auto" w:line="276" w:before="0" w:after="200"/>
      <w:jc w:val="start"/>
    </w:pPr>
    <w:rPr>
      <w:rFonts w:ascii="Cambria" w:hAnsi="Cambria" w:eastAsia="Cambria" w:cs="Cambria"/>
      <w:color w:val="auto"/>
      <w:kern w:val="0"/>
      <w:sz w:val="22"/>
      <w:szCs w:val="22"/>
      <w:lang w:val="en-US" w:eastAsia="zh-CN" w:bidi="hi-IN"/>
    </w:rPr>
  </w:style>
  <w:style w:type="paragraph" w:styleId="Heading1">
    <w:name w:val="heading 1"/>
    <w:basedOn w:val="normal1"/>
    <w:next w:val="normal1"/>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pPr>
      <w:keepNext w:val="true"/>
      <w:keepLines/>
      <w:spacing w:lineRule="auto" w:line="240" w:before="200" w:after="0"/>
    </w:pPr>
    <w:rPr>
      <w:rFonts w:ascii="Calibri" w:hAnsi="Calibri" w:eastAsia="Calibri" w:cs="Calibri"/>
      <w:i/>
      <w:iCs/>
      <w:color w:val="243F61"/>
    </w:rPr>
  </w:style>
  <w:style w:type="paragraph" w:styleId="Heading7">
    <w:name w:val="heading 7"/>
    <w:basedOn w:val="normal1"/>
    <w:next w:val="normal1"/>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1"/>
    <w:next w:val="normal1"/>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1"/>
    <w:next w:val="normal1"/>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1"/>
    <w:link w:val="BodyTextChar"/>
    <w:uiPriority w:val="99"/>
    <w:unhideWhenUsed/>
    <w:rsid w:val="00aa1d8d"/>
    <w:pPr>
      <w:spacing w:before="0" w:after="120"/>
    </w:pPr>
    <w:rPr/>
  </w:style>
  <w:style w:type="paragraph" w:styleId="List">
    <w:name w:val="List"/>
    <w:basedOn w:val="normal1"/>
    <w:uiPriority w:val="99"/>
    <w:unhideWhenUsed/>
    <w:rsid w:val="00aa1d8d"/>
    <w:pPr>
      <w:spacing w:before="0" w:after="200"/>
      <w:ind w:hanging="360" w:start="360"/>
      <w:contextualSpacing/>
    </w:pPr>
    <w:rPr/>
  </w:style>
  <w:style w:type="paragraph" w:styleId="Caption">
    <w:name w:val="caption"/>
    <w:basedOn w:val="normal1"/>
    <w:next w:val="normal1"/>
    <w:uiPriority w:val="35"/>
    <w:semiHidden/>
    <w:unhideWhenUsed/>
    <w:qFormat/>
    <w:rsid w:val="00fc693f"/>
    <w:pPr>
      <w:spacing w:lineRule="auto" w:line="240"/>
    </w:pPr>
    <w:rPr>
      <w:b/>
      <w:bCs/>
      <w:color w:themeColor="accent1" w:val="4F81BD"/>
      <w:sz w:val="18"/>
      <w:szCs w:val="18"/>
    </w:rPr>
  </w:style>
  <w:style w:type="paragraph" w:styleId="ndice">
    <w:name w:val="Índice"/>
    <w:basedOn w:val="Normal"/>
    <w:pPr>
      <w:suppressLineNumbers/>
    </w:pPr>
    <w:rPr>
      <w:rFonts w:cs="Lucida Sans"/>
    </w:rPr>
  </w:style>
  <w:style w:type="paragraph" w:styleId="normal1" w:default="1">
    <w:name w:val="normal1"/>
    <w:pPr>
      <w:widowControl/>
      <w:bidi w:val="0"/>
      <w:spacing w:lineRule="auto" w:line="276" w:before="0" w:after="200"/>
      <w:jc w:val="start"/>
    </w:pPr>
    <w:rPr>
      <w:rFonts w:ascii="Cambria" w:hAnsi="Cambria" w:eastAsia="Cambria" w:cs="Cambria"/>
      <w:color w:val="auto"/>
      <w:kern w:val="0"/>
      <w:sz w:val="22"/>
      <w:szCs w:val="22"/>
      <w:lang w:val="en-US" w:eastAsia="zh-CN" w:bidi="hi-IN"/>
    </w:rPr>
  </w:style>
  <w:style w:type="paragraph" w:styleId="Title">
    <w:name w:val="Title"/>
    <w:basedOn w:val="normal1"/>
    <w:next w:val="normal1"/>
    <w:pPr>
      <w:pBdr>
        <w:bottom w:val="single" w:sz="8" w:space="4" w:color="4F81BD"/>
      </w:pBdr>
      <w:spacing w:lineRule="auto" w:line="240" w:before="0" w:after="300"/>
    </w:pPr>
    <w:rPr>
      <w:rFonts w:ascii="Calibri" w:hAnsi="Calibri" w:eastAsia="Calibri" w:cs="Calibri"/>
      <w:color w:val="17365D"/>
      <w:sz w:val="52"/>
      <w:szCs w:val="52"/>
    </w:rPr>
  </w:style>
  <w:style w:type="paragraph" w:styleId="Cabeceraypie">
    <w:name w:val="Cabecera y pie"/>
    <w:basedOn w:val="Normal"/>
    <w:pPr/>
    <w:rPr/>
  </w:style>
  <w:style w:type="paragraph" w:styleId="Header">
    <w:name w:val="header"/>
    <w:basedOn w:val="normal1"/>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1"/>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Cambria" w:cs="Cambria"/>
      <w:color w:val="auto"/>
      <w:kern w:val="0"/>
      <w:sz w:val="22"/>
      <w:szCs w:val="22"/>
      <w:lang w:val="en-US" w:eastAsia="zh-CN" w:bidi="hi-IN"/>
    </w:rPr>
  </w:style>
  <w:style w:type="paragraph" w:styleId="ListParagraph">
    <w:name w:val="List Paragraph"/>
    <w:basedOn w:val="normal1"/>
    <w:uiPriority w:val="34"/>
    <w:qFormat/>
    <w:rsid w:val="00fc693f"/>
    <w:pPr>
      <w:spacing w:before="0" w:after="200"/>
      <w:ind w:start="720"/>
      <w:contextualSpacing/>
    </w:pPr>
    <w:rPr/>
  </w:style>
  <w:style w:type="paragraph" w:styleId="BodyText2">
    <w:name w:val="Body Text 2"/>
    <w:basedOn w:val="normal1"/>
    <w:link w:val="BodyText2Char"/>
    <w:uiPriority w:val="99"/>
    <w:unhideWhenUsed/>
    <w:rsid w:val="00aa1d8d"/>
    <w:pPr>
      <w:spacing w:lineRule="auto" w:line="480" w:before="0" w:after="120"/>
    </w:pPr>
    <w:rPr/>
  </w:style>
  <w:style w:type="paragraph" w:styleId="BodyText3">
    <w:name w:val="Body Text 3"/>
    <w:basedOn w:val="normal1"/>
    <w:link w:val="BodyText3Char"/>
    <w:uiPriority w:val="99"/>
    <w:unhideWhenUsed/>
    <w:rsid w:val="00aa1d8d"/>
    <w:pPr>
      <w:spacing w:before="0" w:after="120"/>
    </w:pPr>
    <w:rPr>
      <w:sz w:val="16"/>
      <w:szCs w:val="16"/>
    </w:rPr>
  </w:style>
  <w:style w:type="paragraph" w:styleId="List2">
    <w:name w:val="List 2"/>
    <w:basedOn w:val="normal1"/>
    <w:uiPriority w:val="99"/>
    <w:unhideWhenUsed/>
    <w:rsid w:val="00326f90"/>
    <w:pPr>
      <w:spacing w:before="0" w:after="200"/>
      <w:ind w:hanging="360" w:start="720"/>
      <w:contextualSpacing/>
    </w:pPr>
    <w:rPr/>
  </w:style>
  <w:style w:type="paragraph" w:styleId="List3">
    <w:name w:val="List 3"/>
    <w:basedOn w:val="normal1"/>
    <w:uiPriority w:val="99"/>
    <w:unhideWhenUsed/>
    <w:rsid w:val="00326f90"/>
    <w:pPr>
      <w:spacing w:before="0" w:after="200"/>
      <w:ind w:hanging="360" w:start="1080"/>
      <w:contextualSpacing/>
    </w:pPr>
    <w:rPr/>
  </w:style>
  <w:style w:type="paragraph" w:styleId="ListBullet">
    <w:name w:val="List Bullet"/>
    <w:basedOn w:val="normal1"/>
    <w:uiPriority w:val="99"/>
    <w:unhideWhenUsed/>
    <w:rsid w:val="00326f90"/>
    <w:pPr>
      <w:spacing w:before="0" w:after="200"/>
      <w:contextualSpacing/>
    </w:pPr>
    <w:rPr/>
  </w:style>
  <w:style w:type="paragraph" w:styleId="ListBullet2">
    <w:name w:val="List Bullet 2"/>
    <w:basedOn w:val="normal1"/>
    <w:uiPriority w:val="99"/>
    <w:unhideWhenUsed/>
    <w:rsid w:val="00326f90"/>
    <w:pPr>
      <w:spacing w:before="0" w:after="200"/>
      <w:contextualSpacing/>
    </w:pPr>
    <w:rPr/>
  </w:style>
  <w:style w:type="paragraph" w:styleId="ListBullet3">
    <w:name w:val="List Bullet 3"/>
    <w:basedOn w:val="normal1"/>
    <w:uiPriority w:val="99"/>
    <w:unhideWhenUsed/>
    <w:rsid w:val="00326f90"/>
    <w:pPr>
      <w:spacing w:before="0" w:after="200"/>
      <w:contextualSpacing/>
    </w:pPr>
    <w:rPr/>
  </w:style>
  <w:style w:type="paragraph" w:styleId="ListNumber">
    <w:name w:val="List Number"/>
    <w:basedOn w:val="normal1"/>
    <w:uiPriority w:val="99"/>
    <w:unhideWhenUsed/>
    <w:rsid w:val="00326f90"/>
    <w:pPr>
      <w:spacing w:before="0" w:after="200"/>
      <w:contextualSpacing/>
    </w:pPr>
    <w:rPr/>
  </w:style>
  <w:style w:type="paragraph" w:styleId="ListNumber2">
    <w:name w:val="List Number 2"/>
    <w:basedOn w:val="normal1"/>
    <w:uiPriority w:val="99"/>
    <w:unhideWhenUsed/>
    <w:rsid w:val="0029639d"/>
    <w:pPr>
      <w:spacing w:before="0" w:after="200"/>
      <w:contextualSpacing/>
    </w:pPr>
    <w:rPr/>
  </w:style>
  <w:style w:type="paragraph" w:styleId="ListNumber3">
    <w:name w:val="List Number 3"/>
    <w:basedOn w:val="normal1"/>
    <w:uiPriority w:val="99"/>
    <w:unhideWhenUsed/>
    <w:rsid w:val="0029639d"/>
    <w:pPr>
      <w:spacing w:before="0" w:after="200"/>
      <w:contextualSpacing/>
    </w:pPr>
    <w:rPr/>
  </w:style>
  <w:style w:type="paragraph" w:styleId="ListContinue">
    <w:name w:val="List Continue"/>
    <w:basedOn w:val="normal1"/>
    <w:uiPriority w:val="99"/>
    <w:unhideWhenUsed/>
    <w:rsid w:val="0029639d"/>
    <w:pPr>
      <w:spacing w:before="0" w:after="120"/>
      <w:ind w:start="360"/>
      <w:contextualSpacing/>
    </w:pPr>
    <w:rPr/>
  </w:style>
  <w:style w:type="paragraph" w:styleId="ListContinue2">
    <w:name w:val="List Continue 2"/>
    <w:basedOn w:val="normal1"/>
    <w:uiPriority w:val="99"/>
    <w:unhideWhenUsed/>
    <w:rsid w:val="0029639d"/>
    <w:pPr>
      <w:spacing w:before="0" w:after="120"/>
      <w:ind w:start="720"/>
      <w:contextualSpacing/>
    </w:pPr>
    <w:rPr/>
  </w:style>
  <w:style w:type="paragraph" w:styleId="ListContinue3">
    <w:name w:val="List Continue 3"/>
    <w:basedOn w:val="normal1"/>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Cambria" w:cs="Cambria"/>
      <w:color w:val="auto"/>
      <w:kern w:val="0"/>
      <w:sz w:val="20"/>
      <w:szCs w:val="20"/>
      <w:lang w:val="en-US" w:eastAsia="zh-CN" w:bidi="hi-IN"/>
    </w:rPr>
  </w:style>
  <w:style w:type="paragraph" w:styleId="Quote">
    <w:name w:val="Quote"/>
    <w:basedOn w:val="normal1"/>
    <w:next w:val="normal1"/>
    <w:link w:val="QuoteChar"/>
    <w:uiPriority w:val="29"/>
    <w:qFormat/>
    <w:rsid w:val="00fc693f"/>
    <w:pPr/>
    <w:rPr>
      <w:i/>
      <w:iCs/>
      <w:color w:themeColor="text1" w:val="000000"/>
    </w:rPr>
  </w:style>
  <w:style w:type="paragraph" w:styleId="IntenseQuote">
    <w:name w:val="Intense Quote"/>
    <w:basedOn w:val="normal1"/>
    <w:next w:val="normal1"/>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1"/>
    <w:uiPriority w:val="39"/>
    <w:semiHidden/>
    <w:unhideWhenUsed/>
    <w:qFormat/>
    <w:rsid w:val="00fc693f"/>
    <w:pPr/>
    <w:rPr/>
  </w:style>
  <w:style w:type="paragraph" w:styleId="Subtitle">
    <w:name w:val="Subtitle"/>
    <w:basedOn w:val="normal1"/>
    <w:next w:val="normal1"/>
    <w:pPr/>
    <w:rPr>
      <w:rFonts w:ascii="Calibri" w:hAnsi="Calibri" w:eastAsia="Calibri" w:cs="Calibri"/>
      <w:i/>
      <w:iCs/>
      <w:color w:val="4F81BD"/>
      <w:sz w:val="24"/>
      <w:szCs w:val="24"/>
    </w:rPr>
  </w:style>
  <w:style w:type="paragraph" w:styleId="Citaenbloque">
    <w:name w:val="Cita en bloque"/>
    <w:basedOn w:val="Normal"/>
    <w:pPr>
      <w:spacing w:before="0" w:after="283"/>
      <w:ind w:hanging="0" w:start="567" w:end="567"/>
    </w:pPr>
    <w:rPr/>
  </w:style>
  <w:style w:type="numbering" w:styleId="Ningunalista" w:default="1">
    <w:name w:val="Ninguna lista"/>
    <w:uiPriority w:val="99"/>
    <w:semiHidden/>
    <w:unhideWhenUsed/>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left w:val="nil" w:sz="0" w:space="0"/>
          <w:right w:val="nil" w:sz="0" w:space="0"/>
          <w:insideH w:val="nil" w:sz="0" w:space="0"/>
          <w:insideV w:val="nil" w:sz="0" w:space="0"/>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left w:val="nil" w:sz="0" w:space="0"/>
          <w:right w:val="nil" w:sz="0" w:space="0"/>
          <w:insideH w:val="nil" w:sz="0" w:space="0"/>
          <w:insideV w:val="nil" w:sz="0" w:space="0"/>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la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left w:val="nil" w:sz="0" w:space="0"/>
          <w:right w:val="nil" w:sz="0" w:space="0"/>
          <w:insideH w:val="nil" w:sz="0" w:space="0"/>
          <w:insideV w:val="nil" w:sz="0" w:space="0"/>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la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left w:val="nil" w:sz="0" w:space="0"/>
          <w:right w:val="nil" w:sz="0" w:space="0"/>
          <w:insideH w:val="nil" w:sz="0" w:space="0"/>
          <w:insideV w:val="nil" w:sz="0" w:space="0"/>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la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left w:val="nil" w:sz="0" w:space="0"/>
          <w:right w:val="nil" w:sz="0" w:space="0"/>
          <w:insideH w:val="nil" w:sz="0" w:space="0"/>
          <w:insideV w:val="nil" w:sz="0" w:space="0"/>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left w:val="nil" w:sz="0" w:space="0"/>
          <w:right w:val="nil" w:sz="0" w:space="0"/>
          <w:insideH w:val="nil" w:sz="0" w:space="0"/>
          <w:insideV w:val="nil" w:sz="0" w:space="0"/>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la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left w:val="nil" w:sz="0" w:space="0"/>
          <w:right w:val="nil" w:sz="0" w:space="0"/>
          <w:insideH w:val="nil" w:sz="0" w:space="0"/>
          <w:insideV w:val="nil" w:sz="0" w:space="0"/>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0"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0"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0" w:space="0"/>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0"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0" w:space="0"/>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0"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0" w:space="0"/>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0"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0" w:space="0"/>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0"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0" w:space="0"/>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0"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0" w:space="0"/>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sz="0" w:space="0"/>
          <w:insideV w:val="nil" w:sz="0" w:space="0"/>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sz="0" w:space="0"/>
          <w:insideV w:val="nil" w:sz="0" w:space="0"/>
        </w:tcBorders>
        <w:shd w:val="clear" w:color="auto" w:fill="C0C0C0" w:themeFill="text1" w:themeFillTint="3f"/>
      </w:tcPr>
    </w:tblStylePr>
    <w:tblStylePr w:type="band2Horz">
      <w:tblPr/>
      <w:tcPr>
        <w:tcBorders>
          <w:insideH w:val="nil" w:sz="0" w:space="0"/>
          <w:insideV w:val="nil" w:sz="0" w:space="0"/>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sz="0" w:space="0"/>
          <w:insideV w:val="nil" w:sz="0" w:space="0"/>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sz="0" w:space="0"/>
          <w:insideV w:val="nil" w:sz="0" w:space="0"/>
        </w:tcBorders>
        <w:shd w:val="clear" w:color="auto" w:fill="D3DFEE" w:themeFill="accent1" w:themeFillTint="3f"/>
      </w:tcPr>
    </w:tblStylePr>
    <w:tblStylePr w:type="band2Horz">
      <w:tblPr/>
      <w:tcPr>
        <w:tcBorders>
          <w:insideH w:val="nil" w:sz="0" w:space="0"/>
          <w:insideV w:val="nil" w:sz="0" w:space="0"/>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sz="0" w:space="0"/>
          <w:insideV w:val="nil" w:sz="0" w:space="0"/>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sz="0" w:space="0"/>
          <w:insideV w:val="nil" w:sz="0" w:space="0"/>
        </w:tcBorders>
        <w:shd w:val="clear" w:color="auto" w:fill="EFD3D2" w:themeFill="accent2" w:themeFillTint="3f"/>
      </w:tcPr>
    </w:tblStylePr>
    <w:tblStylePr w:type="band2Horz">
      <w:tblPr/>
      <w:tcPr>
        <w:tcBorders>
          <w:insideH w:val="nil" w:sz="0" w:space="0"/>
          <w:insideV w:val="nil" w:sz="0" w:space="0"/>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sz="0" w:space="0"/>
          <w:insideV w:val="nil" w:sz="0" w:space="0"/>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sz="0" w:space="0"/>
          <w:insideV w:val="nil" w:sz="0" w:space="0"/>
        </w:tcBorders>
        <w:shd w:val="clear" w:color="auto" w:fill="E6EED5" w:themeFill="accent3" w:themeFillTint="3f"/>
      </w:tcPr>
    </w:tblStylePr>
    <w:tblStylePr w:type="band2Horz">
      <w:tblPr/>
      <w:tcPr>
        <w:tcBorders>
          <w:insideH w:val="nil" w:sz="0" w:space="0"/>
          <w:insideV w:val="nil" w:sz="0" w:space="0"/>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sz="0" w:space="0"/>
          <w:insideV w:val="nil" w:sz="0" w:space="0"/>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sz="0" w:space="0"/>
          <w:insideV w:val="nil" w:sz="0" w:space="0"/>
        </w:tcBorders>
        <w:shd w:val="clear" w:color="auto" w:fill="DFD8E8" w:themeFill="accent4" w:themeFillTint="3f"/>
      </w:tcPr>
    </w:tblStylePr>
    <w:tblStylePr w:type="band2Horz">
      <w:tblPr/>
      <w:tcPr>
        <w:tcBorders>
          <w:insideH w:val="nil" w:sz="0" w:space="0"/>
          <w:insideV w:val="nil" w:sz="0" w:space="0"/>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sz="0" w:space="0"/>
          <w:insideV w:val="nil" w:sz="0" w:space="0"/>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sz="0" w:space="0"/>
          <w:insideV w:val="nil" w:sz="0" w:space="0"/>
        </w:tcBorders>
        <w:shd w:val="clear" w:color="auto" w:fill="D2EAF1" w:themeFill="accent5" w:themeFillTint="3f"/>
      </w:tcPr>
    </w:tblStylePr>
    <w:tblStylePr w:type="band2Horz">
      <w:tblPr/>
      <w:tcPr>
        <w:tcBorders>
          <w:insideH w:val="nil" w:sz="0" w:space="0"/>
          <w:insideV w:val="nil" w:sz="0" w:space="0"/>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sz="0" w:space="0"/>
          <w:insideV w:val="nil" w:sz="0" w:space="0"/>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sz="0" w:space="0"/>
          <w:insideV w:val="nil" w:sz="0" w:space="0"/>
        </w:tcBorders>
        <w:shd w:val="clear" w:color="auto" w:fill="FDE4D0" w:themeFill="accent6" w:themeFillTint="3f"/>
      </w:tcPr>
    </w:tblStylePr>
    <w:tblStylePr w:type="band2Horz">
      <w:tblPr/>
      <w:tcPr>
        <w:tcBorders>
          <w:insideH w:val="nil" w:sz="0" w:space="0"/>
          <w:insideV w:val="nil" w:sz="0" w:space="0"/>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000000" w:themeFill="text1"/>
      </w:tcPr>
    </w:tblStylePr>
    <w:tblStylePr w:type="lastRow">
      <w:pPr>
        <w:spacing w:before="0" w:after="0" w:line="240" w:lineRule="auto"/>
      </w:pPr>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000000" w:themeFill="text1"/>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000000" w:themeFill="tex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F81BD" w:themeFill="accent1"/>
      </w:tcPr>
    </w:tblStylePr>
    <w:tblStylePr w:type="lastRow">
      <w:pPr>
        <w:spacing w:before="0" w:after="0" w:line="240" w:lineRule="auto"/>
      </w:pPr>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F81BD" w:themeFill="accent1"/>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4F81BD" w:themeFill="accen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C0504D" w:themeFill="accent2"/>
      </w:tcPr>
    </w:tblStylePr>
    <w:tblStylePr w:type="lastRow">
      <w:pPr>
        <w:spacing w:before="0" w:after="0" w:line="240" w:lineRule="auto"/>
      </w:pPr>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C0504D" w:themeFill="accent2"/>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C0504D" w:themeFill="accent2"/>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9BBB59" w:themeFill="accent3"/>
      </w:tcPr>
    </w:tblStylePr>
    <w:tblStylePr w:type="lastRow">
      <w:pPr>
        <w:spacing w:before="0" w:after="0" w:line="240" w:lineRule="auto"/>
      </w:pPr>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9BBB59" w:themeFill="accent3"/>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9BBB59" w:themeFill="accent3"/>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8064A2" w:themeFill="accent4"/>
      </w:tcPr>
    </w:tblStylePr>
    <w:tblStylePr w:type="lastRow">
      <w:pPr>
        <w:spacing w:before="0" w:after="0" w:line="240" w:lineRule="auto"/>
      </w:pPr>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8064A2" w:themeFill="accent4"/>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8064A2" w:themeFill="accent4"/>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BACC6" w:themeFill="accent5"/>
      </w:tcPr>
    </w:tblStylePr>
    <w:tblStylePr w:type="lastRow">
      <w:pPr>
        <w:spacing w:before="0" w:after="0" w:line="240" w:lineRule="auto"/>
      </w:pPr>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BACC6" w:themeFill="accent5"/>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4BACC6" w:themeFill="accent5"/>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79646" w:themeFill="accent6"/>
      </w:tcPr>
    </w:tblStylePr>
    <w:tblStylePr w:type="lastRow">
      <w:pPr>
        <w:spacing w:before="0" w:after="0" w:line="240" w:lineRule="auto"/>
      </w:pPr>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F79646" w:themeFill="accent6"/>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F79646" w:themeFill="accent6"/>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000000" w:themeColor="text1" w:sz="24" w:space="0"/>
          <w:right w:val="nil" w:sz="0" w:space="0"/>
          <w:insideH w:val="nil" w:sz="0" w:space="0"/>
          <w:insideV w:val="nil" w:sz="0" w:space="0"/>
        </w:tcBorders>
        <w:shd w:val="clear" w:color="auto" w:fill="FFFFFF" w:themeFill="background1"/>
      </w:tcPr>
    </w:tblStylePr>
    <w:tblStylePr w:type="lastRow">
      <w:tblPr/>
      <w:tcPr>
        <w:tcBorders>
          <w:top w:val="single" w:color="000000" w:themeColor="tex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000000" w:themeColor="text1" w:sz="8" w:space="0"/>
          <w:insideH w:val="nil" w:sz="0" w:space="0"/>
          <w:insideV w:val="nil" w:sz="0" w:space="0"/>
        </w:tcBorders>
        <w:shd w:val="clear" w:color="auto" w:fill="FFFFFF" w:themeFill="background1"/>
      </w:tcPr>
    </w:tblStylePr>
    <w:tblStylePr w:type="lastCol">
      <w:tblPr/>
      <w:tcPr>
        <w:tcBorders>
          <w:top w:val="nil" w:sz="0" w:space="0"/>
          <w:left w:val="single" w:color="000000" w:themeColor="tex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top w:val="nil" w:sz="0" w:space="0"/>
          <w:bottom w:val="nil" w:sz="0" w:space="0"/>
          <w:insideH w:val="nil" w:sz="0" w:space="0"/>
          <w:insideV w:val="nil" w:sz="0"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4F81BD" w:themeColor="accent1" w:sz="24" w:space="0"/>
          <w:right w:val="nil" w:sz="0" w:space="0"/>
          <w:insideH w:val="nil" w:sz="0" w:space="0"/>
          <w:insideV w:val="nil" w:sz="0" w:space="0"/>
        </w:tcBorders>
        <w:shd w:val="clear" w:color="auto" w:fill="FFFFFF" w:themeFill="background1"/>
      </w:tcPr>
    </w:tblStylePr>
    <w:tblStylePr w:type="lastRow">
      <w:tblPr/>
      <w:tcPr>
        <w:tcBorders>
          <w:top w:val="single" w:color="4F81BD" w:themeColor="accen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F81BD" w:themeColor="accent1" w:sz="8" w:space="0"/>
          <w:insideH w:val="nil" w:sz="0" w:space="0"/>
          <w:insideV w:val="nil" w:sz="0" w:space="0"/>
        </w:tcBorders>
        <w:shd w:val="clear" w:color="auto" w:fill="FFFFFF" w:themeFill="background1"/>
      </w:tcPr>
    </w:tblStylePr>
    <w:tblStylePr w:type="lastCol">
      <w:tblPr/>
      <w:tcPr>
        <w:tcBorders>
          <w:top w:val="nil" w:sz="0" w:space="0"/>
          <w:left w:val="single" w:color="4F81BD" w:themeColor="accen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top w:val="nil" w:sz="0" w:space="0"/>
          <w:bottom w:val="nil" w:sz="0" w:space="0"/>
          <w:insideH w:val="nil" w:sz="0" w:space="0"/>
          <w:insideV w:val="nil" w:sz="0" w:space="0"/>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tblPr/>
      <w:tcPr>
        <w:tcBorders>
          <w:top w:val="single" w:color="C0504D" w:themeColor="accent2"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C0504D" w:themeColor="accent2" w:sz="8" w:space="0"/>
          <w:insideH w:val="nil" w:sz="0" w:space="0"/>
          <w:insideV w:val="nil" w:sz="0" w:space="0"/>
        </w:tcBorders>
        <w:shd w:val="clear" w:color="auto" w:fill="FFFFFF" w:themeFill="background1"/>
      </w:tcPr>
    </w:tblStylePr>
    <w:tblStylePr w:type="lastCol">
      <w:tblPr/>
      <w:tcPr>
        <w:tcBorders>
          <w:top w:val="nil" w:sz="0" w:space="0"/>
          <w:left w:val="single" w:color="C0504D" w:themeColor="accent2"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top w:val="nil" w:sz="0" w:space="0"/>
          <w:bottom w:val="nil" w:sz="0" w:space="0"/>
          <w:insideH w:val="nil" w:sz="0" w:space="0"/>
          <w:insideV w:val="nil" w:sz="0" w:space="0"/>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tblPr/>
      <w:tcPr>
        <w:tcBorders>
          <w:top w:val="single" w:color="9BBB59" w:themeColor="accent3"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9BBB59" w:themeColor="accent3" w:sz="8" w:space="0"/>
          <w:insideH w:val="nil" w:sz="0" w:space="0"/>
          <w:insideV w:val="nil" w:sz="0" w:space="0"/>
        </w:tcBorders>
        <w:shd w:val="clear" w:color="auto" w:fill="FFFFFF" w:themeFill="background1"/>
      </w:tcPr>
    </w:tblStylePr>
    <w:tblStylePr w:type="lastCol">
      <w:tblPr/>
      <w:tcPr>
        <w:tcBorders>
          <w:top w:val="nil" w:sz="0" w:space="0"/>
          <w:left w:val="single" w:color="9BBB59" w:themeColor="accent3"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top w:val="nil" w:sz="0" w:space="0"/>
          <w:bottom w:val="nil" w:sz="0" w:space="0"/>
          <w:insideH w:val="nil" w:sz="0" w:space="0"/>
          <w:insideV w:val="nil" w:sz="0" w:space="0"/>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tblPr/>
      <w:tcPr>
        <w:tcBorders>
          <w:top w:val="single" w:color="8064A2" w:themeColor="accent4"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8064A2" w:themeColor="accent4" w:sz="8" w:space="0"/>
          <w:insideH w:val="nil" w:sz="0" w:space="0"/>
          <w:insideV w:val="nil" w:sz="0" w:space="0"/>
        </w:tcBorders>
        <w:shd w:val="clear" w:color="auto" w:fill="FFFFFF" w:themeFill="background1"/>
      </w:tcPr>
    </w:tblStylePr>
    <w:tblStylePr w:type="lastCol">
      <w:tblPr/>
      <w:tcPr>
        <w:tcBorders>
          <w:top w:val="nil" w:sz="0" w:space="0"/>
          <w:left w:val="single" w:color="8064A2" w:themeColor="accent4"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top w:val="nil" w:sz="0" w:space="0"/>
          <w:bottom w:val="nil" w:sz="0" w:space="0"/>
          <w:insideH w:val="nil" w:sz="0" w:space="0"/>
          <w:insideV w:val="nil" w:sz="0"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tblPr/>
      <w:tcPr>
        <w:tcBorders>
          <w:top w:val="single" w:color="4BACC6" w:themeColor="accent5"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BACC6" w:themeColor="accent5" w:sz="8" w:space="0"/>
          <w:insideH w:val="nil" w:sz="0" w:space="0"/>
          <w:insideV w:val="nil" w:sz="0" w:space="0"/>
        </w:tcBorders>
        <w:shd w:val="clear" w:color="auto" w:fill="FFFFFF" w:themeFill="background1"/>
      </w:tcPr>
    </w:tblStylePr>
    <w:tblStylePr w:type="lastCol">
      <w:tblPr/>
      <w:tcPr>
        <w:tcBorders>
          <w:top w:val="nil" w:sz="0" w:space="0"/>
          <w:left w:val="single" w:color="4BACC6" w:themeColor="accent5"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top w:val="nil" w:sz="0" w:space="0"/>
          <w:bottom w:val="nil" w:sz="0" w:space="0"/>
          <w:insideH w:val="nil" w:sz="0" w:space="0"/>
          <w:insideV w:val="nil" w:sz="0" w:space="0"/>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tblPr/>
      <w:tcPr>
        <w:tcBorders>
          <w:top w:val="single" w:color="F79646" w:themeColor="accent6"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79646" w:themeColor="accent6" w:sz="8" w:space="0"/>
          <w:insideH w:val="nil" w:sz="0" w:space="0"/>
          <w:insideV w:val="nil" w:sz="0" w:space="0"/>
        </w:tcBorders>
        <w:shd w:val="clear" w:color="auto" w:fill="FFFFFF" w:themeFill="background1"/>
      </w:tcPr>
    </w:tblStylePr>
    <w:tblStylePr w:type="lastCol">
      <w:tblPr/>
      <w:tcPr>
        <w:tcBorders>
          <w:top w:val="nil" w:sz="0" w:space="0"/>
          <w:left w:val="single" w:color="F79646" w:themeColor="accent6"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top w:val="nil" w:sz="0" w:space="0"/>
          <w:bottom w:val="nil" w:sz="0" w:space="0"/>
          <w:insideH w:val="nil" w:sz="0" w:space="0"/>
          <w:insideV w:val="nil" w:sz="0" w:space="0"/>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000000" w:themeFill="text1"/>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F81BD" w:themeFill="accent1"/>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C0504D" w:themeFill="accent2"/>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9BBB59" w:themeFill="accent3"/>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8064A2" w:themeFill="accent4"/>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BACC6" w:themeFill="accent5"/>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79646" w:themeFill="accent6"/>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000000" w:themeFill="tex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000000" w:themeFill="tex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000000" w:themeFill="tex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43F60" w:themeFill="accen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65F91" w:themeFill="accen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65F91" w:themeFill="accen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622423" w:themeFill="accent2"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943634" w:themeFill="accent2"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943634" w:themeFill="accent2"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4E6128" w:themeFill="accent3"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76923C" w:themeFill="accent3"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76923C" w:themeFill="accent3"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3F3151" w:themeFill="accent4"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5F497A" w:themeFill="accent4"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5F497A" w:themeFill="accent4"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05867" w:themeFill="accent5"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1849B" w:themeFill="accent5"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1849B" w:themeFill="accent5"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974706" w:themeFill="accent6"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E36C0A" w:themeFill="accent6"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E36C0A" w:themeFill="accent6"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0" w:space="0"/>
          <w:left w:val="nil" w:sz="0" w:space="0"/>
          <w:bottom w:val="nil" w:sz="0" w:space="0"/>
          <w:right w:val="nil" w:sz="0" w:space="0"/>
          <w:insideH w:val="single" w:color="000000" w:themeColor="text1" w:sz="4" w:space="0"/>
          <w:insideV w:val="nil" w:sz="0" w:space="0"/>
        </w:tcBorders>
        <w:shd w:val="clear" w:color="auto" w:fill="000000" w:themeFill="text1"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sz="0" w:space="0"/>
          <w:left w:val="nil" w:sz="0" w:space="0"/>
          <w:bottom w:val="nil" w:sz="0" w:space="0"/>
          <w:right w:val="nil" w:sz="0" w:space="0"/>
          <w:insideH w:val="single" w:color="2C4C74" w:themeColor="accent1" w:sz="4" w:space="0"/>
          <w:insideV w:val="nil" w:sz="0" w:space="0"/>
        </w:tcBorders>
        <w:shd w:val="clear" w:color="auto" w:fill="2C4C74" w:themeFill="accent1"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sz="0" w:space="0"/>
          <w:left w:val="nil" w:sz="0" w:space="0"/>
          <w:bottom w:val="nil" w:sz="0" w:space="0"/>
          <w:right w:val="nil" w:sz="0" w:space="0"/>
          <w:insideH w:val="single" w:color="772C2A" w:themeColor="accent2" w:sz="4" w:space="0"/>
          <w:insideV w:val="nil" w:sz="0" w:space="0"/>
        </w:tcBorders>
        <w:shd w:val="clear" w:color="auto" w:fill="772C2A" w:themeFill="accent2"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sz="0" w:space="0"/>
          <w:left w:val="nil" w:sz="0" w:space="0"/>
          <w:bottom w:val="nil" w:sz="0" w:space="0"/>
          <w:right w:val="nil" w:sz="0" w:space="0"/>
          <w:insideH w:val="single" w:color="5E7530" w:themeColor="accent3" w:sz="4" w:space="0"/>
          <w:insideV w:val="nil" w:sz="0" w:space="0"/>
        </w:tcBorders>
        <w:shd w:val="clear" w:color="auto" w:fill="5E7530" w:themeFill="accent3"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sz="0" w:space="0"/>
          <w:left w:val="nil" w:sz="0" w:space="0"/>
          <w:bottom w:val="nil" w:sz="0" w:space="0"/>
          <w:right w:val="nil" w:sz="0" w:space="0"/>
          <w:insideH w:val="single" w:color="4C3B62" w:themeColor="accent4" w:sz="4" w:space="0"/>
          <w:insideV w:val="nil" w:sz="0" w:space="0"/>
        </w:tcBorders>
        <w:shd w:val="clear" w:color="auto" w:fill="4C3B62" w:themeFill="accent4"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sz="0" w:space="0"/>
          <w:left w:val="nil" w:sz="0" w:space="0"/>
          <w:bottom w:val="nil" w:sz="0" w:space="0"/>
          <w:right w:val="nil" w:sz="0" w:space="0"/>
          <w:insideH w:val="single" w:color="276A7C" w:themeColor="accent5" w:sz="4" w:space="0"/>
          <w:insideV w:val="nil" w:sz="0" w:space="0"/>
        </w:tcBorders>
        <w:shd w:val="clear" w:color="auto" w:fill="276A7C" w:themeFill="accent5"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sz="0" w:space="0"/>
          <w:left w:val="nil" w:sz="0" w:space="0"/>
          <w:bottom w:val="nil" w:sz="0" w:space="0"/>
          <w:right w:val="nil" w:sz="0" w:space="0"/>
          <w:insideH w:val="single" w:color="B65608" w:themeColor="accent6" w:sz="4" w:space="0"/>
          <w:insideV w:val="nil" w:sz="0" w:space="0"/>
        </w:tcBorders>
        <w:shd w:val="clear" w:color="auto" w:fill="B65608" w:themeFill="accent6"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tvMc2C6PBX31I2e4iuZxI27nhlA==">CgMxLjA4AHIhMTFlZGtONDE4NEdnSzMzOWUxby1RdW5IU1lHOWhJVXpl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LibreOffice/26.8.1.1$Windows_X86_64 LibreOffice_project/bf6ef2662401c7d6dce671ab4deb26ee0af3a7c1</Application>
  <AppVersion>15.0000</AppVersion>
  <Pages>14</Pages>
  <Words>2709</Words>
  <Characters>15315</Characters>
  <CharactersWithSpaces>17846</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SITBIO</dc:creator>
  <dc:description/>
  <dc:language>es-CO</dc:language>
  <cp:lastModifiedBy/>
  <dcterms:modified xsi:type="dcterms:W3CDTF">2026-10-21T22:52:30Z</dcterms:modified>
  <cp:revision>1</cp:revision>
  <dc:subject/>
  <dc:title/>
</cp:coreProperties>
</file>