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color w:val="0E387A"/>
          <w:sz w:val="32"/>
        </w:rPr>
        <w:t>ESPECIFICACIÓN DE CASOS DE USO DEL SISTEMA</w:t>
      </w:r>
    </w:p>
    <w:p>
      <w:pPr>
        <w:spacing w:after="240"/>
        <w:jc w:val="center"/>
      </w:pPr>
      <w:r>
        <w:rPr>
          <w:rFonts w:ascii="Arial" w:hAnsi="Arial"/>
          <w:i/>
          <w:color w:val="5A5A5A"/>
          <w:sz w:val="20"/>
        </w:rPr>
        <w:t>Sistema Inteligente de Gestión y Análisis Documental | Unidades Tecnológicas de Santander (UTS)</w:t>
        <w:br/>
        <w:t>Estándar UML / Plantilla RUP - Alistair Cockburn</w:t>
      </w:r>
    </w:p>
    <w:p>
      <w:pPr>
        <w:spacing w:before="280" w:after="120"/>
      </w:pPr>
      <w:r>
        <w:rPr>
          <w:rFonts w:ascii="Arial" w:hAnsi="Arial"/>
          <w:b/>
          <w:color w:val="0E387A"/>
          <w:sz w:val="26"/>
        </w:rPr>
        <w:t>1. Tabla Resumen de Casos de Uso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152"/>
            <w:shd w:fill="0E387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Código</w:t>
            </w:r>
          </w:p>
        </w:tc>
        <w:tc>
          <w:tcPr>
            <w:tcW w:type="dxa" w:w="3600"/>
            <w:shd w:fill="0E387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Nombre del Caso de Uso</w:t>
            </w:r>
          </w:p>
        </w:tc>
        <w:tc>
          <w:tcPr>
            <w:tcW w:type="dxa" w:w="2016"/>
            <w:shd w:fill="0E387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Actor Principal</w:t>
            </w:r>
          </w:p>
        </w:tc>
        <w:tc>
          <w:tcPr>
            <w:tcW w:type="dxa" w:w="2016"/>
            <w:shd w:fill="0E387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Actores Secundarios</w:t>
            </w:r>
          </w:p>
        </w:tc>
        <w:tc>
          <w:tcPr>
            <w:tcW w:type="dxa" w:w="1296"/>
            <w:shd w:fill="0E387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Complejidad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CU-01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Autenticar Usuario e Inicializar Sesión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Usuario General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Servidor Auth / JWT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Baja</w:t>
            </w:r>
          </w:p>
        </w:tc>
      </w:tr>
      <w:tr>
        <w:tc>
          <w:tcPr>
            <w:tcW w:type="dxa" w:w="1152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CU-02</w:t>
            </w:r>
          </w:p>
        </w:tc>
        <w:tc>
          <w:tcPr>
            <w:tcW w:type="dxa" w:w="360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Cargar y Parsear Documento al Repositorio</w:t>
            </w:r>
          </w:p>
        </w:tc>
        <w:tc>
          <w:tcPr>
            <w:tcW w:type="dxa" w:w="201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Analista Documental</w:t>
            </w:r>
          </w:p>
        </w:tc>
        <w:tc>
          <w:tcPr>
            <w:tcW w:type="dxa" w:w="201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Motor OCR / Storage</w:t>
            </w:r>
          </w:p>
        </w:tc>
        <w:tc>
          <w:tcPr>
            <w:tcW w:type="dxa" w:w="129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Media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CU-03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Ejecutar Pipeline de Análisis e Inferencia de IA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Sistema (Worker IA)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Proveedor LLM / DB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Alta</w:t>
            </w:r>
          </w:p>
        </w:tc>
      </w:tr>
      <w:tr>
        <w:tc>
          <w:tcPr>
            <w:tcW w:type="dxa" w:w="1152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CU-04</w:t>
            </w:r>
          </w:p>
        </w:tc>
        <w:tc>
          <w:tcPr>
            <w:tcW w:type="dxa" w:w="360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Realizar Consulta Semántica Documental (RAG)</w:t>
            </w:r>
          </w:p>
        </w:tc>
        <w:tc>
          <w:tcPr>
            <w:tcW w:type="dxa" w:w="201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Consultor / Auditor</w:t>
            </w:r>
          </w:p>
        </w:tc>
        <w:tc>
          <w:tcPr>
            <w:tcW w:type="dxa" w:w="201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Motor Vectorial / LLM</w:t>
            </w:r>
          </w:p>
        </w:tc>
        <w:tc>
          <w:tcPr>
            <w:tcW w:type="dxa" w:w="129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Alta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CU-05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Gestionar Carpetas y Estructura Jerárquica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Analista Documental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Base de Datos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Baja</w:t>
            </w:r>
          </w:p>
        </w:tc>
      </w:tr>
      <w:tr>
        <w:tc>
          <w:tcPr>
            <w:tcW w:type="dxa" w:w="1152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CU-06</w:t>
            </w:r>
          </w:p>
        </w:tc>
        <w:tc>
          <w:tcPr>
            <w:tcW w:type="dxa" w:w="360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Realizar Búsqueda Léxica y Filtrado</w:t>
            </w:r>
          </w:p>
        </w:tc>
        <w:tc>
          <w:tcPr>
            <w:tcW w:type="dxa" w:w="201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Consultor / Analista</w:t>
            </w:r>
          </w:p>
        </w:tc>
        <w:tc>
          <w:tcPr>
            <w:tcW w:type="dxa" w:w="201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Base de Datos</w:t>
            </w:r>
          </w:p>
        </w:tc>
        <w:tc>
          <w:tcPr>
            <w:tcW w:type="dxa" w:w="129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Baja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CU-07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Consultar Dashboard y Métricas de Rendimiento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Administrador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Servicio de Analítica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Media</w:t>
            </w:r>
          </w:p>
        </w:tc>
      </w:tr>
      <w:tr>
        <w:tc>
          <w:tcPr>
            <w:tcW w:type="dxa" w:w="1152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CU-08</w:t>
            </w:r>
          </w:p>
        </w:tc>
        <w:tc>
          <w:tcPr>
            <w:tcW w:type="dxa" w:w="360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Auditar Logs y Trazas de Error del Pipeline</w:t>
            </w:r>
          </w:p>
        </w:tc>
        <w:tc>
          <w:tcPr>
            <w:tcW w:type="dxa" w:w="201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Administrador</w:t>
            </w:r>
          </w:p>
        </w:tc>
        <w:tc>
          <w:tcPr>
            <w:tcW w:type="dxa" w:w="201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Log Storage / DB</w:t>
            </w:r>
          </w:p>
        </w:tc>
        <w:tc>
          <w:tcPr>
            <w:tcW w:type="dxa" w:w="129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Media</w:t>
            </w:r>
          </w:p>
        </w:tc>
      </w:tr>
    </w:tbl>
    <w:p>
      <w:pPr>
        <w:spacing w:after="120"/>
      </w:pPr>
    </w:p>
    <w:p>
      <w:pPr>
        <w:spacing w:before="280" w:after="120"/>
      </w:pPr>
      <w:r>
        <w:rPr>
          <w:rFonts w:ascii="Arial" w:hAnsi="Arial"/>
          <w:b/>
          <w:color w:val="0E387A"/>
          <w:sz w:val="26"/>
        </w:rPr>
        <w:t>2. Especificación Formal de los 4 Casos de Uso Centrales</w:t>
      </w:r>
    </w:p>
    <w:p>
      <w:pPr>
        <w:spacing w:before="200" w:after="80"/>
      </w:pPr>
      <w:r>
        <w:rPr>
          <w:rFonts w:ascii="Arial" w:hAnsi="Arial"/>
          <w:b/>
          <w:color w:val="1E50A0"/>
          <w:sz w:val="22"/>
        </w:rPr>
        <w:t>CU-01: Autenticar Usuario e Inicializar Sesión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Actor Principal: </w:t>
      </w:r>
      <w:r>
        <w:rPr>
          <w:rFonts w:ascii="Arial" w:hAnsi="Arial"/>
          <w:color w:val="282828"/>
          <w:sz w:val="19"/>
        </w:rPr>
        <w:t>Usuario (ADMIN, ANALISTA, CONSULTOR)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Actores Secundarios: </w:t>
      </w:r>
      <w:r>
        <w:rPr>
          <w:rFonts w:ascii="Arial" w:hAnsi="Arial"/>
          <w:color w:val="282828"/>
          <w:sz w:val="19"/>
        </w:rPr>
        <w:t>Servicio JWT / Spring Security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Precondiciones: </w:t>
      </w:r>
      <w:r>
        <w:rPr>
          <w:rFonts w:ascii="Arial" w:hAnsi="Arial"/>
          <w:color w:val="282828"/>
          <w:sz w:val="19"/>
        </w:rPr>
        <w:t>Usuario activo y registrado en la base de datos institucional.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Disparador (Trigger): </w:t>
      </w:r>
      <w:r>
        <w:rPr>
          <w:rFonts w:ascii="Arial" w:hAnsi="Arial"/>
          <w:color w:val="282828"/>
          <w:sz w:val="19"/>
        </w:rPr>
        <w:t>Usuario ingresa a la aplicación y envía el formulario de inicio de sesión.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>Flujo Principal:</w:t>
      </w:r>
      <w:r>
        <w:rPr>
          <w:rFonts w:ascii="Arial" w:hAnsi="Arial"/>
          <w:color w:val="282828"/>
          <w:sz w:val="19"/>
        </w:rPr>
      </w:r>
    </w:p>
    <w:p>
      <w:pPr>
        <w:pStyle w:val="ListBullet"/>
        <w:spacing w:before="0" w:after="60" w:line="276" w:lineRule="auto"/>
      </w:pPr>
      <w:r>
        <w:rPr>
          <w:rFonts w:ascii="Arial" w:hAnsi="Arial"/>
          <w:color w:val="282828"/>
          <w:sz w:val="19"/>
        </w:rPr>
        <w:t>1. El usuario navega a la URL de login e ingresa correo institucional y contraseña.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color w:val="282828"/>
          <w:sz w:val="19"/>
        </w:rPr>
        <w:t>2. El Frontend valida formato y despacha POST /api/v1/auth/login.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color w:val="282828"/>
          <w:sz w:val="19"/>
        </w:rPr>
        <w:t>3. El Backend busca el usuario, valida hash BCrypt y verifica estado ACTIVO.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color w:val="282828"/>
          <w:sz w:val="19"/>
        </w:rPr>
        <w:t>4. El Backend genera Access Token y Refresh Token JWT con los claims del rol.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color w:val="282828"/>
          <w:sz w:val="19"/>
        </w:rPr>
        <w:t>5. El Backend retorna HTTP 200 y el Frontend redirige al panel según el rol.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>Flujos Alternativos:</w:t>
      </w:r>
      <w:r>
        <w:rPr>
          <w:rFonts w:ascii="Arial" w:hAnsi="Arial"/>
          <w:color w:val="282828"/>
          <w:sz w:val="19"/>
        </w:rPr>
      </w:r>
    </w:p>
    <w:p>
      <w:pPr>
        <w:pStyle w:val="ListBullet"/>
        <w:spacing w:before="0" w:after="60" w:line="276" w:lineRule="auto"/>
      </w:pPr>
      <w:r>
        <w:rPr>
          <w:rFonts w:ascii="Arial" w:hAnsi="Arial"/>
          <w:color w:val="282828"/>
          <w:sz w:val="19"/>
        </w:rPr>
        <w:t>FA-01: Renovación con Refresh Token cuando el Access Token expira.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color w:val="282828"/>
          <w:sz w:val="19"/>
        </w:rPr>
        <w:t>FA-02: Redirección diferenciada (ADMIN a Auditoría, ANALISTA a Repositorio, CONSULTOR a Chat RAG).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>Flujos de Excepción:</w:t>
      </w:r>
      <w:r>
        <w:rPr>
          <w:rFonts w:ascii="Arial" w:hAnsi="Arial"/>
          <w:color w:val="282828"/>
          <w:sz w:val="19"/>
        </w:rPr>
      </w:r>
    </w:p>
    <w:p>
      <w:pPr>
        <w:pStyle w:val="ListBullet"/>
        <w:spacing w:before="0" w:after="60" w:line="276" w:lineRule="auto"/>
      </w:pPr>
      <w:r>
        <w:rPr>
          <w:rFonts w:ascii="Arial" w:hAnsi="Arial"/>
          <w:color w:val="282828"/>
          <w:sz w:val="19"/>
        </w:rPr>
        <w:t>FE-01: Credenciales inválidas -&gt; HTTP 401 Unauthorized.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color w:val="282828"/>
          <w:sz w:val="19"/>
        </w:rPr>
        <w:t>FE-02: Usuario inactivo -&gt; HTTP 403 Forbidden.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color w:val="282828"/>
          <w:sz w:val="19"/>
        </w:rPr>
        <w:t>FE-03: Fallo de base de datos -&gt; HTTP 503 Service Unavailable.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Postcondiciones: </w:t>
      </w:r>
      <w:r>
        <w:rPr>
          <w:rFonts w:ascii="Arial" w:hAnsi="Arial"/>
          <w:color w:val="282828"/>
          <w:sz w:val="19"/>
        </w:rPr>
        <w:t>Éxito: Sesión activa y token JWT emitido. Fallo: Sin sesión y evento registrado en auditoría.</w:t>
      </w:r>
    </w:p>
    <w:p>
      <w:pPr>
        <w:spacing w:before="200" w:after="80"/>
      </w:pPr>
      <w:r>
        <w:rPr>
          <w:rFonts w:ascii="Arial" w:hAnsi="Arial"/>
          <w:b/>
          <w:color w:val="1E50A0"/>
          <w:sz w:val="22"/>
        </w:rPr>
        <w:t>CU-02: Cargar y Parsear Documento al Repositorio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Actor Principal: </w:t>
      </w:r>
      <w:r>
        <w:rPr>
          <w:rFonts w:ascii="Arial" w:hAnsi="Arial"/>
          <w:color w:val="282828"/>
          <w:sz w:val="19"/>
        </w:rPr>
        <w:t>Analista de Información Documental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Actores Secundarios: </w:t>
      </w:r>
      <w:r>
        <w:rPr>
          <w:rFonts w:ascii="Arial" w:hAnsi="Arial"/>
          <w:color w:val="282828"/>
          <w:sz w:val="19"/>
        </w:rPr>
        <w:t>Storage Local / DB / Cola de Tareas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Precondiciones: </w:t>
      </w:r>
      <w:r>
        <w:rPr>
          <w:rFonts w:ascii="Arial" w:hAnsi="Arial"/>
          <w:color w:val="282828"/>
          <w:sz w:val="19"/>
        </w:rPr>
        <w:t>Usuario autenticado con rol ADMIN o ANALISTA y carpeta destino válida.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Disparador (Trigger): </w:t>
      </w:r>
      <w:r>
        <w:rPr>
          <w:rFonts w:ascii="Arial" w:hAnsi="Arial"/>
          <w:color w:val="282828"/>
          <w:sz w:val="19"/>
        </w:rPr>
        <w:t>Usuario arrastra o selecciona archivo (PDF, DOCX, TXT) y confirma subida.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>Flujo Principal:</w:t>
      </w:r>
      <w:r>
        <w:rPr>
          <w:rFonts w:ascii="Arial" w:hAnsi="Arial"/>
          <w:color w:val="282828"/>
          <w:sz w:val="19"/>
        </w:rPr>
      </w:r>
    </w:p>
    <w:p>
      <w:pPr>
        <w:pStyle w:val="ListBullet"/>
        <w:spacing w:before="0" w:after="60" w:line="276" w:lineRule="auto"/>
      </w:pPr>
      <w:r>
        <w:rPr>
          <w:rFonts w:ascii="Arial" w:hAnsi="Arial"/>
          <w:color w:val="282828"/>
          <w:sz w:val="19"/>
        </w:rPr>
        <w:t>1. El usuario selecciona la carpeta destino y presiona 'Subir Archivo'.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color w:val="282828"/>
          <w:sz w:val="19"/>
        </w:rPr>
        <w:t>2. El Frontend valida extensión y peso &lt;= 20MB y despacha POST /api/v1/documents/upload.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color w:val="282828"/>
          <w:sz w:val="19"/>
        </w:rPr>
        <w:t>3. El Backend valida Magic Bytes (%PDF, PK.., etc.) y calcula hash SHA-256.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color w:val="282828"/>
          <w:sz w:val="19"/>
        </w:rPr>
        <w:t>4. El Backend persiste el binario en almacenamiento seguro y crea registro con estado 'Cargado'.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color w:val="282828"/>
          <w:sz w:val="19"/>
        </w:rPr>
        <w:t>5. El Backend encola el evento de procesamiento asíncrono y responde HTTP 201 Created.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>Flujos Alternativos:</w:t>
      </w:r>
      <w:r>
        <w:rPr>
          <w:rFonts w:ascii="Arial" w:hAnsi="Arial"/>
          <w:color w:val="282828"/>
          <w:sz w:val="19"/>
        </w:rPr>
      </w:r>
    </w:p>
    <w:p>
      <w:pPr>
        <w:pStyle w:val="ListBullet"/>
        <w:spacing w:before="0" w:after="60" w:line="276" w:lineRule="auto"/>
      </w:pPr>
      <w:r>
        <w:rPr>
          <w:rFonts w:ascii="Arial" w:hAnsi="Arial"/>
          <w:color w:val="282828"/>
          <w:sz w:val="19"/>
        </w:rPr>
        <w:t>FA-01: Carga masiva por lote procesando archivos de forma iterativa.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color w:val="282828"/>
          <w:sz w:val="19"/>
        </w:rPr>
        <w:t>FA-02: Carga de TXT plano pasando directamente a fase de chunking.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>Flujos de Excepción:</w:t>
      </w:r>
      <w:r>
        <w:rPr>
          <w:rFonts w:ascii="Arial" w:hAnsi="Arial"/>
          <w:color w:val="282828"/>
          <w:sz w:val="19"/>
        </w:rPr>
      </w:r>
    </w:p>
    <w:p>
      <w:pPr>
        <w:pStyle w:val="ListBullet"/>
        <w:spacing w:before="0" w:after="60" w:line="276" w:lineRule="auto"/>
      </w:pPr>
      <w:r>
        <w:rPr>
          <w:rFonts w:ascii="Arial" w:hAnsi="Arial"/>
          <w:color w:val="282828"/>
          <w:sz w:val="19"/>
        </w:rPr>
        <w:t>FE-01: Extensión o Magic Bytes no permitidos -&gt; HTTP 400 Bad Request.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color w:val="282828"/>
          <w:sz w:val="19"/>
        </w:rPr>
        <w:t>FE-02: Archivo &gt; 20 MB -&gt; HTTP 413 Payload Too Large.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color w:val="282828"/>
          <w:sz w:val="19"/>
        </w:rPr>
        <w:t>FE-03: Fallo de disco/storage -&gt; Rollback transaccional y HTTP 500.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Postcondiciones: </w:t>
      </w:r>
      <w:r>
        <w:rPr>
          <w:rFonts w:ascii="Arial" w:hAnsi="Arial"/>
          <w:color w:val="282828"/>
          <w:sz w:val="19"/>
        </w:rPr>
        <w:t>Éxito: Documento guardado inmutable con estado 'Cargado' en cola. Fallo: Archivo descartado.</w:t>
      </w:r>
    </w:p>
    <w:p>
      <w:pPr>
        <w:spacing w:before="200" w:after="80"/>
      </w:pPr>
      <w:r>
        <w:rPr>
          <w:rFonts w:ascii="Arial" w:hAnsi="Arial"/>
          <w:b/>
          <w:color w:val="1E50A0"/>
          <w:sz w:val="22"/>
        </w:rPr>
        <w:t>CU-03: Ejecutar Pipeline de Análisis e Inferencia de IA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Actor Principal: </w:t>
      </w:r>
      <w:r>
        <w:rPr>
          <w:rFonts w:ascii="Arial" w:hAnsi="Arial"/>
          <w:color w:val="282828"/>
          <w:sz w:val="19"/>
        </w:rPr>
        <w:t>Sistema (Worker Asíncrono FastAPI/Celery)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Actores Secundarios: </w:t>
      </w:r>
      <w:r>
        <w:rPr>
          <w:rFonts w:ascii="Arial" w:hAnsi="Arial"/>
          <w:color w:val="282828"/>
          <w:sz w:val="19"/>
        </w:rPr>
        <w:t>OCR Tesseract, Embeddings, Vector DB, LLM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Precondiciones: </w:t>
      </w:r>
      <w:r>
        <w:rPr>
          <w:rFonts w:ascii="Arial" w:hAnsi="Arial"/>
          <w:color w:val="282828"/>
          <w:sz w:val="19"/>
        </w:rPr>
        <w:t>Documento en estado 'Cargado' y binario accesible en storage.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Disparador (Trigger): </w:t>
      </w:r>
      <w:r>
        <w:rPr>
          <w:rFonts w:ascii="Arial" w:hAnsi="Arial"/>
          <w:color w:val="282828"/>
          <w:sz w:val="19"/>
        </w:rPr>
        <w:t>Llegada de mensaje a la cola de procesamiento de documentos.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>Flujo Principal:</w:t>
      </w:r>
      <w:r>
        <w:rPr>
          <w:rFonts w:ascii="Arial" w:hAnsi="Arial"/>
          <w:color w:val="282828"/>
          <w:sz w:val="19"/>
        </w:rPr>
      </w:r>
    </w:p>
    <w:p>
      <w:pPr>
        <w:pStyle w:val="ListBullet"/>
        <w:spacing w:before="0" w:after="60" w:line="276" w:lineRule="auto"/>
      </w:pPr>
      <w:r>
        <w:rPr>
          <w:rFonts w:ascii="Arial" w:hAnsi="Arial"/>
          <w:color w:val="282828"/>
          <w:sz w:val="19"/>
        </w:rPr>
        <w:t>1. El Worker toma la tarea y actualiza el estado a 'En Proceso'.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color w:val="282828"/>
          <w:sz w:val="19"/>
        </w:rPr>
        <w:t>2. Invoca el módulo de extracción (PyMuPDF / python-docx / OCR Tesseract si no hay texto digital).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color w:val="282828"/>
          <w:sz w:val="19"/>
        </w:rPr>
        <w:t>3. Limpia y divide el texto en chunks (500 tokens con overlap de 100).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color w:val="282828"/>
          <w:sz w:val="19"/>
        </w:rPr>
        <w:t>4. Genera embeddings vectoriales e indexa en Vector DB (Qdrant/pgvector).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color w:val="282828"/>
          <w:sz w:val="19"/>
        </w:rPr>
        <w:t>5. Ejecuta modelo de clasificación multiclase (Administrativo, Técnico, Legal/Financiero).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color w:val="282828"/>
          <w:sz w:val="19"/>
        </w:rPr>
        <w:t>6. Invoca prompt de síntesis en LLM para generar Resumen Ejecutivo.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color w:val="282828"/>
          <w:sz w:val="19"/>
        </w:rPr>
        <w:t>7. Invoca prompt estructurado con JSON Schema para extraer entidades clave.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color w:val="282828"/>
          <w:sz w:val="19"/>
        </w:rPr>
        <w:t>8. Actualiza base de datos con estado 'Procesado', resumen y JSON de entidades.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>Flujos Alternativos:</w:t>
      </w:r>
      <w:r>
        <w:rPr>
          <w:rFonts w:ascii="Arial" w:hAnsi="Arial"/>
          <w:color w:val="282828"/>
          <w:sz w:val="19"/>
        </w:rPr>
      </w:r>
    </w:p>
    <w:p>
      <w:pPr>
        <w:pStyle w:val="ListBullet"/>
        <w:spacing w:before="0" w:after="60" w:line="276" w:lineRule="auto"/>
      </w:pPr>
      <w:r>
        <w:rPr>
          <w:rFonts w:ascii="Arial" w:hAnsi="Arial"/>
          <w:color w:val="282828"/>
          <w:sz w:val="19"/>
        </w:rPr>
        <w:t>FA-01: Activación automática de OCR cuando el PDF contiene sólo imágenes escaneadas.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color w:val="282828"/>
          <w:sz w:val="19"/>
        </w:rPr>
        <w:t>FA-02: Reintentos con Exponential Backoff ante errores de rate limit (HTTP 429).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>Flujos de Excepción:</w:t>
      </w:r>
      <w:r>
        <w:rPr>
          <w:rFonts w:ascii="Arial" w:hAnsi="Arial"/>
          <w:color w:val="282828"/>
          <w:sz w:val="19"/>
        </w:rPr>
      </w:r>
    </w:p>
    <w:p>
      <w:pPr>
        <w:pStyle w:val="ListBullet"/>
        <w:spacing w:before="0" w:after="60" w:line="276" w:lineRule="auto"/>
      </w:pPr>
      <w:r>
        <w:rPr>
          <w:rFonts w:ascii="Arial" w:hAnsi="Arial"/>
          <w:color w:val="282828"/>
          <w:sz w:val="19"/>
        </w:rPr>
        <w:t>FE-01: Archivo corrupto o ilegible -&gt; Estado 'Error' y log con traza detallada.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color w:val="282828"/>
          <w:sz w:val="19"/>
        </w:rPr>
        <w:t>FE-02: Caída persistente del proveedor de IA tras 3 reintentos -&gt; Estado 'Error'.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Postcondiciones: </w:t>
      </w:r>
      <w:r>
        <w:rPr>
          <w:rFonts w:ascii="Arial" w:hAnsi="Arial"/>
          <w:color w:val="282828"/>
          <w:sz w:val="19"/>
        </w:rPr>
        <w:t>Éxito: Estado 'Procesado', vectores indexados y metadatos persistidos. Fallo: Estado 'Error'.</w:t>
      </w:r>
    </w:p>
    <w:p>
      <w:pPr>
        <w:spacing w:before="200" w:after="80"/>
      </w:pPr>
      <w:r>
        <w:rPr>
          <w:rFonts w:ascii="Arial" w:hAnsi="Arial"/>
          <w:b/>
          <w:color w:val="1E50A0"/>
          <w:sz w:val="22"/>
        </w:rPr>
        <w:t>CU-04: Realizar Consulta Semántica Documental (RAG)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Actor Principal: </w:t>
      </w:r>
      <w:r>
        <w:rPr>
          <w:rFonts w:ascii="Arial" w:hAnsi="Arial"/>
          <w:color w:val="282828"/>
          <w:sz w:val="19"/>
        </w:rPr>
        <w:t>Consultor / Auditor / Analista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Actores Secundarios: </w:t>
      </w:r>
      <w:r>
        <w:rPr>
          <w:rFonts w:ascii="Arial" w:hAnsi="Arial"/>
          <w:color w:val="282828"/>
          <w:sz w:val="19"/>
        </w:rPr>
        <w:t>Motor Embeddings, Vector DB, LLM Generativo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Precondiciones: </w:t>
      </w:r>
      <w:r>
        <w:rPr>
          <w:rFonts w:ascii="Arial" w:hAnsi="Arial"/>
          <w:color w:val="282828"/>
          <w:sz w:val="19"/>
        </w:rPr>
        <w:t>Usuario autenticado y documentos en estado 'Procesado' accesibles según rol.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Disparador (Trigger): </w:t>
      </w:r>
      <w:r>
        <w:rPr>
          <w:rFonts w:ascii="Arial" w:hAnsi="Arial"/>
          <w:color w:val="282828"/>
          <w:sz w:val="19"/>
        </w:rPr>
        <w:t>Usuario escribe pregunta en lenguaje natural y presiona 'Consultar'.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>Flujo Principal:</w:t>
      </w:r>
      <w:r>
        <w:rPr>
          <w:rFonts w:ascii="Arial" w:hAnsi="Arial"/>
          <w:color w:val="282828"/>
          <w:sz w:val="19"/>
        </w:rPr>
      </w:r>
    </w:p>
    <w:p>
      <w:pPr>
        <w:pStyle w:val="ListBullet"/>
        <w:spacing w:before="0" w:after="60" w:line="276" w:lineRule="auto"/>
      </w:pPr>
      <w:r>
        <w:rPr>
          <w:rFonts w:ascii="Arial" w:hAnsi="Arial"/>
          <w:color w:val="282828"/>
          <w:sz w:val="19"/>
        </w:rPr>
        <w:t>1. El usuario formula su consulta (ej. '¿Cuáles son los plazos de entrega del informe?').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color w:val="282828"/>
          <w:sz w:val="19"/>
        </w:rPr>
        <w:t>2. El Frontend despacha POST /api/v1/rag/query con la pregunta y filtros.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color w:val="282828"/>
          <w:sz w:val="19"/>
        </w:rPr>
        <w:t>3. El módulo de IA genera el embedding de la pregunta.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color w:val="282828"/>
          <w:sz w:val="19"/>
        </w:rPr>
        <w:t>4. Busca por similitud de coseno en Vector DB con filtros RBAC recuperando Top-K chunks (K=4).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color w:val="282828"/>
          <w:sz w:val="19"/>
        </w:rPr>
        <w:t>5. Inyecta los fragmentos en el System Prompt instruyendo al LLM a responder basado en el contexto.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color w:val="282828"/>
          <w:sz w:val="19"/>
        </w:rPr>
        <w:t>6. El LLM genera la respuesta con citas explícitas [Documento, Página].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color w:val="282828"/>
          <w:sz w:val="19"/>
        </w:rPr>
        <w:t>7. El Backend retorna la respuesta en &lt;2.5s y la interfaz muestra tarjetas interactivas.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>Flujos Alternativos:</w:t>
      </w:r>
      <w:r>
        <w:rPr>
          <w:rFonts w:ascii="Arial" w:hAnsi="Arial"/>
          <w:color w:val="282828"/>
          <w:sz w:val="19"/>
        </w:rPr>
      </w:r>
    </w:p>
    <w:p>
      <w:pPr>
        <w:pStyle w:val="ListBullet"/>
        <w:spacing w:before="0" w:after="60" w:line="276" w:lineRule="auto"/>
      </w:pPr>
      <w:r>
        <w:rPr>
          <w:rFonts w:ascii="Arial" w:hAnsi="Arial"/>
          <w:color w:val="282828"/>
          <w:sz w:val="19"/>
        </w:rPr>
        <w:t>FA-01: Búsqueda restringida a una única carpeta o documento seleccionado.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color w:val="282828"/>
          <w:sz w:val="19"/>
        </w:rPr>
        <w:t>FA-02: Conversación contextual multiturno incorporando historial previo.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>Flujos de Excepción:</w:t>
      </w:r>
      <w:r>
        <w:rPr>
          <w:rFonts w:ascii="Arial" w:hAnsi="Arial"/>
          <w:color w:val="282828"/>
          <w:sz w:val="19"/>
        </w:rPr>
      </w:r>
    </w:p>
    <w:p>
      <w:pPr>
        <w:pStyle w:val="ListBullet"/>
        <w:spacing w:before="0" w:after="60" w:line="276" w:lineRule="auto"/>
      </w:pPr>
      <w:r>
        <w:rPr>
          <w:rFonts w:ascii="Arial" w:hAnsi="Arial"/>
          <w:color w:val="282828"/>
          <w:sz w:val="19"/>
        </w:rPr>
        <w:t>FE-01: Similitud inferior a umbral (score &lt; 0.65) -&gt; Retorna 'Información no encontrada'.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color w:val="282828"/>
          <w:sz w:val="19"/>
        </w:rPr>
        <w:t>FE-02: Timeout de Vector DB (&gt; 2.0s) -&gt; HTTP 504 con mensaje controlado.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Postcondiciones: </w:t>
      </w:r>
      <w:r>
        <w:rPr>
          <w:rFonts w:ascii="Arial" w:hAnsi="Arial"/>
          <w:color w:val="282828"/>
          <w:sz w:val="19"/>
        </w:rPr>
        <w:t>Éxito: Respuesta fundamentada con citas entregada en &lt;2.5s. Fallo: Mensaje de contingencia.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