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E387A"/>
          <w:sz w:val="32"/>
        </w:rPr>
        <w:t>ANÁLISIS Y GESTIÓN DE RIESGOS TÉCNICOS Y DE IA</w:t>
      </w:r>
    </w:p>
    <w:p>
      <w:pPr>
        <w:spacing w:after="240"/>
        <w:jc w:val="center"/>
      </w:pPr>
      <w:r>
        <w:rPr>
          <w:rFonts w:ascii="Arial" w:hAnsi="Arial"/>
          <w:i/>
          <w:color w:val="5A5A5A"/>
          <w:sz w:val="20"/>
        </w:rPr>
        <w:t>Sistema Inteligente de Gestión y Análisis Documental | Unidades Tecnológicas de Santander (UTS)</w:t>
        <w:br/>
        <w:t>Estándar: ISO 31000 / OWASP Top 10 for LLM Applications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1. Metodología de Evaluación de Riesgos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La evaluación cuantitativa se rige por la fórmula: Severidad = Probabilidad (P: 1 a 5) x Impacto (I: 1 a 5). Los niveles se clasifican en: Bajo (1 a 6 - Monitoreo), Medio (8 a 12 - Mitigación programada) y Alto (15 a 25 - Atención inmediata y plan de contingencia obligatorio).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2. Tabla Maestra de Riesgos Técnicos y de 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008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60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Riesgo Identificado</w:t>
            </w:r>
          </w:p>
        </w:tc>
        <w:tc>
          <w:tcPr>
            <w:tcW w:type="dxa" w:w="216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72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 (1-5)</w:t>
            </w:r>
          </w:p>
        </w:tc>
        <w:tc>
          <w:tcPr>
            <w:tcW w:type="dxa" w:w="72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I (1-5)</w:t>
            </w:r>
          </w:p>
        </w:tc>
        <w:tc>
          <w:tcPr>
            <w:tcW w:type="dxa" w:w="115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Severidad (PxI)</w:t>
            </w:r>
          </w:p>
        </w:tc>
        <w:tc>
          <w:tcPr>
            <w:tcW w:type="dxa" w:w="1008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Nivel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RSK-01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Alucinaciones o imprecisiones en respuestas IA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Inteligencia Artificial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16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Alto</w:t>
            </w:r>
          </w:p>
        </w:tc>
      </w:tr>
      <w:tr>
        <w:tc>
          <w:tcPr>
            <w:tcW w:type="dxa" w:w="100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RSK-02</w:t>
            </w:r>
          </w:p>
        </w:tc>
        <w:tc>
          <w:tcPr>
            <w:tcW w:type="dxa" w:w="360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Latencias elevadas por embeddings u OCR</w:t>
            </w:r>
          </w:p>
        </w:tc>
        <w:tc>
          <w:tcPr>
            <w:tcW w:type="dxa" w:w="216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Rendimiento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4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3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12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Medio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RSK-03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Archivos corruptos o PDFs escaneados borrosos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Calidad de Datos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3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12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Medio</w:t>
            </w:r>
          </w:p>
        </w:tc>
      </w:tr>
      <w:tr>
        <w:tc>
          <w:tcPr>
            <w:tcW w:type="dxa" w:w="100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RSK-04</w:t>
            </w:r>
          </w:p>
        </w:tc>
        <w:tc>
          <w:tcPr>
            <w:tcW w:type="dxa" w:w="360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Agotamiento de cuotas / sobrecostos de IA</w:t>
            </w:r>
          </w:p>
        </w:tc>
        <w:tc>
          <w:tcPr>
            <w:tcW w:type="dxa" w:w="216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Costos / Infraestructura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3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4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12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Medio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RSK-05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Inyección indirecta de prompts en documentos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Ciberseguridad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3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5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15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Alto</w:t>
            </w:r>
          </w:p>
        </w:tc>
      </w:tr>
      <w:tr>
        <w:tc>
          <w:tcPr>
            <w:tcW w:type="dxa" w:w="100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RSK-06</w:t>
            </w:r>
          </w:p>
        </w:tc>
        <w:tc>
          <w:tcPr>
            <w:tcW w:type="dxa" w:w="360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Fuga de información entre roles en búsqueda RAG</w:t>
            </w:r>
          </w:p>
        </w:tc>
        <w:tc>
          <w:tcPr>
            <w:tcW w:type="dxa" w:w="216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Seguridad / Privacidad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2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5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10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Medio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3. Planes de Acción, Mitigación y Contingencia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RSK-01: Alucinaciones o imprecisiones en respuestas IA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Mitigación: Arquitectura RAG estricta con prompt negativo rígido ('Responde únicamente con el contexto provisto...'), temperatura LLM &lt;= 0.1 y citas obligatorias de origen.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Contingencia: Si el score vectorial de similitud es &lt; 0.65, el sistema no invoca al LLM y responde: 'Información no disponible en el repositorio institucional'.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RSK-02: Latencias elevadas por embeddings u OCR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Mitigación: Procesamiento asíncrono con colas Celery/Redis, caché de embeddings en Redis para consultas frecuentes y segmentación en memoria.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Contingencia: Timeouts estrictos (2.0s vector search, 5.0s LLM) y degradación elegante a búsqueda léxica tradicional si el motor RAG no responde a tiempo.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RSK-03: Archivos corruptos o PDFs escaneados borrosos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Mitigación: Prevalidación de cabeceras con PyMuPDF/python-docx y fallback automático a OCR Tesseract con binarización y realce de contraste OpenCV.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Contingencia: Captura controlada de excepciones, marcado en estado 'Error' sin detener el worker, registro de traza y notificación al usuario.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RSK-04: Agotamiento de cuotas / sobrecostos de IA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Mitigación: Uso de modelo local de embeddings (all-MiniLM-L6-v2), limitación de tasa por usuario y cuota máxima diaria institucional.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Contingencia: Exponential Backoff con Jitter ante errores HTTP 429 y conmutación automática (failover) a proveedor secundario o modelo local (Ollama/vLLM).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RSK-05: Inyección indirecta de prompts en documentos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Mitigación: Encapsulamiento del texto de documentos en etiquetas XML pasivas (&lt;contexto_documental&gt;) e instrucción estricta al System Prompt de no ejecutar órdenes internas.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Contingencia: Validador de salida para detectar patrones de fuga de prompts del sistema y bloqueo preventivo con alerta en auditoría.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RSK-06: Fuga de información entre roles en búsqueda RAG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Mitigación: Payload Filtering en base de datos vectorial aplicando filtros booleanos de roles y usuarios antes de calcular similitud.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Contingencia: Doble verificación en backend validando los permisos del documento de cada chunk antes de armar el prompt generativo.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