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E387A"/>
          <w:sz w:val="32"/>
        </w:rPr>
        <w:t>DOCUMENTO DE ARQUITECTURA DE SOFTWARE (SAD)</w:t>
      </w:r>
    </w:p>
    <w:p>
      <w:pPr>
        <w:spacing w:after="240"/>
        <w:jc w:val="center"/>
      </w:pPr>
      <w:r>
        <w:rPr>
          <w:rFonts w:ascii="Arial" w:hAnsi="Arial"/>
          <w:i/>
          <w:color w:val="5A5A5A"/>
          <w:sz w:val="20"/>
        </w:rPr>
        <w:t>Sistema Inteligente de Gestión y Análisis Documental | Unidades Tecnológicas de Santander (UTS)</w:t>
        <w:br/>
        <w:t>Versión 1.0.0 - Línea Base de Diseño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1. Control de Cambios y Línea Base de Diseño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44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016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Autor(es)</w:t>
            </w:r>
          </w:p>
        </w:tc>
        <w:tc>
          <w:tcPr>
            <w:tcW w:type="dxa" w:w="2016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Rol</w:t>
            </w:r>
          </w:p>
        </w:tc>
        <w:tc>
          <w:tcPr>
            <w:tcW w:type="dxa" w:w="259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Descripción del Cambio</w:t>
            </w:r>
          </w:p>
        </w:tc>
        <w:tc>
          <w:tcPr>
            <w:tcW w:type="dxa" w:w="115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1.0.0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06/09/2026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Equipo de Arquitectura UTS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Arquitecto de Software Senior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Definición de arquitectura en microservicios, diagramas Mermaid, ADRs y seguridad.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Aprobado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2. Vista General de la Arquitectura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2.1 Patrón Arquitectónico Seleccionado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Para el Sistema Inteligente de Gestión y Análisis Documental de las UTS se adopta una Arquitectura de Microservicios Desacoplados Orientada a Eventos Asíncronos. Esta elección permite segregar el tráfico transaccional de gestión de usuarios y carpetas (Java Spring Boot) de las tareas intensivas en cómputo de OCR, chunking, embeddings y generación RAG (Python FastAPI/Celery), garantizando escalabilidad horizontal independiente y tolerancia a fallos.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2.2 Descripción de Capas del Sistema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Capa de Presentación (Frontend SPA): </w:t>
      </w:r>
      <w:r>
        <w:rPr>
          <w:rFonts w:ascii="Arial" w:hAnsi="Arial"/>
          <w:color w:val="282828"/>
          <w:sz w:val="19"/>
        </w:rPr>
        <w:t>Desarrollada en React 18, TypeScript y TailwindCSS con Axios e interceptores JWT.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Capa de Negocio y Orquestación (Backend REST): </w:t>
      </w:r>
      <w:r>
        <w:rPr>
          <w:rFonts w:ascii="Arial" w:hAnsi="Arial"/>
          <w:color w:val="282828"/>
          <w:sz w:val="19"/>
        </w:rPr>
        <w:t>Desarrollada en Spring Boot 3.x REST API, responsable de la autenticación JWT, RBAC, auditoría y orquestación de tareas.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Capa de Inteligencia Artificial (Microservicio IA): </w:t>
      </w:r>
      <w:r>
        <w:rPr>
          <w:rFonts w:ascii="Arial" w:hAnsi="Arial"/>
          <w:color w:val="282828"/>
          <w:sz w:val="19"/>
        </w:rPr>
        <w:t>Implementada en Python con FastAPI y Celery; ejecuta PyMuPDF, OCR Tesseract, Sentence-Transformers y RAG con LLM.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Capa de Persistencia y Storage: </w:t>
      </w:r>
      <w:r>
        <w:rPr>
          <w:rFonts w:ascii="Arial" w:hAnsi="Arial"/>
          <w:color w:val="282828"/>
          <w:sz w:val="19"/>
        </w:rPr>
        <w:t>PostgreSQL 16 para datos relacionales, extensión pgvector para embeddings y volumen local persistente para archivos binarios.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3. Diagramas Arquitectónicos (Sintaxis Mermaid)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3.1 Diagrama de Arquitectura General del Sistema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flowchart TB</w:t>
        <w:br/>
        <w:t xml:space="preserve">    UI["Frontend Web (React + Tailwind)"] --&gt;|"HTTPS / JWT"| Gateway["API Gateway (Spring Boot)"]</w:t>
        <w:br/>
        <w:t xml:space="preserve">    Gateway --&gt; Auth["Auth &amp; RBAC Service"]</w:t>
        <w:br/>
        <w:t xml:space="preserve">    Gateway --&gt; DocMgr["Document Manager"]</w:t>
        <w:br/>
        <w:t xml:space="preserve">    Gateway --&gt; Audit["Audit Logger"]</w:t>
        <w:br/>
        <w:t xml:space="preserve">    DocMgr --&gt;|"Storage"| FileStore[("File Storage")]</w:t>
        <w:br/>
        <w:t xml:space="preserve">    DocMgr --&gt;|"Metadata"| Postgres[("PostgreSQL 16")]</w:t>
        <w:br/>
        <w:t xml:space="preserve">    DocMgr --&gt;|"Async Tasks"| AIEngine["AI Service (Python FastAPI)"]</w:t>
        <w:br/>
        <w:t xml:space="preserve">    AIEngine --&gt; OCR["OCR / Text Extractor"]</w:t>
        <w:br/>
        <w:t xml:space="preserve">    AIEngine --&gt; Classif["Classifier (Administrativo/Financiero/Técnico)"]</w:t>
        <w:br/>
        <w:t xml:space="preserve">    AIEngine --&gt; SumExt["Summarizer &amp; JSON Schema Extractor"]</w:t>
        <w:br/>
        <w:t xml:space="preserve">    AIEngine --&gt; VecStore[("pgvector Store")]</w:t>
        <w:br/>
        <w:t xml:space="preserve">    UI --&gt;|"Query RAG"| Gateway</w:t>
        <w:br/>
        <w:t xml:space="preserve">    Gateway --&gt;|"RAG Ingestion"| AIEngine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3.2 Diagrama de Componentes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classDiagram</w:t>
        <w:br/>
        <w:t xml:space="preserve">    class AuthController { +login() +refresh() }</w:t>
        <w:br/>
        <w:t xml:space="preserve">    class DocumentController { +upload() +getAnalysis() +queryRAG() }</w:t>
        <w:br/>
        <w:t xml:space="preserve">    class SecurityService { +validateToken() +checkRBAC() }</w:t>
        <w:br/>
        <w:t xml:space="preserve">    class DocumentService { +saveFile() +notifyAIPipeline() }</w:t>
        <w:br/>
        <w:t xml:space="preserve">    class AIPipelineClient { +processDoc() +executeRAG() }</w:t>
        <w:br/>
        <w:t xml:space="preserve">    class VectorStoreClient { +storeVectors() +similaritySearch() }</w:t>
        <w:br/>
        <w:t xml:space="preserve">    AuthController --&gt; SecurityService</w:t>
        <w:br/>
        <w:t xml:space="preserve">    DocumentController --&gt; DocumentService</w:t>
        <w:br/>
        <w:t xml:space="preserve">    DocumentController --&gt; AIPipelineClient</w:t>
        <w:br/>
        <w:t xml:space="preserve">    AIPipelineClient --&gt; VectorStoreClient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3.3 Diagrama de Despliegue en Contenedores (Docker)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flowchart LR</w:t>
        <w:br/>
        <w:t xml:space="preserve">    Host["Ubuntu Linux 24.04 LTS (Docker Host)"]</w:t>
        <w:br/>
        <w:t xml:space="preserve">    Nginx["Nginx (443/80)"] --&gt; SpringApp["Spring Boot API (:8080)"]</w:t>
        <w:br/>
        <w:t xml:space="preserve">    SpringApp --&gt; Postgres["PostgreSQL 16 + pgvector (:5432)"]</w:t>
        <w:br/>
        <w:t xml:space="preserve">    SpringApp --&gt; FastAPI["FastAPI AI Service (:8000)"]</w:t>
        <w:br/>
        <w:t xml:space="preserve">    FastAPI --&gt; Redis["Redis Queue (:6379)"]</w:t>
        <w:br/>
        <w:t xml:space="preserve">    FastAPI --&gt; Postgres</w:t>
        <w:br/>
        <w:t xml:space="preserve">    FastAPI --&gt; Volume["/var/data/documents"]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3.4 Diagramas de Secuencia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Flujo Documental: </w:t>
      </w:r>
      <w:r>
        <w:rPr>
          <w:rFonts w:ascii="Arial" w:hAnsi="Arial"/>
          <w:color w:val="282828"/>
          <w:sz w:val="19"/>
        </w:rPr>
        <w:t>Secuencia 1: Carga, Parseo, Clasificación y Resumen con IA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sequenceDiagram</w:t>
        <w:br/>
        <w:t xml:space="preserve">    Analista-&gt;&gt;UI: Sube archivo (PDF/DOCX/TXT)</w:t>
        <w:br/>
        <w:t xml:space="preserve">    UI-&gt;&gt;API: POST /api/v1/documents/upload</w:t>
        <w:br/>
        <w:t xml:space="preserve">    API-&gt;&gt;Storage: Guarda binario</w:t>
        <w:br/>
        <w:t xml:space="preserve">    API-&gt;&gt;DB: INSERT documento (PENDING)</w:t>
        <w:br/>
        <w:t xml:space="preserve">    API-&gt;&gt;AI: POST /internal/v1/process-document</w:t>
        <w:br/>
        <w:t xml:space="preserve">    AI-&gt;&gt;AI: OCR/Text Extraction + Chunking + Embeddings</w:t>
        <w:br/>
        <w:t xml:space="preserve">    AI-&gt;&gt;DB: Guarda vectores (pgvector)</w:t>
        <w:br/>
        <w:t xml:space="preserve">    AI-&gt;&gt;AI: Clasificación + Resumen + JSON Extractor</w:t>
        <w:br/>
        <w:t xml:space="preserve">    AI-&gt;&gt;DB: UPDATE estado = COMPLETED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Flujo RAG: </w:t>
      </w:r>
      <w:r>
        <w:rPr>
          <w:rFonts w:ascii="Arial" w:hAnsi="Arial"/>
          <w:color w:val="282828"/>
          <w:sz w:val="19"/>
        </w:rPr>
        <w:t>Secuencia 2: Consulta Semántica en Lenguaje Natural con RAG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sequenceDiagram</w:t>
        <w:br/>
        <w:t xml:space="preserve">    Consultor-&gt;&gt;UI: Pregunta en lenguaje natural</w:t>
        <w:br/>
        <w:t xml:space="preserve">    UI-&gt;&gt;API: POST /api/v1/documents/query</w:t>
        <w:br/>
        <w:t xml:space="preserve">    API-&gt;&gt;AI: POST /internal/v1/rag/query</w:t>
        <w:br/>
        <w:t xml:space="preserve">    AI-&gt;&gt;AI: Genera vector de consulta</w:t>
        <w:br/>
        <w:t xml:space="preserve">    AI-&gt;&gt;pgvector: Búsqueda por similitud coseno (Top-4 chunks)</w:t>
        <w:br/>
        <w:t xml:space="preserve">    pgvector--&gt;&gt;AI: Retorna fragmentos relevantes</w:t>
        <w:br/>
        <w:t xml:space="preserve">    AI-&gt;&gt;LLM: Inyecta prompt con contexto delimitado</w:t>
        <w:br/>
        <w:t xml:space="preserve">    LLM--&gt;&gt;AI: Respuesta con citas exactas</w:t>
        <w:br/>
        <w:t xml:space="preserve">    AI--&gt;&gt;UI: Retorna respuesta + fuentes [Doc, Pág]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4. Decisiones Tecnológicas (ADR - Architecture Decision Records)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008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ID ADR</w:t>
            </w:r>
          </w:p>
        </w:tc>
        <w:tc>
          <w:tcPr>
            <w:tcW w:type="dxa" w:w="187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016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Opción Elegida</w:t>
            </w:r>
          </w:p>
        </w:tc>
        <w:tc>
          <w:tcPr>
            <w:tcW w:type="dxa" w:w="1584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Alternativas</w:t>
            </w:r>
          </w:p>
        </w:tc>
        <w:tc>
          <w:tcPr>
            <w:tcW w:type="dxa" w:w="3888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Justificación Técnica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ADR-01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Backend Principal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Java Spring Boot 3.x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Node.js, Django, .NET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Seguridad empresarial robusta (Spring Security), tipado fuerte y rendimiento.</w:t>
            </w:r>
          </w:p>
        </w:tc>
      </w:tr>
      <w:tr>
        <w:tc>
          <w:tcPr>
            <w:tcW w:type="dxa" w:w="100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ADR-02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Microservicio IA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Python 3.11 + FastAPI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Flask, Go, Tornado</w:t>
            </w:r>
          </w:p>
        </w:tc>
        <w:tc>
          <w:tcPr>
            <w:tcW w:type="dxa" w:w="388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Ecosistema líder en IA/NLP y ejecución asíncrona de alto desempeño.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ADR-03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Embeddings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Sentence-Transformers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OpenAI, Cohere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Ejecución local compacta (384 dim), sin costos de API y total privacidad.</w:t>
            </w:r>
          </w:p>
        </w:tc>
      </w:tr>
      <w:tr>
        <w:tc>
          <w:tcPr>
            <w:tcW w:type="dxa" w:w="100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ADR-04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Base de Datos/Vectores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PostgreSQL 16 + pgvector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Pinecone, MySQL</w:t>
            </w:r>
          </w:p>
        </w:tc>
        <w:tc>
          <w:tcPr>
            <w:tcW w:type="dxa" w:w="388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Unificación relacional y vectorial ACID con índices HNSW en un solo motor.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ADR-05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Extracción/OCR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PyMuPDF + Tesseract 5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PDFMiner, Tika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Velocidad de parsing 10x superior y OCR neural LSTM de alta precisión.</w:t>
            </w:r>
          </w:p>
        </w:tc>
      </w:tr>
      <w:tr>
        <w:tc>
          <w:tcPr>
            <w:tcW w:type="dxa" w:w="100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ADR-06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Frontend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React 18 + TailwindCSS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Angular, Vue</w:t>
            </w:r>
          </w:p>
        </w:tc>
        <w:tc>
          <w:tcPr>
            <w:tcW w:type="dxa" w:w="388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Modularidad, tipado con TypeScript y experiencia visual moderna.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5. Diseño de Seguridad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Manejo de Secretos: </w:t>
      </w:r>
      <w:r>
        <w:rPr>
          <w:rFonts w:ascii="Arial" w:hAnsi="Arial"/>
          <w:color w:val="282828"/>
          <w:sz w:val="19"/>
        </w:rPr>
        <w:t>Variables sensibles (JWT_SECRET_KEY, DB_PASS, API_KEYS) aisladas en .env y runtime de Docker.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Control RBAC: </w:t>
      </w:r>
      <w:r>
        <w:rPr>
          <w:rFonts w:ascii="Arial" w:hAnsi="Arial"/>
          <w:color w:val="282828"/>
          <w:sz w:val="19"/>
        </w:rPr>
        <w:t>Segregación estricta de permisos para ADMIN (total), ANALISTA (carga/edición) y CONSULTOR (lectura/RAG).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Sanitización de Archivos: </w:t>
      </w:r>
      <w:r>
        <w:rPr>
          <w:rFonts w:ascii="Arial" w:hAnsi="Arial"/>
          <w:color w:val="282828"/>
          <w:sz w:val="19"/>
        </w:rPr>
        <w:t>Validación de Magic Bytes binarios, sanitización de rutas UUID v4 y límite de 20 MB por archivo.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