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E387A"/>
          <w:sz w:val="32"/>
        </w:rPr>
        <w:t>GUÍA DE DISEÑO DE INTERFAZ, MOCKUPS Y UX</w:t>
      </w:r>
    </w:p>
    <w:p>
      <w:pPr>
        <w:spacing w:after="240"/>
        <w:jc w:val="center"/>
      </w:pPr>
      <w:r>
        <w:rPr>
          <w:rFonts w:ascii="Arial" w:hAnsi="Arial"/>
          <w:i/>
          <w:color w:val="5A5A5A"/>
          <w:sz w:val="20"/>
        </w:rPr>
        <w:t>Sistema Inteligente de Gestión y Análisis Documental | Unidades Tecnológicas de Santander (UTS)</w:t>
        <w:br/>
        <w:t>Estándar: Heurísticas de Nielsen / Diseño Atómico &amp; WCAG 2.1 AA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1. Directrices de Diseño y Guía de Estilos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Paleta Cromática: </w:t>
      </w:r>
      <w:r>
        <w:rPr>
          <w:rFonts w:ascii="Arial" w:hAnsi="Arial"/>
          <w:color w:val="282828"/>
          <w:sz w:val="19"/>
        </w:rPr>
        <w:t>Verde Institucional (#1B5E20), Azul Profundo (#0E387A), Fondo Neutro (#F8FAFC), Blanco (#FFFFFF) y semántica de estados (Verde #16A34A, Amarillo #EAB308, Rojo #DC2626).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Tipografía: </w:t>
      </w:r>
      <w:r>
        <w:rPr>
          <w:rFonts w:ascii="Arial" w:hAnsi="Arial"/>
          <w:color w:val="282828"/>
          <w:sz w:val="19"/>
        </w:rPr>
        <w:t>Tipografía Inter / Roboto con escala jerárquica clara (H1: 24px, H2: 18px, Body: 14px, Badges: 12px).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Iconografía y Responsive: </w:t>
      </w:r>
      <w:r>
        <w:rPr>
          <w:rFonts w:ascii="Arial" w:hAnsi="Arial"/>
          <w:color w:val="282828"/>
          <w:sz w:val="19"/>
        </w:rPr>
        <w:t>Iconos vectoriales limpios Lucide-React y diseño responsivo fluido (Mobile &lt;768px, Tablet 768-1024px, Desktop &gt;1024px).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2. Especificación Detallada de Pantallas (Mockups)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Pantalla 1: Login / Acceso de Usuarios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Formulario centrado con identidad UTS, campos para correo (@uts.edu.co) y contraseña con toggle de visibilidad, botón verde de acción y enlace de ayuda TI.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+------------------------------------+--------------------------------------------+</w:t>
        <w:br/>
        <w:t>|   [LOGO UTS]                       |   Iniciar Sesión                           |</w:t>
        <w:br/>
        <w:t>|   Unidades Tecnológicas Santander  |   Correo Institucional:                    |</w:t>
        <w:br/>
        <w:t>|   Sistema Inteligente Documental   |   [ analista@uts.edu.co                  ] |</w:t>
        <w:br/>
        <w:t>|                                    |   Contraseña: [ ****************     (o) ] |</w:t>
        <w:br/>
        <w:t>|   "Conocimiento activo"            |   [   INICIAR SESIÓN (Verde UTS)   ]       |</w:t>
        <w:br/>
        <w:t>+------------------------------------+--------------------------------------------+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Pantalla 2: Dashboard Principal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4 tarjetas KPI (Total Docs, Tasa Éxito IA, Tiempo Medio, Storage), gráfico de categorías (Administrativo, Financiero, Técnico/Legal) y tabla de actividad reciente.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+---------------------------------------------------------------------------------+</w:t>
        <w:br/>
        <w:t>| UTS Documental | [Buscar...]                    (Notif) [Laura Gómez - Analista]|</w:t>
        <w:br/>
        <w:t>+--------------+------------------------------------------------------------------+</w:t>
        <w:br/>
        <w:t>| (o) Dashboard|  [Total Docs: 1,420] [Tasa Éxito: 98.2%] [Tiempo Medio: 4.15s]   |</w:t>
        <w:br/>
        <w:t>| [ ] Carpetas |  Categorías: Administrativo (44%) | Financiero (34%) | Técnico(22%)|</w:t>
        <w:br/>
        <w:t>| [ ] Subir    |  Actividad Reciente: Resolucion_045.pdf [OK] | Contrato.docx [OK]|</w:t>
        <w:br/>
        <w:t>+--------------+------------------------------------------------------------------+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Pantalla 3: Explorador de Repositorios y Carga Documental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Árbol de navegación de carpetas, zona Drag &amp; Drop para PDF/DOCX/TXT (hasta 20MB) con barra de progreso y tabla de archivos contenidos con badges de estado.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+---------------------------------------------------------------------------------+</w:t>
        <w:br/>
        <w:t>| Repositorio &gt; Actas_y_Resoluciones_2026                     [+ Nueva Carpeta]   |</w:t>
        <w:br/>
        <w:t>+----------------------+----------------------------------------------------------+</w:t>
        <w:br/>
        <w:t>| CARPETAS             |  ZONA DE CARGA (PDF, DOCX, TXT &lt;= 20MB)                  |</w:t>
        <w:br/>
        <w:t>| v Repositorio Raíz   |  [Icono Upload] Arrastra tus archivos aquí               |</w:t>
        <w:br/>
        <w:t>|   v Actas_2026       |  Subiendo: Acta_Comite_08.docx [=========&gt;  ] 78%        |</w:t>
        <w:br/>
        <w:t>|     - Resoluciones   |  Tabla: Resolucion_045.pdf (4.5MB) [COMPLETED] [Ver]     |</w:t>
        <w:br/>
        <w:t>+----------------------+----------------------------------------------------------+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Pantalla 4: Vista de Detalle Documental y Análisis de IA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Ficha completa con resumen ejecutivo generado por LLM, tarjetas de datos clave extraídos (JSON schema) y visor de trazas de auditoría de cada fase.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+---------------------------------------------------------------------------------+</w:t>
        <w:br/>
        <w:t>| Detalle: Resolucion_Rectoral_045.pdf                    [Categoría: FINANCIERO] |</w:t>
        <w:br/>
        <w:t>+---------------------------------------------------------------------------------+</w:t>
        <w:br/>
        <w:t>| [Resumen Ejecutivo (IA)]                 | [Datos Clave Extraídos (JSON)]       |</w:t>
        <w:br/>
        <w:t>| La Resolución 045 aprueba $120.000.000   | - N° Resolución: 045-2026            |</w:t>
        <w:br/>
        <w:t>| para modernizar laboratorios de software | - Monto: $120.000.000 COP            |</w:t>
        <w:br/>
        <w:t>| bajo supervisión de Vicerrectoría.       | - Emisor: Rectoría UTS               |</w:t>
        <w:br/>
        <w:t>|                                          | Trazas: Extracción OK | RAG Index OK |</w:t>
        <w:br/>
        <w:t>+---------------------------------------------------------------------------------+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Pantalla 5: Módulo de Consulta Inteligente (Chatbot RAG)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Área de chat conversacional para preguntas en lenguaje natural sobre los documentos, con tarjetas desplegables de citas exactas (documento y página).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+---------------------------------------------------------------------------------+</w:t>
        <w:br/>
        <w:t>| Consulta Inteligente RAG | Alcance: [Todas las Carpetas v]                      |</w:t>
        <w:br/>
        <w:t>+---------------------------------------------------------------------------------+</w:t>
        <w:br/>
        <w:t>| (Usuario): ¿Cuál es el presupuesto aprobado para los laboratorios de software?  |</w:t>
        <w:br/>
        <w:t>| (Asistente IA): El presupuesto aprobado es de $120.000.000 COP según rectoría.  |</w:t>
        <w:br/>
        <w:t>| +-----------------------------------------------------------------------------+ |</w:t>
        <w:br/>
        <w:t>| | Cita: Resolucion_Rectoral_045.pdf - Pág. 2 "...rubro de $120.000.000 COP..."| |</w:t>
        <w:br/>
        <w:t>| +-----------------------------------------------------------------------------+ |</w:t>
        <w:br/>
        <w:t>| [ Escribe una pregunta sobre los documentos...                      ] [ENVIAR ] |</w:t>
        <w:br/>
        <w:t>+---------------------------------------------------------------------------------+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3. Mapa de Navegación y Flujo de Usuario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flowchart TD</w:t>
        <w:br/>
        <w:t xml:space="preserve">    Login["Login"] --&gt; Role{"Rol"}</w:t>
        <w:br/>
        <w:t xml:space="preserve">    Role --&gt;|ADMIN| Dash["Dashboard"]</w:t>
        <w:br/>
        <w:t xml:space="preserve">    Role --&gt;|ANALISTA| Exp["Explorador/Carga"]</w:t>
        <w:br/>
        <w:t xml:space="preserve">    Role --&gt;|CONSULTOR| RAG["Chat RAG"]</w:t>
        <w:br/>
        <w:t xml:space="preserve">    Exp --&gt; Upload["Subir Archivo"] --&gt; Detail["Detalle IA"]</w:t>
        <w:br/>
        <w:t xml:space="preserve">    Detail --&gt; RAG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4. Matriz de Componentes Reutilizables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Componente UI</w:t>
            </w:r>
          </w:p>
        </w:tc>
        <w:tc>
          <w:tcPr>
            <w:tcW w:type="dxa" w:w="3168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Propósito</w:t>
            </w:r>
          </w:p>
        </w:tc>
        <w:tc>
          <w:tcPr>
            <w:tcW w:type="dxa" w:w="2880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Estados Visuales</w:t>
            </w:r>
          </w:p>
        </w:tc>
        <w:tc>
          <w:tcPr>
            <w:tcW w:type="dxa" w:w="2304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Props Principales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Button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Acciones primarias y secundarias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Default, Hover, Active, Disabled, Loading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variant, size, onClick</w:t>
            </w:r>
          </w:p>
        </w:tc>
      </w:tr>
      <w:tr>
        <w:tc>
          <w:tcPr>
            <w:tcW w:type="dxa" w:w="201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StatusBadge</w:t>
            </w:r>
          </w:p>
        </w:tc>
        <w:tc>
          <w:tcPr>
            <w:tcW w:type="dxa" w:w="316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Indicador de estado del documento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PENDING, PROCESSING, COMPLETED, ERROR</w:t>
            </w:r>
          </w:p>
        </w:tc>
        <w:tc>
          <w:tcPr>
            <w:tcW w:type="dxa" w:w="230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status, size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FileDropzone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Área drag-and-drop para PDF/DOCX/TXT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Idle, DragOver, Uploading, Error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maxSize (20MB), onUpload</w:t>
            </w:r>
          </w:p>
        </w:tc>
      </w:tr>
      <w:tr>
        <w:tc>
          <w:tcPr>
            <w:tcW w:type="dxa" w:w="201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SourceCitationCard</w:t>
            </w:r>
          </w:p>
        </w:tc>
        <w:tc>
          <w:tcPr>
            <w:tcW w:type="dxa" w:w="316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Tarjeta interactiva para citas RAG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Colapsada, Expandida, Hover</w:t>
            </w:r>
          </w:p>
        </w:tc>
        <w:tc>
          <w:tcPr>
            <w:tcW w:type="dxa" w:w="230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docName, page, snippet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Modal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Diálogos modales y creación de carpetas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Abierto, Cerrado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isOpen, title, onClose</w:t>
            </w:r>
          </w:p>
        </w:tc>
      </w:tr>
      <w:tr>
        <w:tc>
          <w:tcPr>
            <w:tcW w:type="dxa" w:w="201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ToastAlert</w:t>
            </w:r>
          </w:p>
        </w:tc>
        <w:tc>
          <w:tcPr>
            <w:tcW w:type="dxa" w:w="316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Notificaciones flotantes reactivas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Success, Error, Warning, Info</w:t>
            </w:r>
          </w:p>
        </w:tc>
        <w:tc>
          <w:tcPr>
            <w:tcW w:type="dxa" w:w="230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type, message, duration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