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ANÁLISIS COMPARATIVO</w:t>
        <w:br/>
        <w:t>CONTRATO PARTICULAR DE VINCULACIÓN EMPRESARIAL — EMPRESA TIPO B (STANDARD)</w:t>
        <w:br/>
        <w:t>vs. SISTEMA ACTUAL (VerYGana API)</w:t>
      </w:r>
    </w:p>
    <w:p/>
    <w:p>
      <w:pPr>
        <w:jc w:val="center"/>
      </w:pPr>
      <w:r>
        <w:rPr>
          <w:i/>
          <w:sz w:val="22"/>
        </w:rPr>
        <w:t>Qué falta implementar y qué debe cambiarse, cláusula por cláusula</w:t>
      </w:r>
    </w:p>
    <w:p/>
    <w:p>
      <w:r>
        <w:rPr>
          <w:b w:val="0"/>
          <w:i w:val="0"/>
          <w:sz w:val="18"/>
        </w:rPr>
        <w:t>Fecha del análisis: 8 de septiembre de 2026</w:t>
      </w:r>
    </w:p>
    <w:p>
      <w:r>
        <w:rPr>
          <w:b w:val="0"/>
          <w:i w:val="0"/>
          <w:sz w:val="18"/>
        </w:rPr>
        <w:t>Rama analizada: juanpablo  ·  Paquete raíz: com.verygana2</w:t>
      </w:r>
    </w:p>
    <w:p>
      <w:r>
        <w:rPr>
          <w:b/>
          <w:i w:val="0"/>
        </w:rPr>
        <w:t>Documentos fuente:</w:t>
      </w:r>
    </w:p>
    <w:p>
      <w:pPr>
        <w:pStyle w:val="ListBullet"/>
      </w:pPr>
      <w:r>
        <w:t>“CONTRATO PARTICULAR DE VINCULACIÓN EMPRESARIAL — MODALIDAD EMPRESA TIPO B”, Versión 3, entrada en vigor octubre de 2026 (PDF de 381 páginas; en adelante “CONTRATO TIPO B”). Se cita como: CONTRATO TIPO B, Cláusula X, numeral Y, pág. Z.</w:t>
      </w:r>
    </w:p>
    <w:p>
      <w:pPr>
        <w:pStyle w:val="ListBullet"/>
      </w:pPr>
      <w:r>
        <w:t>“MANUAL TÉCNICO PARA PROGRAMADORES — Contrato Particular de Vinculación Empresarial, Modalidad Empresa Tipo B”, Versión 3 (PDF de 681 páginas; en adelante “GUÍA DE PROGRAMACIÓN”). Se cita como: GUÍA DE PROGRAMACIÓN, numeral Y, sección (A. Macroproceso / D. Datos / E. Reglas / F. Controles / H. Pruebas).</w:t>
      </w:r>
    </w:p>
    <w:p>
      <w:r>
        <w:br w:type="page"/>
      </w:r>
    </w:p>
    <w:p>
      <w:pPr>
        <w:pStyle w:val="Heading1"/>
      </w:pPr>
      <w:r>
        <w:t>1. Resumen ejecutivo</w:t>
      </w:r>
    </w:p>
    <w:p>
      <w:r>
        <w:rPr>
          <w:b w:val="0"/>
          <w:i w:val="0"/>
        </w:rPr>
        <w:t>El sistema actual ya cubre buena parte del ciclo de vinculación del empresario (onboarding con diagnóstico y rutas A/B/C/D, generación y firma electrónica del contrato con ZapSign, planes BASIC/STANDARD/PREMIUM, billetera de presupuesto publicitario, campañas, juegos brandeados, encuestas, anuncios, marketplace con copago en llaves, PQRS, tesorería de 3 bolsillos, payouts a terceros por Wompi y panel de métricas del comercial). Sin embargo, el CONTRATO TIPO B describe un modelo económico y promocional sustancialmente distinto del que hoy está codificado. La brecha principal no es de detalle: es estructural.</w:t>
      </w:r>
    </w:p>
    <w:p>
      <w:r>
        <w:rPr>
          <w:b/>
          <w:i w:val="0"/>
        </w:rPr>
        <w:t>Equivalencia de nomenclatura</w:t>
      </w:r>
    </w:p>
    <w:p>
      <w:pPr>
        <w:pStyle w:val="ListBullet"/>
      </w:pPr>
      <w:r>
        <w:t>“EMPRESA TIPO B” del contrato = plan STANDARD del código (depósito de $1.000.000 a $9.999.999). Coincide exactamente con el rango de Inversión Computable del contrato (CONTRATO TIPO B, Cláusula Quinta, numeral 5.2, pág. 77; definición 2.28, pág. 20).</w:t>
      </w:r>
    </w:p>
    <w:p>
      <w:pPr>
        <w:pStyle w:val="ListBullet"/>
      </w:pPr>
      <w:r>
        <w:t>“EMPRESA PREMIUM” = plan PREMIUM (depósito ≥ $10.000.000). “EMPRESA TIPO A” = equivalente a BASIC / plan de suscripción.</w:t>
      </w:r>
    </w:p>
    <w:p>
      <w:pPr>
        <w:pStyle w:val="ListBullet"/>
      </w:pPr>
      <w:r>
        <w:t>“Aliados Estratégicos de Régimen Especial” (telecom, conectividad, streaming) = contratos aparte; hoy sólo hay el stub MobilePlan.</w:t>
      </w:r>
    </w:p>
    <w:p>
      <w:r>
        <w:rPr>
          <w:b/>
          <w:i w:val="0"/>
        </w:rPr>
        <w:t>Las 7 brechas críticas (bloquean el cumplimiento del contrato):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tcPr>
          <w:p>
            <w:r/>
            <w:r>
              <w:rPr>
                <w:b/>
                <w:sz w:val="18"/>
              </w:rPr>
              <w:t>#</w:t>
            </w:r>
          </w:p>
        </w:tc>
        <w:tc>
          <w:tcPr>
            <w:tcW w:type="dxa" w:w="4176"/>
          </w:tcPr>
          <w:p>
            <w:r/>
            <w:r>
              <w:rPr>
                <w:b/>
                <w:sz w:val="18"/>
              </w:rPr>
              <w:t>Brecha</w:t>
            </w:r>
          </w:p>
        </w:tc>
        <w:tc>
          <w:tcPr>
            <w:tcW w:type="dxa" w:w="2304"/>
          </w:tcPr>
          <w:p>
            <w:r/>
            <w:r>
              <w:rPr>
                <w:b/>
                <w:sz w:val="18"/>
              </w:rPr>
              <w:t>Cláusula(s) del contrato</w:t>
            </w:r>
          </w:p>
        </w:tc>
        <w:tc>
          <w:tcPr>
            <w:tcW w:type="dxa" w:w="3312"/>
          </w:tcPr>
          <w:p>
            <w:r/>
            <w:r>
              <w:rPr>
                <w:b/>
                <w:sz w:val="18"/>
              </w:rPr>
              <w:t>Situación en el código</w:t>
            </w:r>
          </w:p>
        </w:tc>
      </w:tr>
      <w:tr>
        <w:tc>
          <w:tcPr>
            <w:tcW w:type="dxa" w:w="432"/>
          </w:tcPr>
          <w:p>
            <w:r/>
            <w:r>
              <w:rPr>
                <w:sz w:val="17"/>
              </w:rPr>
              <w:t>1</w:t>
            </w:r>
          </w:p>
        </w:tc>
        <w:tc>
          <w:tcPr>
            <w:tcW w:type="dxa" w:w="4176"/>
          </w:tcPr>
          <w:p>
            <w:r/>
            <w:r>
              <w:rPr>
                <w:sz w:val="17"/>
              </w:rPr>
              <w:t>Régimen de Prosperidad inexistente: Umbral de Prosperidad (= Inversión Computable × 4), Saldo de Prosperidad, Venta Computable, Base Comisionable y Libro Mayor de Prosperidad.</w:t>
            </w:r>
          </w:p>
        </w:tc>
        <w:tc>
          <w:tcPr>
            <w:tcW w:type="dxa" w:w="2304"/>
          </w:tcPr>
          <w:p>
            <w:r/>
            <w:r>
              <w:rPr>
                <w:sz w:val="17"/>
              </w:rPr>
              <w:t>II (2.28–2.35), III, V (5.7–5.17), X completa, XI</w:t>
            </w:r>
          </w:p>
        </w:tc>
        <w:tc>
          <w:tcPr>
            <w:tcW w:type="dxa" w:w="3312"/>
          </w:tcPr>
          <w:p>
            <w:r/>
            <w:r>
              <w:rPr>
                <w:sz w:val="17"/>
              </w:rPr>
              <w:t>El depósito se trata como billetera de presupuesto publicitario (Wallet.balanceCents consumido por BudgetTransaction). No hay entidad ni motor de Prosperidad.</w:t>
            </w:r>
          </w:p>
        </w:tc>
      </w:tr>
      <w:tr>
        <w:tc>
          <w:tcPr>
            <w:tcW w:type="dxa" w:w="432"/>
          </w:tcPr>
          <w:p>
            <w:r/>
            <w:r>
              <w:rPr>
                <w:sz w:val="17"/>
              </w:rPr>
              <w:t>2</w:t>
            </w:r>
          </w:p>
        </w:tc>
        <w:tc>
          <w:tcPr>
            <w:tcW w:type="dxa" w:w="4176"/>
          </w:tcPr>
          <w:p>
            <w:r/>
            <w:r>
              <w:rPr>
                <w:sz w:val="17"/>
              </w:rPr>
              <w:t>Vocación Empresarial Principal (PRODUCTOS / SERVICIOS) y comisión 10 % / 15 % según vocación; reglas de establecimientos gastronómicos y paquetes integrales.</w:t>
            </w:r>
          </w:p>
        </w:tc>
        <w:tc>
          <w:tcPr>
            <w:tcW w:type="dxa" w:w="2304"/>
          </w:tcPr>
          <w:p>
            <w:r/>
            <w:r>
              <w:rPr>
                <w:sz w:val="17"/>
              </w:rPr>
              <w:t>I (1.4), II (2.5–2.8), IV (4.6), V (5.11–5.15), XI (11.2–11.9)</w:t>
            </w:r>
          </w:p>
        </w:tc>
        <w:tc>
          <w:tcPr>
            <w:tcW w:type="dxa" w:w="3312"/>
          </w:tcPr>
          <w:p>
            <w:r/>
            <w:r>
              <w:rPr>
                <w:sz w:val="17"/>
              </w:rPr>
              <w:t>CommercialDetails no tiene vocación. La comisión es un % plano por plan (STANDARD=10). No existe el 15 % de servicios ni la clasificación gastronómica.</w:t>
            </w:r>
          </w:p>
        </w:tc>
      </w:tr>
      <w:tr>
        <w:tc>
          <w:tcPr>
            <w:tcW w:type="dxa" w:w="432"/>
          </w:tcPr>
          <w:p>
            <w:r/>
            <w:r>
              <w:rPr>
                <w:sz w:val="17"/>
              </w:rPr>
              <w:t>3</w:t>
            </w:r>
          </w:p>
        </w:tc>
        <w:tc>
          <w:tcPr>
            <w:tcW w:type="dxa" w:w="4176"/>
          </w:tcPr>
          <w:p>
            <w:r/>
            <w:r>
              <w:rPr>
                <w:sz w:val="17"/>
              </w:rPr>
              <w:t>Comisión causada sólo tras agotar el Saldo de Prosperidad, con IVA incluido discriminado, causación provisional/definitiva y factura electrónica de VERYGANA.</w:t>
            </w:r>
          </w:p>
        </w:tc>
        <w:tc>
          <w:tcPr>
            <w:tcW w:type="dxa" w:w="2304"/>
          </w:tcPr>
          <w:p>
            <w:r/>
            <w:r>
              <w:rPr>
                <w:sz w:val="17"/>
              </w:rPr>
              <w:t>V (5.16–5.17), X (10.10–10.17), XI (11.13–11.19)</w:t>
            </w:r>
          </w:p>
        </w:tc>
        <w:tc>
          <w:tcPr>
            <w:tcW w:type="dxa" w:w="3312"/>
          </w:tcPr>
          <w:p>
            <w:r/>
            <w:r>
              <w:rPr>
                <w:sz w:val="17"/>
              </w:rPr>
              <w:t>PurchaseServiceImpl aplica commissionPct sobre cada venta de inmediato (unitPriceCents*pct/100). No hay umbral, ni discriminación de IVA, ni facturación.</w:t>
            </w:r>
          </w:p>
        </w:tc>
      </w:tr>
      <w:tr>
        <w:tc>
          <w:tcPr>
            <w:tcW w:type="dxa" w:w="432"/>
          </w:tcPr>
          <w:p>
            <w:r/>
            <w:r>
              <w:rPr>
                <w:sz w:val="17"/>
              </w:rPr>
              <w:t>4</w:t>
            </w:r>
          </w:p>
        </w:tc>
        <w:tc>
          <w:tcPr>
            <w:tcW w:type="dxa" w:w="4176"/>
          </w:tcPr>
          <w:p>
            <w:r/>
            <w:r>
              <w:rPr>
                <w:sz w:val="17"/>
              </w:rPr>
              <w:t>Cupo de Ofertas 3–10 publicaciones activas (parametrizable), con ≥1 bono comercial.</w:t>
            </w:r>
          </w:p>
        </w:tc>
        <w:tc>
          <w:tcPr>
            <w:tcW w:type="dxa" w:w="2304"/>
          </w:tcPr>
          <w:p>
            <w:r/>
            <w:r>
              <w:rPr>
                <w:sz w:val="17"/>
              </w:rPr>
              <w:t>II (2.12), VII (7.4.2)</w:t>
            </w:r>
          </w:p>
        </w:tc>
        <w:tc>
          <w:tcPr>
            <w:tcW w:type="dxa" w:w="3312"/>
          </w:tcPr>
          <w:p>
            <w:r/>
            <w:r>
              <w:rPr>
                <w:sz w:val="17"/>
              </w:rPr>
              <w:t>PlanFeature MAX_PRODUCTS = 50 para STANDARD. No hay concepto de “cupo de ofertas” unificado ni de bonos.</w:t>
            </w:r>
          </w:p>
        </w:tc>
      </w:tr>
      <w:tr>
        <w:tc>
          <w:tcPr>
            <w:tcW w:type="dxa" w:w="432"/>
          </w:tcPr>
          <w:p>
            <w:r/>
            <w:r>
              <w:rPr>
                <w:sz w:val="17"/>
              </w:rPr>
              <w:t>5</w:t>
            </w:r>
          </w:p>
        </w:tc>
        <w:tc>
          <w:tcPr>
            <w:tcW w:type="dxa" w:w="4176"/>
          </w:tcPr>
          <w:p>
            <w:r/>
            <w:r>
              <w:rPr>
                <w:sz w:val="17"/>
              </w:rPr>
              <w:t>Bonos Comerciales y Bonos de Desbloqueo (entidades, estados, redención, acumulación, cobertura en llaves, patrocinio Premium).</w:t>
            </w:r>
          </w:p>
        </w:tc>
        <w:tc>
          <w:tcPr>
            <w:tcW w:type="dxa" w:w="2304"/>
          </w:tcPr>
          <w:p>
            <w:r/>
            <w:r>
              <w:rPr>
                <w:sz w:val="17"/>
              </w:rPr>
              <w:t>II (2.16–2.17), III (3.13), VI (6.17.2), VII (7.4.2, 7.9.1)</w:t>
            </w:r>
          </w:p>
        </w:tc>
        <w:tc>
          <w:tcPr>
            <w:tcW w:type="dxa" w:w="3312"/>
          </w:tcPr>
          <w:p>
            <w:r/>
            <w:r>
              <w:rPr>
                <w:sz w:val="17"/>
              </w:rPr>
              <w:t>No existen. No hay ninguna entidad de bono/voucher/gift-card en el dominio.</w:t>
            </w:r>
          </w:p>
        </w:tc>
      </w:tr>
      <w:tr>
        <w:tc>
          <w:tcPr>
            <w:tcW w:type="dxa" w:w="432"/>
          </w:tcPr>
          <w:p>
            <w:r/>
            <w:r>
              <w:rPr>
                <w:sz w:val="17"/>
              </w:rPr>
              <w:t>6</w:t>
            </w:r>
          </w:p>
        </w:tc>
        <w:tc>
          <w:tcPr>
            <w:tcW w:type="dxa" w:w="4176"/>
          </w:tcPr>
          <w:p>
            <w:r/>
            <w:r>
              <w:rPr>
                <w:sz w:val="17"/>
              </w:rPr>
              <w:t>Puntos de Progreso / Puntos de Excelencia / escalafón / Oportunidad de Tercera Interacción y las 7 Acciones Calificadas de Progreso.</w:t>
            </w:r>
          </w:p>
        </w:tc>
        <w:tc>
          <w:tcPr>
            <w:tcW w:type="dxa" w:w="2304"/>
          </w:tcPr>
          <w:p>
            <w:r/>
            <w:r>
              <w:rPr>
                <w:sz w:val="17"/>
              </w:rPr>
              <w:t>VI (6.3–6.3.10)</w:t>
            </w:r>
          </w:p>
        </w:tc>
        <w:tc>
          <w:tcPr>
            <w:tcW w:type="dxa" w:w="3312"/>
          </w:tcPr>
          <w:p>
            <w:r/>
            <w:r>
              <w:rPr>
                <w:sz w:val="17"/>
              </w:rPr>
              <w:t>Existe un sistema de XP/niveles distinto (BRONCE…DIAMANTE, ActivityType). No hay Oportunidad de Tercera Interacción, ni bloque diario de 1.500 llaves, ni Encuesta Calificada, ni Puntos de Excelencia, ni puntaje histórico vs. competitivo.</w:t>
            </w:r>
          </w:p>
        </w:tc>
      </w:tr>
      <w:tr>
        <w:tc>
          <w:tcPr>
            <w:tcW w:type="dxa" w:w="432"/>
          </w:tcPr>
          <w:p>
            <w:r/>
            <w:r>
              <w:rPr>
                <w:sz w:val="17"/>
              </w:rPr>
              <w:t>7</w:t>
            </w:r>
          </w:p>
        </w:tc>
        <w:tc>
          <w:tcPr>
            <w:tcW w:type="dxa" w:w="4176"/>
          </w:tcPr>
          <w:p>
            <w:r/>
            <w:r>
              <w:rPr>
                <w:sz w:val="17"/>
              </w:rPr>
              <w:t>Matriz económica / distribución funcional de la Inversión Computable con bolsa de Programa de Conectividad, versionada y mostrada antes del pago.</w:t>
            </w:r>
          </w:p>
        </w:tc>
        <w:tc>
          <w:tcPr>
            <w:tcW w:type="dxa" w:w="2304"/>
          </w:tcPr>
          <w:p>
            <w:r/>
            <w:r>
              <w:rPr>
                <w:sz w:val="17"/>
              </w:rPr>
              <w:t>V (5.5.1), VI (6.1, 6.22)</w:t>
            </w:r>
          </w:p>
        </w:tc>
        <w:tc>
          <w:tcPr>
            <w:tcW w:type="dxa" w:w="3312"/>
          </w:tcPr>
          <w:p>
            <w:r/>
            <w:r>
              <w:rPr>
                <w:sz w:val="17"/>
              </w:rPr>
              <w:t>Distribución fija 60/10/30 (KEYS_RESERVE / FORTIFICATION / OPERATIONS). No hay bolsa de Conectividad, ni versión de matriz, ni resumen pre-pago de la distribución.</w:t>
            </w:r>
          </w:p>
        </w:tc>
      </w:tr>
    </w:tbl>
    <w:p>
      <w:r>
        <w:rPr>
          <w:b/>
          <w:i w:val="0"/>
        </w:rPr>
        <w:t>Brechas importantes (no bloquean, pero el contrato las promete):</w:t>
      </w:r>
    </w:p>
    <w:p>
      <w:pPr>
        <w:pStyle w:val="ListBullet"/>
      </w:pPr>
      <w:r>
        <w:t>Estado de Continuidad (con niveles) y Suspensión Preventiva como estados empresariales propios — hoy WalletStatus sólo tiene INACTIVE/ACTIVE/EXHAUSTED (CONTRATO TIPO B, Cláusula Cuarta, numerales 4.17–4.19, pág. 63–66; Cláusula Duodécima, 12.10–12.15, pág. 255).</w:t>
      </w:r>
    </w:p>
    <w:p>
      <w:pPr>
        <w:pStyle w:val="ListBullet"/>
      </w:pPr>
      <w:r>
        <w:t>Programa de Fortalecimiento Empresarial con subcuentas y flujo “Compra de VERYGANA para reconocimiento gratuito” + reconocimientos por mérito — hoy sólo existe la cuenta de tesorería FORTIFICATION sin subcuentas ni flujo de compra institucional (CONTRATO TIPO B, Cláusula Sexta, numerales 6.22.6, 6.22.9, pág. 124; numeral 2.37, pág. 23).</w:t>
      </w:r>
    </w:p>
    <w:p>
      <w:pPr>
        <w:pStyle w:val="ListBullet"/>
      </w:pPr>
      <w:r>
        <w:t>Programa de Conectividad real (operador/Puntored, causación y vencimiento de llaves de conectividad, reglas por usuario) — MobilePlan es un stub; KeyWallet ya separa connectivityKeys pero sin programa (CONTRATO TIPO B, Cláusula Sexta, numeral 6.22.5, pág. 124).</w:t>
      </w:r>
    </w:p>
    <w:p>
      <w:pPr>
        <w:pStyle w:val="ListBullet"/>
      </w:pPr>
      <w:r>
        <w:t>Modelo de reconocimiento de banners/videos por tiempo efectivo (16 llaves / 60 s, 2–4 visualizaciones por usuario, consumo máximo proyectado) — hoy los anuncios usan “reward por like / maxLikes” (CONTRATO TIPO B, Cláusula Sexta, numerales 6.7–6.10, pág. 112–114).</w:t>
      </w:r>
    </w:p>
    <w:p>
      <w:pPr>
        <w:pStyle w:val="ListBullet"/>
      </w:pPr>
      <w:r>
        <w:t>Encuesta Calificada de Dedicación Sustancial (clasificación previa, régimen de reconocimiento independiente, genera Puntos + Oportunidad) — SurveyReward es un monto plano (CONTRATO TIPO B, Cláusula Sexta, numerales 6.3.1.7 y 6.11–6.12, pág. 105 y 115).</w:t>
      </w:r>
    </w:p>
    <w:p>
      <w:pPr>
        <w:pStyle w:val="ListBullet"/>
      </w:pPr>
      <w:r>
        <w:t>Caracterización tributaria: RUT, condición frente al IVA/INC, facturador electrónico, responsabilidades tributarias, pregunta expresa de formalización y alertas de crecimiento (70/85/95/100 % del parámetro en UVT) — no hay campos ni alertas (CONTRATO TIPO B, Cláusula Quinta, numerales 5.18–5.22, pág. 92–93).</w:t>
      </w:r>
    </w:p>
    <w:p>
      <w:pPr>
        <w:pStyle w:val="ListBullet"/>
      </w:pPr>
      <w:r>
        <w:t>Código Único de Recomendación Empresarial para el comercial (recomendar Premium/Tipo B/Tipo A) — sólo los consumidores tienen referralCode (CONTRATO TIPO B, Cláusula Novena, numerales 9.4–9.7, pág. 196–198).</w:t>
      </w:r>
    </w:p>
    <w:p>
      <w:pPr>
        <w:pStyle w:val="ListBullet"/>
      </w:pPr>
      <w:r>
        <w:t>Componente Patrocinado por Empresa Premium con inventario y trazabilidad separados, valor de referencia, límite del 10 %, prohibición de sustitución no autorizada — AllyProductPromotion es mínimo (CONTRATO TIPO B, Cláusula Novena, numerales 9.11–9.15, pág. 202–204; Cláusula Séptima, numerales 7.6–7.7).</w:t>
      </w:r>
    </w:p>
    <w:p>
      <w:pPr>
        <w:pStyle w:val="ListBullet"/>
      </w:pPr>
      <w:r>
        <w:t>Ruleta Promocional Excepcional (solicitud, documentación, licencia tecnológica temporal, separación de pagos regulatorios) — el módulo raffles actual es de rifas de usuario, no cubre esto (CONTRATO TIPO B, Cláusula Sexta, numeral 6.5, pág. 110).</w:t>
      </w:r>
    </w:p>
    <w:p>
      <w:pPr>
        <w:pStyle w:val="ListBullet"/>
      </w:pPr>
      <w:r>
        <w:t>Trazabilidad exigida por cláusula: libros mayores/ledgers por concepto, versión de reglas aplicada en cada decisión, prohibición de borrado silencioso, idempotencia en todos los eventos económicos (transversal — GUÍA DE PROGRAMACIÓN, “Controles transversales” y numeral 7.25).</w:t>
      </w:r>
    </w:p>
    <w:p>
      <w:r>
        <w:br w:type="page"/>
      </w:r>
    </w:p>
    <w:p>
      <w:pPr>
        <w:pStyle w:val="Heading1"/>
      </w:pPr>
      <w:r>
        <w:t>2. Tabla maestra de estado por cláusula</w:t>
      </w:r>
    </w:p>
    <w:p>
      <w:r>
        <w:rPr>
          <w:b w:val="0"/>
          <w:i/>
          <w:sz w:val="18"/>
        </w:rPr>
        <w:t>Leyenda: IMPLEMENTADO (cumple) · PARCIAL (existe base, faltan piezas) · DIVERGENTE (existe algo pero con otro modelo) · FALTANTE (no existe).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tcPr>
          <w:p>
            <w:r/>
            <w:r>
              <w:rPr>
                <w:b/>
                <w:sz w:val="18"/>
              </w:rPr>
              <w:t>Cláusula</w:t>
            </w:r>
          </w:p>
        </w:tc>
        <w:tc>
          <w:tcPr>
            <w:tcW w:type="dxa" w:w="3600"/>
          </w:tcPr>
          <w:p>
            <w:r/>
            <w:r>
              <w:rPr>
                <w:b/>
                <w:sz w:val="18"/>
              </w:rPr>
              <w:t>Materia</w:t>
            </w:r>
          </w:p>
        </w:tc>
        <w:tc>
          <w:tcPr>
            <w:tcW w:type="dxa" w:w="1296"/>
          </w:tcPr>
          <w:p>
            <w:r/>
            <w:r>
              <w:rPr>
                <w:b/>
                <w:sz w:val="18"/>
              </w:rPr>
              <w:t>Estado global</w:t>
            </w:r>
          </w:p>
        </w:tc>
        <w:tc>
          <w:tcPr>
            <w:tcW w:type="dxa" w:w="5184"/>
          </w:tcPr>
          <w:p>
            <w:r/>
            <w:r>
              <w:rPr>
                <w:b/>
                <w:sz w:val="18"/>
              </w:rPr>
              <w:t>Comentario</w:t>
            </w:r>
          </w:p>
        </w:tc>
      </w:tr>
      <w:tr>
        <w:tc>
          <w:tcPr>
            <w:tcW w:type="dxa" w:w="1152"/>
          </w:tcPr>
          <w:p>
            <w:r/>
            <w:r>
              <w:rPr>
                <w:sz w:val="17"/>
              </w:rPr>
              <w:t>I (pág. 1)</w:t>
            </w:r>
          </w:p>
        </w:tc>
        <w:tc>
          <w:tcPr>
            <w:tcW w:type="dxa" w:w="3600"/>
          </w:tcPr>
          <w:p>
            <w:r/>
            <w:r>
              <w:rPr>
                <w:sz w:val="17"/>
              </w:rPr>
              <w:t>Identificación, caracterización, contratación electrónica, independencia</w:t>
            </w:r>
          </w:p>
        </w:tc>
        <w:tc>
          <w:tcPr>
            <w:tcW w:type="dxa" w:w="1296"/>
          </w:tcPr>
          <w:p>
            <w:r/>
            <w:r>
              <w:rPr>
                <w:sz w:val="17"/>
              </w:rPr>
              <w:t>PARCIAL</w:t>
            </w:r>
          </w:p>
        </w:tc>
        <w:tc>
          <w:tcPr>
            <w:tcW w:type="dxa" w:w="5184"/>
          </w:tcPr>
          <w:p>
            <w:r/>
            <w:r>
              <w:rPr>
                <w:sz w:val="17"/>
              </w:rPr>
              <w:t>Onboarding + firma electrónica sólidos. Falta caracterización tributaria y Vocación Empresarial Principal.</w:t>
            </w:r>
          </w:p>
        </w:tc>
      </w:tr>
      <w:tr>
        <w:tc>
          <w:tcPr>
            <w:tcW w:type="dxa" w:w="1152"/>
          </w:tcPr>
          <w:p>
            <w:r/>
            <w:r>
              <w:rPr>
                <w:sz w:val="17"/>
              </w:rPr>
              <w:t>II (pág. 11)</w:t>
            </w:r>
          </w:p>
        </w:tc>
        <w:tc>
          <w:tcPr>
            <w:tcW w:type="dxa" w:w="3600"/>
          </w:tcPr>
          <w:p>
            <w:r/>
            <w:r>
              <w:rPr>
                <w:sz w:val="17"/>
              </w:rPr>
              <w:t>Definiciones contractuales</w:t>
            </w:r>
          </w:p>
        </w:tc>
        <w:tc>
          <w:tcPr>
            <w:tcW w:type="dxa" w:w="1296"/>
          </w:tcPr>
          <w:p>
            <w:r/>
            <w:r>
              <w:rPr>
                <w:sz w:val="17"/>
              </w:rPr>
              <w:t>DIVERGENTE</w:t>
            </w:r>
          </w:p>
        </w:tc>
        <w:tc>
          <w:tcPr>
            <w:tcW w:type="dxa" w:w="5184"/>
          </w:tcPr>
          <w:p>
            <w:r/>
            <w:r>
              <w:rPr>
                <w:sz w:val="17"/>
              </w:rPr>
              <w:t>El vocabulario económico del contrato (Prosperidad, Vocación, Bonos, Puntos de Progreso) no está en el modelo de datos.</w:t>
            </w:r>
          </w:p>
        </w:tc>
      </w:tr>
      <w:tr>
        <w:tc>
          <w:tcPr>
            <w:tcW w:type="dxa" w:w="1152"/>
          </w:tcPr>
          <w:p>
            <w:r/>
            <w:r>
              <w:rPr>
                <w:sz w:val="17"/>
              </w:rPr>
              <w:t>III (pág. 30)</w:t>
            </w:r>
          </w:p>
        </w:tc>
        <w:tc>
          <w:tcPr>
            <w:tcW w:type="dxa" w:w="3600"/>
          </w:tcPr>
          <w:p>
            <w:r/>
            <w:r>
              <w:rPr>
                <w:sz w:val="17"/>
              </w:rPr>
              <w:t>Objeto, naturaleza, roles, principios</w:t>
            </w:r>
          </w:p>
        </w:tc>
        <w:tc>
          <w:tcPr>
            <w:tcW w:type="dxa" w:w="1296"/>
          </w:tcPr>
          <w:p>
            <w:r/>
            <w:r>
              <w:rPr>
                <w:sz w:val="17"/>
              </w:rPr>
              <w:t>PARCIAL</w:t>
            </w:r>
          </w:p>
        </w:tc>
        <w:tc>
          <w:tcPr>
            <w:tcW w:type="dxa" w:w="5184"/>
          </w:tcPr>
          <w:p>
            <w:r/>
            <w:r>
              <w:rPr>
                <w:sz w:val="17"/>
              </w:rPr>
              <w:t>El rol de plataforma está bien planteado; faltan bonos, compras de VERYGANA y separación de elementos económicos/promocionales.</w:t>
            </w:r>
          </w:p>
        </w:tc>
      </w:tr>
      <w:tr>
        <w:tc>
          <w:tcPr>
            <w:tcW w:type="dxa" w:w="1152"/>
          </w:tcPr>
          <w:p>
            <w:r/>
            <w:r>
              <w:rPr>
                <w:sz w:val="17"/>
              </w:rPr>
              <w:t>IV (pág. 50)</w:t>
            </w:r>
          </w:p>
        </w:tc>
        <w:tc>
          <w:tcPr>
            <w:tcW w:type="dxa" w:w="3600"/>
          </w:tcPr>
          <w:p>
            <w:r/>
            <w:r>
              <w:rPr>
                <w:sz w:val="17"/>
              </w:rPr>
              <w:t>Caracterización, vinculación, activación, estados</w:t>
            </w:r>
          </w:p>
        </w:tc>
        <w:tc>
          <w:tcPr>
            <w:tcW w:type="dxa" w:w="1296"/>
          </w:tcPr>
          <w:p>
            <w:r/>
            <w:r>
              <w:rPr>
                <w:sz w:val="17"/>
              </w:rPr>
              <w:t>PARCIAL</w:t>
            </w:r>
          </w:p>
        </w:tc>
        <w:tc>
          <w:tcPr>
            <w:tcW w:type="dxa" w:w="5184"/>
          </w:tcPr>
          <w:p>
            <w:r/>
            <w:r>
              <w:rPr>
                <w:sz w:val="17"/>
              </w:rPr>
              <w:t>Flujo de onboarding y estados de contrato OK. Faltan: determinación de Vocación, Estado de Continuidad, Suspensión Preventiva, evaluación de compatibilidad con resultados tipificados.</w:t>
            </w:r>
          </w:p>
        </w:tc>
      </w:tr>
      <w:tr>
        <w:tc>
          <w:tcPr>
            <w:tcW w:type="dxa" w:w="1152"/>
          </w:tcPr>
          <w:p>
            <w:r/>
            <w:r>
              <w:rPr>
                <w:sz w:val="17"/>
              </w:rPr>
              <w:t>V (pág. 76)</w:t>
            </w:r>
          </w:p>
        </w:tc>
        <w:tc>
          <w:tcPr>
            <w:tcW w:type="dxa" w:w="3600"/>
          </w:tcPr>
          <w:p>
            <w:r/>
            <w:r>
              <w:rPr>
                <w:sz w:val="17"/>
              </w:rPr>
              <w:t>Condiciones económicas, Prosperidad, comisiones, IVA, tributación</w:t>
            </w:r>
          </w:p>
        </w:tc>
        <w:tc>
          <w:tcPr>
            <w:tcW w:type="dxa" w:w="1296"/>
          </w:tcPr>
          <w:p>
            <w:r/>
            <w:r>
              <w:rPr>
                <w:sz w:val="17"/>
              </w:rPr>
              <w:t>FALTANTE</w:t>
            </w:r>
          </w:p>
        </w:tc>
        <w:tc>
          <w:tcPr>
            <w:tcW w:type="dxa" w:w="5184"/>
          </w:tcPr>
          <w:p>
            <w:r/>
            <w:r>
              <w:rPr>
                <w:sz w:val="17"/>
              </w:rPr>
              <w:t>Núcleo del contrato. No hay Umbral/Saldo de Prosperidad, ni Venta Computable, ni Base Comisionable, ni 15 % servicios, ni distribución funcional versionada, ni caracterización/alertas tributarias.</w:t>
            </w:r>
          </w:p>
        </w:tc>
      </w:tr>
      <w:tr>
        <w:tc>
          <w:tcPr>
            <w:tcW w:type="dxa" w:w="1152"/>
          </w:tcPr>
          <w:p>
            <w:r/>
            <w:r>
              <w:rPr>
                <w:sz w:val="17"/>
              </w:rPr>
              <w:t>VI (pág. 100)</w:t>
            </w:r>
          </w:p>
        </w:tc>
        <w:tc>
          <w:tcPr>
            <w:tcW w:type="dxa" w:w="3600"/>
          </w:tcPr>
          <w:p>
            <w:r/>
            <w:r>
              <w:rPr>
                <w:sz w:val="17"/>
              </w:rPr>
              <w:t>Herramientas publicitarias, juegos, Puntos de Progreso, campañas, Llaves, Programa de Fortalecimiento</w:t>
            </w:r>
          </w:p>
        </w:tc>
        <w:tc>
          <w:tcPr>
            <w:tcW w:type="dxa" w:w="1296"/>
          </w:tcPr>
          <w:p>
            <w:r/>
            <w:r>
              <w:rPr>
                <w:sz w:val="17"/>
              </w:rPr>
              <w:t>DIVERGENTE</w:t>
            </w:r>
          </w:p>
        </w:tc>
        <w:tc>
          <w:tcPr>
            <w:tcW w:type="dxa" w:w="5184"/>
          </w:tcPr>
          <w:p>
            <w:r/>
            <w:r>
              <w:rPr>
                <w:sz w:val="17"/>
              </w:rPr>
              <w:t>Campañas/juegos/encuestas/anuncios existen con otro modelo de conteo y recompensa. Falta todo el subsistema de Puntos de Progreso / Oportunidad de Tercera Interacción, ruleta excepcional, matriz económica y bolsas.</w:t>
            </w:r>
          </w:p>
        </w:tc>
      </w:tr>
      <w:tr>
        <w:tc>
          <w:tcPr>
            <w:tcW w:type="dxa" w:w="1152"/>
          </w:tcPr>
          <w:p>
            <w:r/>
            <w:r>
              <w:rPr>
                <w:sz w:val="17"/>
              </w:rPr>
              <w:t>VII (pág. 133)</w:t>
            </w:r>
          </w:p>
        </w:tc>
        <w:tc>
          <w:tcPr>
            <w:tcW w:type="dxa" w:w="3600"/>
          </w:tcPr>
          <w:p>
            <w:r/>
            <w:r>
              <w:rPr>
                <w:sz w:val="17"/>
              </w:rPr>
              <w:t>Publicación, oferta, Compra Válida, entrega, trazabilidad</w:t>
            </w:r>
          </w:p>
        </w:tc>
        <w:tc>
          <w:tcPr>
            <w:tcW w:type="dxa" w:w="1296"/>
          </w:tcPr>
          <w:p>
            <w:r/>
            <w:r>
              <w:rPr>
                <w:sz w:val="17"/>
              </w:rPr>
              <w:t>PARCIAL</w:t>
            </w:r>
          </w:p>
        </w:tc>
        <w:tc>
          <w:tcPr>
            <w:tcW w:type="dxa" w:w="5184"/>
          </w:tcPr>
          <w:p>
            <w:r/>
            <w:r>
              <w:rPr>
                <w:sz w:val="17"/>
              </w:rPr>
              <w:t>Marketplace + copago + PQRS + estados de compra existen. Faltan: cupo 3–10, bonos, Compra Válida provisional/consolidada, cobertura en llaves 50/70 %, composición económica separada, promociones especiales.</w:t>
            </w:r>
          </w:p>
        </w:tc>
      </w:tr>
      <w:tr>
        <w:tc>
          <w:tcPr>
            <w:tcW w:type="dxa" w:w="1152"/>
          </w:tcPr>
          <w:p>
            <w:r/>
            <w:r>
              <w:rPr>
                <w:sz w:val="17"/>
              </w:rPr>
              <w:t>VIII (pág. 180)</w:t>
            </w:r>
          </w:p>
        </w:tc>
        <w:tc>
          <w:tcPr>
            <w:tcW w:type="dxa" w:w="3600"/>
          </w:tcPr>
          <w:p>
            <w:r/>
            <w:r>
              <w:rPr>
                <w:sz w:val="17"/>
              </w:rPr>
              <w:t>Obligaciones del empresario</w:t>
            </w:r>
          </w:p>
        </w:tc>
        <w:tc>
          <w:tcPr>
            <w:tcW w:type="dxa" w:w="1296"/>
          </w:tcPr>
          <w:p>
            <w:r/>
            <w:r>
              <w:rPr>
                <w:sz w:val="17"/>
              </w:rPr>
              <w:t>PARCIAL</w:t>
            </w:r>
          </w:p>
        </w:tc>
        <w:tc>
          <w:tcPr>
            <w:tcW w:type="dxa" w:w="5184"/>
          </w:tcPr>
          <w:p>
            <w:r/>
            <w:r>
              <w:rPr>
                <w:sz w:val="17"/>
              </w:rPr>
              <w:t>Cubierto parcialmente por validaciones de plan y PQRS. Falta el registro estructurado de obligaciones/incumplimientos con estados propios.</w:t>
            </w:r>
          </w:p>
        </w:tc>
      </w:tr>
      <w:tr>
        <w:tc>
          <w:tcPr>
            <w:tcW w:type="dxa" w:w="1152"/>
          </w:tcPr>
          <w:p>
            <w:r/>
            <w:r>
              <w:rPr>
                <w:sz w:val="17"/>
              </w:rPr>
              <w:t>IX (pág. 194)</w:t>
            </w:r>
          </w:p>
        </w:tc>
        <w:tc>
          <w:tcPr>
            <w:tcW w:type="dxa" w:w="3600"/>
          </w:tcPr>
          <w:p>
            <w:r/>
            <w:r>
              <w:rPr>
                <w:sz w:val="17"/>
              </w:rPr>
              <w:t>Patrocinios y relación con Empresas Premium</w:t>
            </w:r>
          </w:p>
        </w:tc>
        <w:tc>
          <w:tcPr>
            <w:tcW w:type="dxa" w:w="1296"/>
          </w:tcPr>
          <w:p>
            <w:r/>
            <w:r>
              <w:rPr>
                <w:sz w:val="17"/>
              </w:rPr>
              <w:t>FALTANTE</w:t>
            </w:r>
          </w:p>
        </w:tc>
        <w:tc>
          <w:tcPr>
            <w:tcW w:type="dxa" w:w="5184"/>
          </w:tcPr>
          <w:p>
            <w:r/>
            <w:r>
              <w:rPr>
                <w:sz w:val="17"/>
              </w:rPr>
              <w:t>AllyProductPromotion mínimo. Faltan Código Único de Recomendación Empresarial, reconocimiento por vinculación Premium, juego gratuito de 1 mes, Componente Patrocinado con inventario separado.</w:t>
            </w:r>
          </w:p>
        </w:tc>
      </w:tr>
      <w:tr>
        <w:tc>
          <w:tcPr>
            <w:tcW w:type="dxa" w:w="1152"/>
          </w:tcPr>
          <w:p>
            <w:r/>
            <w:r>
              <w:rPr>
                <w:sz w:val="17"/>
              </w:rPr>
              <w:t>X (pág. 216)</w:t>
            </w:r>
          </w:p>
        </w:tc>
        <w:tc>
          <w:tcPr>
            <w:tcW w:type="dxa" w:w="3600"/>
          </w:tcPr>
          <w:p>
            <w:r/>
            <w:r>
              <w:rPr>
                <w:sz w:val="17"/>
              </w:rPr>
              <w:t>Cálculo, liquidación, registro y conciliación de Prosperidad</w:t>
            </w:r>
          </w:p>
        </w:tc>
        <w:tc>
          <w:tcPr>
            <w:tcW w:type="dxa" w:w="1296"/>
          </w:tcPr>
          <w:p>
            <w:r/>
            <w:r>
              <w:rPr>
                <w:sz w:val="17"/>
              </w:rPr>
              <w:t>FALTANTE</w:t>
            </w:r>
          </w:p>
        </w:tc>
        <w:tc>
          <w:tcPr>
            <w:tcW w:type="dxa" w:w="5184"/>
          </w:tcPr>
          <w:p>
            <w:r/>
            <w:r>
              <w:rPr>
                <w:sz w:val="17"/>
              </w:rPr>
              <w:t>Depende de la Cláusula V. No hay Libro Mayor de Prosperidad ni motor de liquidación.</w:t>
            </w:r>
          </w:p>
        </w:tc>
      </w:tr>
      <w:tr>
        <w:tc>
          <w:tcPr>
            <w:tcW w:type="dxa" w:w="1152"/>
          </w:tcPr>
          <w:p>
            <w:r/>
            <w:r>
              <w:rPr>
                <w:sz w:val="17"/>
              </w:rPr>
              <w:t>XI (pág. 235)</w:t>
            </w:r>
          </w:p>
        </w:tc>
        <w:tc>
          <w:tcPr>
            <w:tcW w:type="dxa" w:w="3600"/>
          </w:tcPr>
          <w:p>
            <w:r/>
            <w:r>
              <w:rPr>
                <w:sz w:val="17"/>
              </w:rPr>
              <w:t>Clasificación, causación, descuento, facturación y pago de comisiones</w:t>
            </w:r>
          </w:p>
        </w:tc>
        <w:tc>
          <w:tcPr>
            <w:tcW w:type="dxa" w:w="1296"/>
          </w:tcPr>
          <w:p>
            <w:r/>
            <w:r>
              <w:rPr>
                <w:sz w:val="17"/>
              </w:rPr>
              <w:t>DIVERGENTE</w:t>
            </w:r>
          </w:p>
        </w:tc>
        <w:tc>
          <w:tcPr>
            <w:tcW w:type="dxa" w:w="5184"/>
          </w:tcPr>
          <w:p>
            <w:r/>
            <w:r>
              <w:rPr>
                <w:sz w:val="17"/>
              </w:rPr>
              <w:t>Hay retención de comisión y payout, pero con % plano inmediato, sin causación provisional, sin factura, sin discriminación de IVA.</w:t>
            </w:r>
          </w:p>
        </w:tc>
      </w:tr>
      <w:tr>
        <w:tc>
          <w:tcPr>
            <w:tcW w:type="dxa" w:w="1152"/>
          </w:tcPr>
          <w:p>
            <w:r/>
            <w:r>
              <w:rPr>
                <w:sz w:val="17"/>
              </w:rPr>
              <w:t>XII (pág. 251)</w:t>
            </w:r>
          </w:p>
        </w:tc>
        <w:tc>
          <w:tcPr>
            <w:tcW w:type="dxa" w:w="3600"/>
          </w:tcPr>
          <w:p>
            <w:r/>
            <w:r>
              <w:rPr>
                <w:sz w:val="17"/>
              </w:rPr>
              <w:t>Vigencia, renovación, nuevas inversiones, continuidad, estados</w:t>
            </w:r>
          </w:p>
        </w:tc>
        <w:tc>
          <w:tcPr>
            <w:tcW w:type="dxa" w:w="1296"/>
          </w:tcPr>
          <w:p>
            <w:r/>
            <w:r>
              <w:rPr>
                <w:sz w:val="17"/>
              </w:rPr>
              <w:t>PARCIAL</w:t>
            </w:r>
          </w:p>
        </w:tc>
        <w:tc>
          <w:tcPr>
            <w:tcW w:type="dxa" w:w="5184"/>
          </w:tcPr>
          <w:p>
            <w:r/>
            <w:r>
              <w:rPr>
                <w:sz w:val="17"/>
              </w:rPr>
              <w:t>Renovación de suscripción y recargas existen. Falta Estado de Continuidad con niveles y su régimen económico.</w:t>
            </w:r>
          </w:p>
        </w:tc>
      </w:tr>
      <w:tr>
        <w:tc>
          <w:tcPr>
            <w:tcW w:type="dxa" w:w="1152"/>
          </w:tcPr>
          <w:p>
            <w:r/>
            <w:r>
              <w:rPr>
                <w:sz w:val="17"/>
              </w:rPr>
              <w:t>XIII (pág. 268)</w:t>
            </w:r>
          </w:p>
        </w:tc>
        <w:tc>
          <w:tcPr>
            <w:tcW w:type="dxa" w:w="3600"/>
          </w:tcPr>
          <w:p>
            <w:r/>
            <w:r>
              <w:rPr>
                <w:sz w:val="17"/>
              </w:rPr>
              <w:t>Seguridad, prevención del fraude, integridad económica</w:t>
            </w:r>
          </w:p>
        </w:tc>
        <w:tc>
          <w:tcPr>
            <w:tcW w:type="dxa" w:w="1296"/>
          </w:tcPr>
          <w:p>
            <w:r/>
            <w:r>
              <w:rPr>
                <w:sz w:val="17"/>
              </w:rPr>
              <w:t>PARCIAL</w:t>
            </w:r>
          </w:p>
        </w:tc>
        <w:tc>
          <w:tcPr>
            <w:tcW w:type="dxa" w:w="5184"/>
          </w:tcPr>
          <w:p>
            <w:r/>
            <w:r>
              <w:rPr>
                <w:sz w:val="17"/>
              </w:rPr>
              <w:t>Hay SecurityEvent/AuditLog/monitoring y controles antifraude básicos. Falta el SGSI de fraude por dominio (alertas tipificadas, falsos positivos, cadena de custodia de evidencia).</w:t>
            </w:r>
          </w:p>
        </w:tc>
      </w:tr>
      <w:tr>
        <w:tc>
          <w:tcPr>
            <w:tcW w:type="dxa" w:w="1152"/>
          </w:tcPr>
          <w:p>
            <w:r/>
            <w:r>
              <w:rPr>
                <w:sz w:val="17"/>
              </w:rPr>
              <w:t>XIV (pág. 287)</w:t>
            </w:r>
          </w:p>
        </w:tc>
        <w:tc>
          <w:tcPr>
            <w:tcW w:type="dxa" w:w="3600"/>
          </w:tcPr>
          <w:p>
            <w:r/>
            <w:r>
              <w:rPr>
                <w:sz w:val="17"/>
              </w:rPr>
              <w:t>Restricción, suspensión preventiva, reactivación, terminación</w:t>
            </w:r>
          </w:p>
        </w:tc>
        <w:tc>
          <w:tcPr>
            <w:tcW w:type="dxa" w:w="1296"/>
          </w:tcPr>
          <w:p>
            <w:r/>
            <w:r>
              <w:rPr>
                <w:sz w:val="17"/>
              </w:rPr>
              <w:t>PARCIAL</w:t>
            </w:r>
          </w:p>
        </w:tc>
        <w:tc>
          <w:tcPr>
            <w:tcW w:type="dxa" w:w="5184"/>
          </w:tcPr>
          <w:p>
            <w:r/>
            <w:r>
              <w:rPr>
                <w:sz w:val="17"/>
              </w:rPr>
              <w:t>Baneo de usuario y estados de contrato existen. Falta la gradación proporcional (restricción parcial / suspensión preventiva / suspensión contractual / terminación) con causales concurrentes.</w:t>
            </w:r>
          </w:p>
        </w:tc>
      </w:tr>
      <w:tr>
        <w:tc>
          <w:tcPr>
            <w:tcW w:type="dxa" w:w="1152"/>
          </w:tcPr>
          <w:p>
            <w:r/>
            <w:r>
              <w:rPr>
                <w:sz w:val="17"/>
              </w:rPr>
              <w:t>XV (pág. 299)</w:t>
            </w:r>
          </w:p>
        </w:tc>
        <w:tc>
          <w:tcPr>
            <w:tcW w:type="dxa" w:w="3600"/>
          </w:tcPr>
          <w:p>
            <w:r/>
            <w:r>
              <w:rPr>
                <w:sz w:val="17"/>
              </w:rPr>
              <w:t>Garantías, cambios, devoluciones, retracto, reversión del pago, posventa</w:t>
            </w:r>
          </w:p>
        </w:tc>
        <w:tc>
          <w:tcPr>
            <w:tcW w:type="dxa" w:w="1296"/>
          </w:tcPr>
          <w:p>
            <w:r/>
            <w:r>
              <w:rPr>
                <w:sz w:val="17"/>
              </w:rPr>
              <w:t>PARCIAL</w:t>
            </w:r>
          </w:p>
        </w:tc>
        <w:tc>
          <w:tcPr>
            <w:tcW w:type="dxa" w:w="5184"/>
          </w:tcPr>
          <w:p>
            <w:r/>
            <w:r>
              <w:rPr>
                <w:sz w:val="17"/>
              </w:rPr>
              <w:t>PQRS + PurchaseItemRefund + CashRefund cubren buena parte. Falta el derecho de retracto tipificado, reversión del pago (art. 51 E-commerce), y el ajuste integral posventa sobre Prosperidad/Puntos.</w:t>
            </w:r>
          </w:p>
        </w:tc>
      </w:tr>
      <w:tr>
        <w:tc>
          <w:tcPr>
            <w:tcW w:type="dxa" w:w="1152"/>
          </w:tcPr>
          <w:p>
            <w:r/>
            <w:r>
              <w:rPr>
                <w:sz w:val="17"/>
              </w:rPr>
              <w:t>XVI (pág. 310)</w:t>
            </w:r>
          </w:p>
        </w:tc>
        <w:tc>
          <w:tcPr>
            <w:tcW w:type="dxa" w:w="3600"/>
          </w:tcPr>
          <w:p>
            <w:r/>
            <w:r>
              <w:rPr>
                <w:sz w:val="17"/>
              </w:rPr>
              <w:t>Información empresarial, datos personales, métricas, investigación, confidencialidad</w:t>
            </w:r>
          </w:p>
        </w:tc>
        <w:tc>
          <w:tcPr>
            <w:tcW w:type="dxa" w:w="1296"/>
          </w:tcPr>
          <w:p>
            <w:r/>
            <w:r>
              <w:rPr>
                <w:sz w:val="17"/>
              </w:rPr>
              <w:t>PARCIAL</w:t>
            </w:r>
          </w:p>
        </w:tc>
        <w:tc>
          <w:tcPr>
            <w:tcW w:type="dxa" w:w="5184"/>
          </w:tcPr>
          <w:p>
            <w:r/>
            <w:r>
              <w:rPr>
                <w:sz w:val="17"/>
              </w:rPr>
              <w:t>Dashboard y reportes existen. Faltan métricas económicas de dispersión, métricas de campañas/juegos con niveles de atribución, y separación agregado/individual formal.</w:t>
            </w:r>
          </w:p>
        </w:tc>
      </w:tr>
      <w:tr>
        <w:tc>
          <w:tcPr>
            <w:tcW w:type="dxa" w:w="1152"/>
          </w:tcPr>
          <w:p>
            <w:r/>
            <w:r>
              <w:rPr>
                <w:sz w:val="17"/>
              </w:rPr>
              <w:t>XVII (pág. 322)</w:t>
            </w:r>
          </w:p>
        </w:tc>
        <w:tc>
          <w:tcPr>
            <w:tcW w:type="dxa" w:w="3600"/>
          </w:tcPr>
          <w:p>
            <w:r/>
            <w:r>
              <w:rPr>
                <w:sz w:val="17"/>
              </w:rPr>
              <w:t>Propiedad intelectual, marcas, Banco de Recursos Publicitarios</w:t>
            </w:r>
          </w:p>
        </w:tc>
        <w:tc>
          <w:tcPr>
            <w:tcW w:type="dxa" w:w="1296"/>
          </w:tcPr>
          <w:p>
            <w:r/>
            <w:r>
              <w:rPr>
                <w:sz w:val="17"/>
              </w:rPr>
              <w:t>PARCIAL</w:t>
            </w:r>
          </w:p>
        </w:tc>
        <w:tc>
          <w:tcPr>
            <w:tcW w:type="dxa" w:w="5184"/>
          </w:tcPr>
          <w:p>
            <w:r/>
            <w:r>
              <w:rPr>
                <w:sz w:val="17"/>
              </w:rPr>
              <w:t>Hay repositorio de assets por campaña/branding. Falta el Banco de Recursos Publicitarios con titularidad, autorización, versión, vigencia y estados.</w:t>
            </w:r>
          </w:p>
        </w:tc>
      </w:tr>
      <w:tr>
        <w:tc>
          <w:tcPr>
            <w:tcW w:type="dxa" w:w="1152"/>
          </w:tcPr>
          <w:p>
            <w:r/>
            <w:r>
              <w:rPr>
                <w:sz w:val="17"/>
              </w:rPr>
              <w:t>XVIII (pág. 330)</w:t>
            </w:r>
          </w:p>
        </w:tc>
        <w:tc>
          <w:tcPr>
            <w:tcW w:type="dxa" w:w="3600"/>
          </w:tcPr>
          <w:p>
            <w:r/>
            <w:r>
              <w:rPr>
                <w:sz w:val="17"/>
              </w:rPr>
              <w:t>Responsabilidad de las partes, delimitación funcional</w:t>
            </w:r>
          </w:p>
        </w:tc>
        <w:tc>
          <w:tcPr>
            <w:tcW w:type="dxa" w:w="1296"/>
          </w:tcPr>
          <w:p>
            <w:r/>
            <w:r>
              <w:rPr>
                <w:sz w:val="17"/>
              </w:rPr>
              <w:t>N/A (contractual)</w:t>
            </w:r>
          </w:p>
        </w:tc>
        <w:tc>
          <w:tcPr>
            <w:tcW w:type="dxa" w:w="5184"/>
          </w:tcPr>
          <w:p>
            <w:r/>
            <w:r>
              <w:rPr>
                <w:sz w:val="17"/>
              </w:rPr>
              <w:t>Fundamentalmente jurídico; impacto técnico menor (registro de rol efectivo por operación e inhabilitación para nuevas activaciones).</w:t>
            </w:r>
          </w:p>
        </w:tc>
      </w:tr>
      <w:tr>
        <w:tc>
          <w:tcPr>
            <w:tcW w:type="dxa" w:w="1152"/>
          </w:tcPr>
          <w:p>
            <w:r/>
            <w:r>
              <w:rPr>
                <w:sz w:val="17"/>
              </w:rPr>
              <w:t>XIX (pág. 342)</w:t>
            </w:r>
          </w:p>
        </w:tc>
        <w:tc>
          <w:tcPr>
            <w:tcW w:type="dxa" w:w="3600"/>
          </w:tcPr>
          <w:p>
            <w:r/>
            <w:r>
              <w:rPr>
                <w:sz w:val="17"/>
              </w:rPr>
              <w:t>Modificaciones, evolución del ecosistema, versionamiento</w:t>
            </w:r>
          </w:p>
        </w:tc>
        <w:tc>
          <w:tcPr>
            <w:tcW w:type="dxa" w:w="1296"/>
          </w:tcPr>
          <w:p>
            <w:r/>
            <w:r>
              <w:rPr>
                <w:sz w:val="17"/>
              </w:rPr>
              <w:t>PARCIAL</w:t>
            </w:r>
          </w:p>
        </w:tc>
        <w:tc>
          <w:tcPr>
            <w:tcW w:type="dxa" w:w="5184"/>
          </w:tcPr>
          <w:p>
            <w:r/>
            <w:r>
              <w:rPr>
                <w:sz w:val="17"/>
              </w:rPr>
              <w:t>Planes y features versionados. Falta versionamiento contractual con aceptación de cambios relevantes y aplicación prospectiva de parámetros.</w:t>
            </w:r>
          </w:p>
        </w:tc>
      </w:tr>
      <w:tr>
        <w:tc>
          <w:tcPr>
            <w:tcW w:type="dxa" w:w="1152"/>
          </w:tcPr>
          <w:p>
            <w:r/>
            <w:r>
              <w:rPr>
                <w:sz w:val="17"/>
              </w:rPr>
              <w:t>XX (pág. 351)</w:t>
            </w:r>
          </w:p>
        </w:tc>
        <w:tc>
          <w:tcPr>
            <w:tcW w:type="dxa" w:w="3600"/>
          </w:tcPr>
          <w:p>
            <w:r/>
            <w:r>
              <w:rPr>
                <w:sz w:val="17"/>
              </w:rPr>
              <w:t>Duración, retiro, cambio de titularidad, terminación</w:t>
            </w:r>
          </w:p>
        </w:tc>
        <w:tc>
          <w:tcPr>
            <w:tcW w:type="dxa" w:w="1296"/>
          </w:tcPr>
          <w:p>
            <w:r/>
            <w:r>
              <w:rPr>
                <w:sz w:val="17"/>
              </w:rPr>
              <w:t>PARCIAL</w:t>
            </w:r>
          </w:p>
        </w:tc>
        <w:tc>
          <w:tcPr>
            <w:tcW w:type="dxa" w:w="5184"/>
          </w:tcPr>
          <w:p>
            <w:r/>
            <w:r>
              <w:rPr>
                <w:sz w:val="17"/>
              </w:rPr>
              <w:t>Cancelación de suscripción existe. Falta retiro ≠ borrado, acceso limitado para cierre, cambio de titularidad con revisión.</w:t>
            </w:r>
          </w:p>
        </w:tc>
      </w:tr>
      <w:tr>
        <w:tc>
          <w:tcPr>
            <w:tcW w:type="dxa" w:w="1152"/>
          </w:tcPr>
          <w:p>
            <w:r/>
            <w:r>
              <w:rPr>
                <w:sz w:val="17"/>
              </w:rPr>
              <w:t>XXI (pág. 359)</w:t>
            </w:r>
          </w:p>
        </w:tc>
        <w:tc>
          <w:tcPr>
            <w:tcW w:type="dxa" w:w="3600"/>
          </w:tcPr>
          <w:p>
            <w:r/>
            <w:r>
              <w:rPr>
                <w:sz w:val="17"/>
              </w:rPr>
              <w:t>Comunicaciones, avisos y notificaciones electrónicas</w:t>
            </w:r>
          </w:p>
        </w:tc>
        <w:tc>
          <w:tcPr>
            <w:tcW w:type="dxa" w:w="1296"/>
          </w:tcPr>
          <w:p>
            <w:r/>
            <w:r>
              <w:rPr>
                <w:sz w:val="17"/>
              </w:rPr>
              <w:t>PARCIAL</w:t>
            </w:r>
          </w:p>
        </w:tc>
        <w:tc>
          <w:tcPr>
            <w:tcW w:type="dxa" w:w="5184"/>
          </w:tcPr>
          <w:p>
            <w:r/>
            <w:r>
              <w:rPr>
                <w:sz w:val="17"/>
              </w:rPr>
              <w:t>Email (SendGrid) + SMS (Twilio) + notificaciones in-app + WebSocket. Falta el registro central multicanal con trazabilidad de qué/cuándo/canal/versión y WhatsApp como canal formal.</w:t>
            </w:r>
          </w:p>
        </w:tc>
      </w:tr>
      <w:tr>
        <w:tc>
          <w:tcPr>
            <w:tcW w:type="dxa" w:w="1152"/>
          </w:tcPr>
          <w:p>
            <w:r/>
            <w:r>
              <w:rPr>
                <w:sz w:val="17"/>
              </w:rPr>
              <w:t>XXII (pág. 365)</w:t>
            </w:r>
          </w:p>
        </w:tc>
        <w:tc>
          <w:tcPr>
            <w:tcW w:type="dxa" w:w="3600"/>
          </w:tcPr>
          <w:p>
            <w:r/>
            <w:r>
              <w:rPr>
                <w:sz w:val="17"/>
              </w:rPr>
              <w:t>Disposiciones finales, contratación electrónica</w:t>
            </w:r>
          </w:p>
        </w:tc>
        <w:tc>
          <w:tcPr>
            <w:tcW w:type="dxa" w:w="1296"/>
          </w:tcPr>
          <w:p>
            <w:r/>
            <w:r>
              <w:rPr>
                <w:sz w:val="17"/>
              </w:rPr>
              <w:t>PARCIAL</w:t>
            </w:r>
          </w:p>
        </w:tc>
        <w:tc>
          <w:tcPr>
            <w:tcW w:type="dxa" w:w="5184"/>
          </w:tcPr>
          <w:p>
            <w:r/>
            <w:r>
              <w:rPr>
                <w:sz w:val="17"/>
              </w:rPr>
              <w:t>Aceptación electrónica y evidencia existen vía ZapSign. Falta conservación de versión de cada documento aceptado ligada a cada decisión.</w:t>
            </w:r>
          </w:p>
        </w:tc>
      </w:tr>
    </w:tbl>
    <w:p>
      <w:r>
        <w:br w:type="page"/>
      </w:r>
    </w:p>
    <w:p>
      <w:pPr>
        <w:pStyle w:val="Heading1"/>
      </w:pPr>
      <w:r>
        <w:t>3. Análisis cláusula por cláusula</w:t>
      </w:r>
    </w:p>
    <w:p>
      <w:r>
        <w:rPr>
          <w:b w:val="0"/>
          <w:i/>
          <w:sz w:val="18"/>
        </w:rPr>
        <w:t>Para cada cláusula: (a) qué se le promete al empresario, con cita; (b) qué exige la guía de programación; (c) qué hay hoy en el código; (d) qué es nuevo por implementar y qué debe cambiarse.</w:t>
      </w:r>
    </w:p>
    <w:p>
      <w:r>
        <w:br w:type="page"/>
      </w:r>
    </w:p>
    <w:p>
      <w:pPr>
        <w:pStyle w:val="Heading2"/>
      </w:pPr>
      <w:r>
        <w:t>Cláusula Primera — Identificación de las partes, caracterización, contratación electrónica e independencia (pág. 1)</w:t>
      </w:r>
    </w:p>
    <w:p>
      <w:pPr>
        <w:pStyle w:val="Heading3"/>
      </w:pPr>
      <w:r>
        <w:t>Lo que promete el contrato</w:t>
      </w:r>
    </w:p>
    <w:p>
      <w:pPr>
        <w:ind w:left="432"/>
      </w:pPr>
      <w:r>
        <w:rPr>
          <w:i/>
          <w:color w:val="555555"/>
          <w:sz w:val="19"/>
        </w:rPr>
        <w:t>“EL EMPRESARIO deberá completar la caracterización empresarial, comercial, operativa y tributaria” y ser caracterizado bajo una sola Vocación Empresarial Principal: PRODUCTOS o SERVICIOS (CONTRATO TIPO B, Cláusula Primera, numerales 1.3–1.4, pág. 1).</w:t>
      </w:r>
    </w:p>
    <w:p>
      <w:pPr>
        <w:ind w:left="432"/>
      </w:pPr>
      <w:r>
        <w:rPr>
          <w:i/>
          <w:color w:val="555555"/>
          <w:sz w:val="19"/>
        </w:rPr>
        <w:t>Casilla no premarcada de disposición al crecimiento y a la formalización tributaria (numeral 1.7, pág. 1). Estados de la vinculación diferenciados: registro iniciado → validación de identidad → validación de representación → caracterización en revisión → contrato aceptado → pago pendiente → activación pendiente → vinculación activa → Estado de Continuidad → Suspensión Preventiva → inactividad → terminación (numeral 1.13).</w:t>
      </w:r>
    </w:p>
    <w:p>
      <w:pPr>
        <w:ind w:left="432"/>
      </w:pPr>
      <w:r>
        <w:rPr>
          <w:i/>
          <w:color w:val="555555"/>
          <w:sz w:val="19"/>
        </w:rPr>
        <w:t>Control de versiones y no retroactividad: cada aceptación/modificación/condición económica se asocia a una versión identificable; las modificaciones posteriores no alteran operaciones perfeccionadas, inversiones validadas, Ventas Computables, consumos del Saldo de Prosperidad, Bases Comisionables ni comisiones causadas (numeral 1.17).</w:t>
      </w:r>
    </w:p>
    <w:p>
      <w:pPr>
        <w:pStyle w:val="Heading3"/>
      </w:pPr>
      <w:r>
        <w:t>Lo que exige la guía</w:t>
      </w:r>
    </w:p>
    <w:p>
      <w:pPr>
        <w:ind w:left="432"/>
      </w:pPr>
      <w:r>
        <w:rPr>
          <w:i/>
          <w:color w:val="555555"/>
          <w:sz w:val="19"/>
        </w:rPr>
        <w:t>GUÍA DE PROGRAMACIÓN, numeral 1.2: el expediente debe almacenar ID_EMPRESARIO, tipo de persona, NIT, nombre comercial, matrícula mercantil, disponibilidad de WhatsApp, datos bancarios, Vocación Empresarial Principal, estado del expediente, versión vigente. Estados de identificación: INCOMPLETA / PENDIENTE_DE_VALIDACIÓN / EN_VALIDACIÓN / INFORMACIÓN_ADICIONAL_REQUERIDA / VALIDADA / OBSERVADA / RECHAZADA, con identidad y representación en estados independientes. Un cambio de teléfono/correo/dirección/representante/cuenta bancaria crea una nueva versión del dato, no una nueva identidad.</w:t>
      </w:r>
    </w:p>
    <w:p>
      <w:pPr>
        <w:pStyle w:val="Heading3"/>
      </w:pPr>
      <w:r>
        <w:t>Lo que hay en el código</w:t>
      </w:r>
    </w:p>
    <w:p>
      <w:pPr>
        <w:pStyle w:val="ListBullet"/>
      </w:pPr>
      <w:r>
        <w:t>models/commercial/CommercialOnboarding.java + enum OnboardingStep: flujo TERMS → LEGAL_IDENTIFICATION → DIAGNOSTIC → CLASSIFICATION → (ADVISOR_CONTACT | PLAN) → DOCUMENTS → CONTRACT → BUSINESS_REVIEW → VERYGANA_REVIEW → SIGNATURE → PAYMENT → COMPLETED. Buen calce con el macroproceso del contrato.</w:t>
      </w:r>
    </w:p>
    <w:p>
      <w:pPr>
        <w:pStyle w:val="ListBullet"/>
      </w:pPr>
      <w:r>
        <w:t>CommercialDetails: companyName, nit (unique), ciiuCode, mercantileRegistration, legalRep*, pep, annualIncomeRange, municipality. Firma electrónica: ESignatureServiceImpl + ZapSignESignatureProvider.</w:t>
      </w:r>
    </w:p>
    <w:p>
      <w:pPr>
        <w:pStyle w:val="ListBullet"/>
      </w:pPr>
      <w:r>
        <w:t>CommercialContract con purpose ONBOARDING/RECHARGE/PLAN_CHANGE y estados de revisión (business_approved / admin_reviewed / esignature_*).</w:t>
      </w:r>
    </w:p>
    <w:p>
      <w:pPr>
        <w:pStyle w:val="Heading3"/>
      </w:pPr>
      <w:r>
        <w:t>Nuevo por implementar</w:t>
      </w:r>
    </w:p>
    <w:p>
      <w:pPr>
        <w:pStyle w:val="ListBullet"/>
      </w:pPr>
      <w:r>
        <w:t>Campo commercial.vocacionEmpresarialPrincipal (PRODUCTOS | SERVICIOS), obligatorio, asignado en caracterización, con historial y fecha efectiva futura para cambios (CONTRATO TIPO B, Cláusula Primera 1.4 y Cláusula Cuarta 4.6, pág. 53).</w:t>
      </w:r>
    </w:p>
    <w:p>
      <w:pPr>
        <w:pStyle w:val="ListBullet"/>
      </w:pPr>
      <w:r>
        <w:t>Bloque de caracterización tributaria en CommercialDetails / CommercialOnboarding: RUT (número + fecha), responsabilidades tributarias, condición frente al IVA, condición frente al INC, habilitación de facturación electrónica, régimen tributario, disponibilidad de contador. Casilla no premarcada de disposición a la formalización y pregunta expresa del numeral 1.7 / 4.7 (pág. 1 y 53).</w:t>
      </w:r>
    </w:p>
    <w:p>
      <w:pPr>
        <w:pStyle w:val="ListBullet"/>
      </w:pPr>
      <w:r>
        <w:t>Sub-estados de validación independientes para identidad y representación (hoy sólo hay OnboardingStep global).</w:t>
      </w:r>
    </w:p>
    <w:p>
      <w:pPr>
        <w:pStyle w:val="ListBullet"/>
      </w:pPr>
      <w:r>
        <w:t>“Disponibilidad de WhatsApp” como dato del expediente (GUÍA DE PROGRAMACIÓN, numeral 1.2).</w:t>
      </w:r>
    </w:p>
    <w:p>
      <w:pPr>
        <w:pStyle w:val="ListBullet"/>
      </w:pPr>
      <w:r>
        <w:t>Versionado explícito: cada decisión (aceptación, activación, cambio de estado, cambio de condición económica) debe guardar la versión de contrato + versión de caracterización + versión de matriz económica aplicadas. Hoy CommercialContract tiene version pero no se propaga a las decisiones económicas.</w:t>
      </w:r>
    </w:p>
    <w:p>
      <w:pPr>
        <w:pStyle w:val="Heading3"/>
      </w:pPr>
      <w:r>
        <w:t>Cambios a realizar</w:t>
      </w:r>
    </w:p>
    <w:p>
      <w:pPr>
        <w:pStyle w:val="ListBullet"/>
      </w:pPr>
      <w:r>
        <w:t>Añadir a los estados de la vinculación EN_ESTADO_DE_CONTINUIDAD y SUSPENDIDO_PREVENTIVAMENTE (ver Cláusula IV y XII). Hoy no existen.</w:t>
      </w:r>
    </w:p>
    <w:p>
      <w:pPr>
        <w:pStyle w:val="ListBullet"/>
      </w:pPr>
      <w:r>
        <w:t>Garantizar “no retroactividad”: cualquier job/servicio que recalcule montos debe operar sólo hacia adelante y mediante movimientos de ajuste trazables, nunca UPDATE destructivo (numeral 1.17).</w:t>
      </w:r>
    </w:p>
    <w:p>
      <w:r>
        <w:br w:type="page"/>
      </w:r>
    </w:p>
    <w:p>
      <w:pPr>
        <w:pStyle w:val="Heading2"/>
      </w:pPr>
      <w:r>
        <w:t>Cláusula Segunda — Definiciones contractuales (pág. 11)</w:t>
      </w:r>
    </w:p>
    <w:p>
      <w:r>
        <w:rPr>
          <w:b w:val="0"/>
          <w:i w:val="0"/>
        </w:rPr>
        <w:t>Esta cláusula fija el vocabulario que el resto del contrato da por implementado. Se listan las definiciones con impacto técnico y su estado. Citas de página del CONTRATO TIPO B.</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
              <w:rPr>
                <w:b/>
                <w:sz w:val="18"/>
              </w:rPr>
              <w:t>Definición (numeral, pág.)</w:t>
            </w:r>
          </w:p>
        </w:tc>
        <w:tc>
          <w:tcPr>
            <w:tcW w:type="dxa" w:w="4320"/>
          </w:tcPr>
          <w:p>
            <w:r/>
            <w:r>
              <w:rPr>
                <w:b/>
                <w:sz w:val="18"/>
              </w:rPr>
              <w:t>Qué significa</w:t>
            </w:r>
          </w:p>
        </w:tc>
        <w:tc>
          <w:tcPr>
            <w:tcW w:type="dxa" w:w="3312"/>
          </w:tcPr>
          <w:p>
            <w:r/>
            <w:r>
              <w:rPr>
                <w:b/>
                <w:sz w:val="18"/>
              </w:rPr>
              <w:t>Estado en el código</w:t>
            </w:r>
          </w:p>
        </w:tc>
      </w:tr>
      <w:tr>
        <w:tc>
          <w:tcPr>
            <w:tcW w:type="dxa" w:w="2736"/>
          </w:tcPr>
          <w:p>
            <w:r/>
            <w:r>
              <w:rPr>
                <w:sz w:val="17"/>
              </w:rPr>
              <w:t>2.5 Vocación Empresarial Principal (pág. 16)</w:t>
            </w:r>
          </w:p>
        </w:tc>
        <w:tc>
          <w:tcPr>
            <w:tcW w:type="dxa" w:w="4320"/>
          </w:tcPr>
          <w:p>
            <w:r/>
            <w:r>
              <w:rPr>
                <w:sz w:val="17"/>
              </w:rPr>
              <w:t>Clasificación única PRODUCTOS o SERVICIOS del empresario; determina la comisión.</w:t>
            </w:r>
          </w:p>
        </w:tc>
        <w:tc>
          <w:tcPr>
            <w:tcW w:type="dxa" w:w="3312"/>
          </w:tcPr>
          <w:p>
            <w:r/>
            <w:r>
              <w:rPr>
                <w:sz w:val="17"/>
              </w:rPr>
              <w:t>FALTANTE — no hay campo ni enum.</w:t>
            </w:r>
          </w:p>
        </w:tc>
      </w:tr>
      <w:tr>
        <w:tc>
          <w:tcPr>
            <w:tcW w:type="dxa" w:w="2736"/>
          </w:tcPr>
          <w:p>
            <w:r/>
            <w:r>
              <w:rPr>
                <w:sz w:val="17"/>
              </w:rPr>
              <w:t>2.8 Clasificación Comercial de la Operación (pág. 17)</w:t>
            </w:r>
          </w:p>
        </w:tc>
        <w:tc>
          <w:tcPr>
            <w:tcW w:type="dxa" w:w="4320"/>
          </w:tcPr>
          <w:p>
            <w:r/>
            <w:r>
              <w:rPr>
                <w:sz w:val="17"/>
              </w:rPr>
              <w:t>Cada operación hereda la vocación del empresario.</w:t>
            </w:r>
          </w:p>
        </w:tc>
        <w:tc>
          <w:tcPr>
            <w:tcW w:type="dxa" w:w="3312"/>
          </w:tcPr>
          <w:p>
            <w:r/>
            <w:r>
              <w:rPr>
                <w:sz w:val="17"/>
              </w:rPr>
              <w:t>FALTANTE.</w:t>
            </w:r>
          </w:p>
        </w:tc>
      </w:tr>
      <w:tr>
        <w:tc>
          <w:tcPr>
            <w:tcW w:type="dxa" w:w="2736"/>
          </w:tcPr>
          <w:p>
            <w:r/>
            <w:r>
              <w:rPr>
                <w:sz w:val="17"/>
              </w:rPr>
              <w:t>2.9 Clasificación Tributaria de la Operación (pág. 17)</w:t>
            </w:r>
          </w:p>
        </w:tc>
        <w:tc>
          <w:tcPr>
            <w:tcW w:type="dxa" w:w="4320"/>
          </w:tcPr>
          <w:p>
            <w:r/>
            <w:r>
              <w:rPr>
                <w:sz w:val="17"/>
              </w:rPr>
              <w:t>Tratamiento de IVA/INC por componente, independiente de la comercial.</w:t>
            </w:r>
          </w:p>
        </w:tc>
        <w:tc>
          <w:tcPr>
            <w:tcW w:type="dxa" w:w="3312"/>
          </w:tcPr>
          <w:p>
            <w:r/>
            <w:r>
              <w:rPr>
                <w:sz w:val="17"/>
              </w:rPr>
              <w:t>FALTANTE — Product no registra régimen tributario.</w:t>
            </w:r>
          </w:p>
        </w:tc>
      </w:tr>
      <w:tr>
        <w:tc>
          <w:tcPr>
            <w:tcW w:type="dxa" w:w="2736"/>
          </w:tcPr>
          <w:p>
            <w:r/>
            <w:r>
              <w:rPr>
                <w:sz w:val="17"/>
              </w:rPr>
              <w:t>2.12 Cupo de Ofertas (pág. 17)</w:t>
            </w:r>
          </w:p>
        </w:tc>
        <w:tc>
          <w:tcPr>
            <w:tcW w:type="dxa" w:w="4320"/>
          </w:tcPr>
          <w:p>
            <w:r/>
            <w:r>
              <w:rPr>
                <w:sz w:val="17"/>
              </w:rPr>
              <w:t>3 a 10 publicaciones activas simultáneas, parametrizable.</w:t>
            </w:r>
          </w:p>
        </w:tc>
        <w:tc>
          <w:tcPr>
            <w:tcW w:type="dxa" w:w="3312"/>
          </w:tcPr>
          <w:p>
            <w:r/>
            <w:r>
              <w:rPr>
                <w:sz w:val="17"/>
              </w:rPr>
              <w:t>DIVERGENTE — MAX_PRODUCTS=50 (STANDARD).</w:t>
            </w:r>
          </w:p>
        </w:tc>
      </w:tr>
      <w:tr>
        <w:tc>
          <w:tcPr>
            <w:tcW w:type="dxa" w:w="2736"/>
          </w:tcPr>
          <w:p>
            <w:r/>
            <w:r>
              <w:rPr>
                <w:sz w:val="17"/>
              </w:rPr>
              <w:t>2.16 Bono Comercial (pág. 18)</w:t>
            </w:r>
          </w:p>
        </w:tc>
        <w:tc>
          <w:tcPr>
            <w:tcW w:type="dxa" w:w="4320"/>
          </w:tcPr>
          <w:p>
            <w:r/>
            <w:r>
              <w:rPr>
                <w:sz w:val="17"/>
              </w:rPr>
              <w:t>Instrumento de redención con valor nominal ≥ $50.000, acumulable, código único.</w:t>
            </w:r>
          </w:p>
        </w:tc>
        <w:tc>
          <w:tcPr>
            <w:tcW w:type="dxa" w:w="3312"/>
          </w:tcPr>
          <w:p>
            <w:r/>
            <w:r>
              <w:rPr>
                <w:sz w:val="17"/>
              </w:rPr>
              <w:t>FALTANTE.</w:t>
            </w:r>
          </w:p>
        </w:tc>
      </w:tr>
      <w:tr>
        <w:tc>
          <w:tcPr>
            <w:tcW w:type="dxa" w:w="2736"/>
          </w:tcPr>
          <w:p>
            <w:r/>
            <w:r>
              <w:rPr>
                <w:sz w:val="17"/>
              </w:rPr>
              <w:t>2.17 Bono de Desbloqueo (pág. 18)</w:t>
            </w:r>
          </w:p>
        </w:tc>
        <w:tc>
          <w:tcPr>
            <w:tcW w:type="dxa" w:w="4320"/>
          </w:tcPr>
          <w:p>
            <w:r/>
            <w:r>
              <w:rPr>
                <w:sz w:val="17"/>
              </w:rPr>
              <w:t>Código promocional que habilita una condición de compra; no es dinero.</w:t>
            </w:r>
          </w:p>
        </w:tc>
        <w:tc>
          <w:tcPr>
            <w:tcW w:type="dxa" w:w="3312"/>
          </w:tcPr>
          <w:p>
            <w:r/>
            <w:r>
              <w:rPr>
                <w:sz w:val="17"/>
              </w:rPr>
              <w:t>FALTANTE.</w:t>
            </w:r>
          </w:p>
        </w:tc>
      </w:tr>
      <w:tr>
        <w:tc>
          <w:tcPr>
            <w:tcW w:type="dxa" w:w="2736"/>
          </w:tcPr>
          <w:p>
            <w:r/>
            <w:r>
              <w:rPr>
                <w:sz w:val="17"/>
              </w:rPr>
              <w:t>2.25 Llaves Promocionales (pág. 20)</w:t>
            </w:r>
          </w:p>
        </w:tc>
        <w:tc>
          <w:tcPr>
            <w:tcW w:type="dxa" w:w="4320"/>
          </w:tcPr>
          <w:p>
            <w:r/>
            <w:r>
              <w:rPr>
                <w:sz w:val="17"/>
              </w:rPr>
              <w:t>Unidad promocional interna; cubre hasta 50 % (ordinario) o 70 % (promo especial).</w:t>
            </w:r>
          </w:p>
        </w:tc>
        <w:tc>
          <w:tcPr>
            <w:tcW w:type="dxa" w:w="3312"/>
          </w:tcPr>
          <w:p>
            <w:r/>
            <w:r>
              <w:rPr>
                <w:sz w:val="17"/>
              </w:rPr>
              <w:t>PARCIAL — KeyWallet (purchase/connectivity), pero maxKeysPct por plan (20/35/50) y valor fijo 1 llave=$10.</w:t>
            </w:r>
          </w:p>
        </w:tc>
      </w:tr>
      <w:tr>
        <w:tc>
          <w:tcPr>
            <w:tcW w:type="dxa" w:w="2736"/>
          </w:tcPr>
          <w:p>
            <w:r/>
            <w:r>
              <w:rPr>
                <w:sz w:val="17"/>
              </w:rPr>
              <w:t>2.28 Inversión Computable (pág. 20)</w:t>
            </w:r>
          </w:p>
        </w:tc>
        <w:tc>
          <w:tcPr>
            <w:tcW w:type="dxa" w:w="4320"/>
          </w:tcPr>
          <w:p>
            <w:r/>
            <w:r>
              <w:rPr>
                <w:sz w:val="17"/>
              </w:rPr>
              <w:t>Valor neto (sin IVA) pagado y conciliado; rango $1.000.000–$9.999.999 por período.</w:t>
            </w:r>
          </w:p>
        </w:tc>
        <w:tc>
          <w:tcPr>
            <w:tcW w:type="dxa" w:w="3312"/>
          </w:tcPr>
          <w:p>
            <w:r/>
            <w:r>
              <w:rPr>
                <w:sz w:val="17"/>
              </w:rPr>
              <w:t>PARCIAL — Investment.depositAmountCents existe, pero sin separar IVA ni marcar “computable”.</w:t>
            </w:r>
          </w:p>
        </w:tc>
      </w:tr>
      <w:tr>
        <w:tc>
          <w:tcPr>
            <w:tcW w:type="dxa" w:w="2736"/>
          </w:tcPr>
          <w:p>
            <w:r/>
            <w:r>
              <w:rPr>
                <w:sz w:val="17"/>
              </w:rPr>
              <w:t>2.29 Período Ordinario de Inversión (pág. 21)</w:t>
            </w:r>
          </w:p>
        </w:tc>
        <w:tc>
          <w:tcPr>
            <w:tcW w:type="dxa" w:w="4320"/>
          </w:tcPr>
          <w:p>
            <w:r/>
            <w:r>
              <w:rPr>
                <w:sz w:val="17"/>
              </w:rPr>
              <w:t>Intervalo semanal, zona horaria oficial de Colombia.</w:t>
            </w:r>
          </w:p>
        </w:tc>
        <w:tc>
          <w:tcPr>
            <w:tcW w:type="dxa" w:w="3312"/>
          </w:tcPr>
          <w:p>
            <w:r/>
            <w:r>
              <w:rPr>
                <w:sz w:val="17"/>
              </w:rPr>
              <w:t>FALTANTE — hoy la suscripción/recarga no tiene período semanal.</w:t>
            </w:r>
          </w:p>
        </w:tc>
      </w:tr>
      <w:tr>
        <w:tc>
          <w:tcPr>
            <w:tcW w:type="dxa" w:w="2736"/>
          </w:tcPr>
          <w:p>
            <w:r/>
            <w:r>
              <w:rPr>
                <w:sz w:val="17"/>
              </w:rPr>
              <w:t>2.30 Juego Promocional Habilitado por Inversión (pág. 21)</w:t>
            </w:r>
          </w:p>
        </w:tc>
        <w:tc>
          <w:tcPr>
            <w:tcW w:type="dxa" w:w="4320"/>
          </w:tcPr>
          <w:p>
            <w:r/>
            <w:r>
              <w:rPr>
                <w:sz w:val="17"/>
              </w:rPr>
              <w:t>2 juegos por cada $1.000.000 completo de Inversión Computable.</w:t>
            </w:r>
          </w:p>
        </w:tc>
        <w:tc>
          <w:tcPr>
            <w:tcW w:type="dxa" w:w="3312"/>
          </w:tcPr>
          <w:p>
            <w:r/>
            <w:r>
              <w:rPr>
                <w:sz w:val="17"/>
              </w:rPr>
              <w:t>DIVERGENTE — MAX_BRANDED_GAMES es un límite plano.</w:t>
            </w:r>
          </w:p>
        </w:tc>
      </w:tr>
      <w:tr>
        <w:tc>
          <w:tcPr>
            <w:tcW w:type="dxa" w:w="2736"/>
          </w:tcPr>
          <w:p>
            <w:r/>
            <w:r>
              <w:rPr>
                <w:sz w:val="17"/>
              </w:rPr>
              <w:t>2.31 Umbral de Prosperidad (pág. 21)</w:t>
            </w:r>
          </w:p>
        </w:tc>
        <w:tc>
          <w:tcPr>
            <w:tcW w:type="dxa" w:w="4320"/>
          </w:tcPr>
          <w:p>
            <w:r/>
            <w:r>
              <w:rPr>
                <w:sz w:val="17"/>
              </w:rPr>
              <w:t>= Inversión Computable × 4. Acumulativo, no reiniciable.</w:t>
            </w:r>
          </w:p>
        </w:tc>
        <w:tc>
          <w:tcPr>
            <w:tcW w:type="dxa" w:w="3312"/>
          </w:tcPr>
          <w:p>
            <w:r/>
            <w:r>
              <w:rPr>
                <w:sz w:val="17"/>
              </w:rPr>
              <w:t>FALTANTE.</w:t>
            </w:r>
          </w:p>
        </w:tc>
      </w:tr>
      <w:tr>
        <w:tc>
          <w:tcPr>
            <w:tcW w:type="dxa" w:w="2736"/>
          </w:tcPr>
          <w:p>
            <w:r/>
            <w:r>
              <w:rPr>
                <w:sz w:val="17"/>
              </w:rPr>
              <w:t>2.32 Saldo de Prosperidad (pág. 21)</w:t>
            </w:r>
          </w:p>
        </w:tc>
        <w:tc>
          <w:tcPr>
            <w:tcW w:type="dxa" w:w="4320"/>
          </w:tcPr>
          <w:p>
            <w:r/>
            <w:r>
              <w:rPr>
                <w:sz w:val="17"/>
              </w:rPr>
              <w:t>Porción del Umbral aún no consumida por Ventas Computables.</w:t>
            </w:r>
          </w:p>
        </w:tc>
        <w:tc>
          <w:tcPr>
            <w:tcW w:type="dxa" w:w="3312"/>
          </w:tcPr>
          <w:p>
            <w:r/>
            <w:r>
              <w:rPr>
                <w:sz w:val="17"/>
              </w:rPr>
              <w:t>FALTANTE.</w:t>
            </w:r>
          </w:p>
        </w:tc>
      </w:tr>
      <w:tr>
        <w:tc>
          <w:tcPr>
            <w:tcW w:type="dxa" w:w="2736"/>
          </w:tcPr>
          <w:p>
            <w:r/>
            <w:r>
              <w:rPr>
                <w:sz w:val="17"/>
              </w:rPr>
              <w:t>2.33 Venta Computable (pág. 22)</w:t>
            </w:r>
          </w:p>
        </w:tc>
        <w:tc>
          <w:tcPr>
            <w:tcW w:type="dxa" w:w="4320"/>
          </w:tcPr>
          <w:p>
            <w:r/>
            <w:r>
              <w:rPr>
                <w:sz w:val="17"/>
              </w:rPr>
              <w:t>Precio final total de la operación (incluye IVA de la venta); no la reducen las llaves.</w:t>
            </w:r>
          </w:p>
        </w:tc>
        <w:tc>
          <w:tcPr>
            <w:tcW w:type="dxa" w:w="3312"/>
          </w:tcPr>
          <w:p>
            <w:r/>
            <w:r>
              <w:rPr>
                <w:sz w:val="17"/>
              </w:rPr>
              <w:t>FALTANTE — Purchase.totalCents existe pero no como Venta Computable frente a un saldo.</w:t>
            </w:r>
          </w:p>
        </w:tc>
      </w:tr>
      <w:tr>
        <w:tc>
          <w:tcPr>
            <w:tcW w:type="dxa" w:w="2736"/>
          </w:tcPr>
          <w:p>
            <w:r/>
            <w:r>
              <w:rPr>
                <w:sz w:val="17"/>
              </w:rPr>
              <w:t>2.34 Base Comisionable (pág. 22)</w:t>
            </w:r>
          </w:p>
        </w:tc>
        <w:tc>
          <w:tcPr>
            <w:tcW w:type="dxa" w:w="4320"/>
          </w:tcPr>
          <w:p>
            <w:r/>
            <w:r>
              <w:rPr>
                <w:sz w:val="17"/>
              </w:rPr>
              <w:t>Porción de la Venta Computable que excede el Saldo de Prosperidad.</w:t>
            </w:r>
          </w:p>
        </w:tc>
        <w:tc>
          <w:tcPr>
            <w:tcW w:type="dxa" w:w="3312"/>
          </w:tcPr>
          <w:p>
            <w:r/>
            <w:r>
              <w:rPr>
                <w:sz w:val="17"/>
              </w:rPr>
              <w:t>FALTANTE — se comisiona el 100 % de cada venta.</w:t>
            </w:r>
          </w:p>
        </w:tc>
      </w:tr>
      <w:tr>
        <w:tc>
          <w:tcPr>
            <w:tcW w:type="dxa" w:w="2736"/>
          </w:tcPr>
          <w:p>
            <w:r/>
            <w:r>
              <w:rPr>
                <w:sz w:val="17"/>
              </w:rPr>
              <w:t>2.35 Comisión (pág. 22)</w:t>
            </w:r>
          </w:p>
        </w:tc>
        <w:tc>
          <w:tcPr>
            <w:tcW w:type="dxa" w:w="4320"/>
          </w:tcPr>
          <w:p>
            <w:r/>
            <w:r>
              <w:rPr>
                <w:sz w:val="17"/>
              </w:rPr>
              <w:t>10 % PRODUCTOS / 15 % SERVICIOS de la Base Comisionable, IVA incluido.</w:t>
            </w:r>
          </w:p>
        </w:tc>
        <w:tc>
          <w:tcPr>
            <w:tcW w:type="dxa" w:w="3312"/>
          </w:tcPr>
          <w:p>
            <w:r/>
            <w:r>
              <w:rPr>
                <w:sz w:val="17"/>
              </w:rPr>
              <w:t>DIVERGENTE — % plano por plan sobre el total, sin IVA discriminado.</w:t>
            </w:r>
          </w:p>
        </w:tc>
      </w:tr>
      <w:tr>
        <w:tc>
          <w:tcPr>
            <w:tcW w:type="dxa" w:w="2736"/>
          </w:tcPr>
          <w:p>
            <w:r/>
            <w:r>
              <w:rPr>
                <w:sz w:val="17"/>
              </w:rPr>
              <w:t>2.36 Programa de Fortalecimiento Empresarial (pág. 22)</w:t>
            </w:r>
          </w:p>
        </w:tc>
        <w:tc>
          <w:tcPr>
            <w:tcW w:type="dxa" w:w="4320"/>
          </w:tcPr>
          <w:p>
            <w:r/>
            <w:r>
              <w:rPr>
                <w:sz w:val="17"/>
              </w:rPr>
              <w:t>Bolsa con subcuentas para reconocimientos, activación inmediata, recuperación, etc.</w:t>
            </w:r>
          </w:p>
        </w:tc>
        <w:tc>
          <w:tcPr>
            <w:tcW w:type="dxa" w:w="3312"/>
          </w:tcPr>
          <w:p>
            <w:r/>
            <w:r>
              <w:rPr>
                <w:sz w:val="17"/>
              </w:rPr>
              <w:t>PARCIAL — cuenta de tesorería FORTIFICATION sin subcuentas ni reglas.</w:t>
            </w:r>
          </w:p>
        </w:tc>
      </w:tr>
      <w:tr>
        <w:tc>
          <w:tcPr>
            <w:tcW w:type="dxa" w:w="2736"/>
          </w:tcPr>
          <w:p>
            <w:r/>
            <w:r>
              <w:rPr>
                <w:sz w:val="17"/>
              </w:rPr>
              <w:t>2.37 Compra de VERYGANA para Reconocimiento Gratuito (pág. 23)</w:t>
            </w:r>
          </w:p>
        </w:tc>
        <w:tc>
          <w:tcPr>
            <w:tcW w:type="dxa" w:w="4320"/>
          </w:tcPr>
          <w:p>
            <w:r/>
            <w:r>
              <w:rPr>
                <w:sz w:val="17"/>
              </w:rPr>
              <w:t>VERYGANA compra al empresario para regalar a un beneficiario; el empresario factura a VERYGANA.</w:t>
            </w:r>
          </w:p>
        </w:tc>
        <w:tc>
          <w:tcPr>
            <w:tcW w:type="dxa" w:w="3312"/>
          </w:tcPr>
          <w:p>
            <w:r/>
            <w:r>
              <w:rPr>
                <w:sz w:val="17"/>
              </w:rPr>
              <w:t>FALTANTE (existe MovementConcept.FORTIFICATION_PURCHASE como concepto, sin flujo).</w:t>
            </w:r>
          </w:p>
        </w:tc>
      </w:tr>
      <w:tr>
        <w:tc>
          <w:tcPr>
            <w:tcW w:type="dxa" w:w="2736"/>
          </w:tcPr>
          <w:p>
            <w:r/>
            <w:r>
              <w:rPr>
                <w:sz w:val="17"/>
              </w:rPr>
              <w:t>2.38–2.39 Patrocinio / Componente Patrocinado</w:t>
            </w:r>
          </w:p>
        </w:tc>
        <w:tc>
          <w:tcPr>
            <w:tcW w:type="dxa" w:w="4320"/>
          </w:tcPr>
          <w:p>
            <w:r/>
            <w:r>
              <w:rPr>
                <w:sz w:val="17"/>
              </w:rPr>
              <w:t>Aporte de Empresa Premium con inventario y valor de referencia separados; tope 10 %.</w:t>
            </w:r>
          </w:p>
        </w:tc>
        <w:tc>
          <w:tcPr>
            <w:tcW w:type="dxa" w:w="3312"/>
          </w:tcPr>
          <w:p>
            <w:r/>
            <w:r>
              <w:rPr>
                <w:sz w:val="17"/>
              </w:rPr>
              <w:t>PARCIAL — AllyProductPromotion mínimo.</w:t>
            </w:r>
          </w:p>
        </w:tc>
      </w:tr>
      <w:tr>
        <w:tc>
          <w:tcPr>
            <w:tcW w:type="dxa" w:w="2736"/>
          </w:tcPr>
          <w:p>
            <w:r/>
            <w:r>
              <w:rPr>
                <w:sz w:val="17"/>
              </w:rPr>
              <w:t>2.50 Estado de Continuidad (pág. 26)</w:t>
            </w:r>
          </w:p>
        </w:tc>
        <w:tc>
          <w:tcPr>
            <w:tcW w:type="dxa" w:w="4320"/>
          </w:tcPr>
          <w:p>
            <w:r/>
            <w:r>
              <w:rPr>
                <w:sz w:val="17"/>
              </w:rPr>
              <w:t>Estado temporal de operación limitada y regularización.</w:t>
            </w:r>
          </w:p>
        </w:tc>
        <w:tc>
          <w:tcPr>
            <w:tcW w:type="dxa" w:w="3312"/>
          </w:tcPr>
          <w:p>
            <w:r/>
            <w:r>
              <w:rPr>
                <w:sz w:val="17"/>
              </w:rPr>
              <w:t>FALTANTE.</w:t>
            </w:r>
          </w:p>
        </w:tc>
      </w:tr>
      <w:tr>
        <w:tc>
          <w:tcPr>
            <w:tcW w:type="dxa" w:w="2736"/>
          </w:tcPr>
          <w:p>
            <w:r/>
            <w:r>
              <w:rPr>
                <w:sz w:val="17"/>
              </w:rPr>
              <w:t>2.51 Suspensión Preventiva (pág. 26)</w:t>
            </w:r>
          </w:p>
        </w:tc>
        <w:tc>
          <w:tcPr>
            <w:tcW w:type="dxa" w:w="4320"/>
          </w:tcPr>
          <w:p>
            <w:r/>
            <w:r>
              <w:rPr>
                <w:sz w:val="17"/>
              </w:rPr>
              <w:t>Medida temporal, proporcional, no sancionatoria.</w:t>
            </w:r>
          </w:p>
        </w:tc>
        <w:tc>
          <w:tcPr>
            <w:tcW w:type="dxa" w:w="3312"/>
          </w:tcPr>
          <w:p>
            <w:r/>
            <w:r>
              <w:rPr>
                <w:sz w:val="17"/>
              </w:rPr>
              <w:t>FALTANTE como estado propio.</w:t>
            </w:r>
          </w:p>
        </w:tc>
      </w:tr>
      <w:tr>
        <w:tc>
          <w:tcPr>
            <w:tcW w:type="dxa" w:w="2736"/>
          </w:tcPr>
          <w:p>
            <w:r/>
            <w:r>
              <w:rPr>
                <w:sz w:val="17"/>
              </w:rPr>
              <w:t>2.53 Parámetro o Regla Parametrizable (pág. 26)</w:t>
            </w:r>
          </w:p>
        </w:tc>
        <w:tc>
          <w:tcPr>
            <w:tcW w:type="dxa" w:w="4320"/>
          </w:tcPr>
          <w:p>
            <w:r/>
            <w:r>
              <w:rPr>
                <w:sz w:val="17"/>
              </w:rPr>
              <w:t>Toda variable configurable conserva valor anterior/nuevo, vigencia, responsable, versión.</w:t>
            </w:r>
          </w:p>
        </w:tc>
        <w:tc>
          <w:tcPr>
            <w:tcW w:type="dxa" w:w="3312"/>
          </w:tcPr>
          <w:p>
            <w:r/>
            <w:r>
              <w:rPr>
                <w:sz w:val="17"/>
              </w:rPr>
              <w:t>PARCIAL — PricingConfig y PlanFeature versionan; falta bitácora completa.</w:t>
            </w:r>
          </w:p>
        </w:tc>
      </w:tr>
      <w:tr>
        <w:tc>
          <w:tcPr>
            <w:tcW w:type="dxa" w:w="2736"/>
          </w:tcPr>
          <w:p>
            <w:r/>
            <w:r>
              <w:rPr>
                <w:sz w:val="17"/>
              </w:rPr>
              <w:t>2.57 Trazabilidad (pág. 27)</w:t>
            </w:r>
          </w:p>
        </w:tc>
        <w:tc>
          <w:tcPr>
            <w:tcW w:type="dxa" w:w="4320"/>
          </w:tcPr>
          <w:p>
            <w:r/>
            <w:r>
              <w:rPr>
                <w:sz w:val="17"/>
              </w:rPr>
              <w:t>Reconstruir origen, configuración, estado, modificación y resultado de toda actuación relevante.</w:t>
            </w:r>
          </w:p>
        </w:tc>
        <w:tc>
          <w:tcPr>
            <w:tcW w:type="dxa" w:w="3312"/>
          </w:tcPr>
          <w:p>
            <w:r/>
            <w:r>
              <w:rPr>
                <w:sz w:val="17"/>
              </w:rPr>
              <w:t>PARCIAL — AuditLog/OutboxEvent; falta ledger por concepto económico.</w:t>
            </w:r>
          </w:p>
        </w:tc>
      </w:tr>
    </w:tbl>
    <w:p>
      <w:pPr>
        <w:pStyle w:val="Heading3"/>
      </w:pPr>
      <w:r>
        <w:t>Nuevo por implementar / cambios</w:t>
      </w:r>
    </w:p>
    <w:p>
      <w:pPr>
        <w:pStyle w:val="ListBullet"/>
      </w:pPr>
      <w:r>
        <w:t>Introducir el módulo de dominio “prosperity” (o “economics”) con: InversionComputable, UmbralProsperidad, SaldoProsperidadLedger (movimiento a movimiento con saldo_antes / saldo_después), VentaComputable, BaseComisionable, ComisionCausada. Es el prerrequisito de las Cláusulas III, V, X y XI.</w:t>
      </w:r>
    </w:p>
    <w:p>
      <w:pPr>
        <w:pStyle w:val="ListBullet"/>
      </w:pPr>
      <w:r>
        <w:t>Añadir el enum VocacionEmpresarial y propagarlo a operación/venta.</w:t>
      </w:r>
    </w:p>
    <w:p>
      <w:pPr>
        <w:pStyle w:val="ListBullet"/>
      </w:pPr>
      <w:r>
        <w:t>Crear las entidades BonoComercial y BonoDesbloqueo (ver Cláusula VII).</w:t>
      </w:r>
    </w:p>
    <w:p>
      <w:pPr>
        <w:pStyle w:val="ListBullet"/>
      </w:pPr>
      <w:r>
        <w:t>Renombrar/ajustar conceptualmente: el actual Wallet de presupuesto publicitario NO es el Saldo de Prosperidad — son cosas distintas y deben convivir (numeral 3.12 y Parágrafo Segundo de la Cláusula III, pág. 45: separación entre elementos económicos y promocionales).</w:t>
      </w:r>
    </w:p>
    <w:p>
      <w:r>
        <w:br w:type="page"/>
      </w:r>
    </w:p>
    <w:p>
      <w:pPr>
        <w:pStyle w:val="Heading2"/>
      </w:pPr>
      <w:r>
        <w:t>Cláusula Tercera — Objeto, naturaleza, roles y principios generales (pág. 30)</w:t>
      </w:r>
    </w:p>
    <w:p>
      <w:pPr>
        <w:pStyle w:val="Heading3"/>
      </w:pPr>
      <w:r>
        <w:t>Lo que promete el contrato</w:t>
      </w:r>
    </w:p>
    <w:p>
      <w:pPr>
        <w:ind w:left="432"/>
      </w:pPr>
      <w:r>
        <w:rPr>
          <w:i/>
          <w:color w:val="555555"/>
          <w:sz w:val="19"/>
        </w:rPr>
        <w:t>El empresario podrá publicar y comercializar productos, servicios, paquetes, combos, mercados, experiencias, pasadías, reservas y bonos comerciales; usar herramientas promocionales; solicitar campañas; acceder a juegos; consultar métricas; participar en patrocinio y fortalecimiento; usar mecanismos de recomendación empresarial (numeral 3.1, pág. 30).</w:t>
      </w:r>
    </w:p>
    <w:p>
      <w:pPr>
        <w:ind w:left="432"/>
      </w:pPr>
      <w:r>
        <w:rPr>
          <w:i/>
          <w:color w:val="555555"/>
          <w:sz w:val="19"/>
        </w:rPr>
        <w:t>Compras realizadas por VERYGANA: VERYGANA compra directamente al empresario productos/servicios/paquetes/bonos para reconocimientos; el empresario factura a VERYGANA; se aplica el régimen económico de la Cláusula Quinta y la comisión 10/15 % (numeral 3.14, pág. 45).</w:t>
      </w:r>
    </w:p>
    <w:p>
      <w:pPr>
        <w:ind w:left="432"/>
      </w:pPr>
      <w:r>
        <w:rPr>
          <w:i/>
          <w:color w:val="555555"/>
          <w:sz w:val="19"/>
        </w:rPr>
        <w:t>Parágrafo Segundo — separación entre elementos económicos y promocionales: Inversión Computable, Umbral y Saldo de Prosperidad, Llaves, bonos comerciales, bonos de desbloqueo, patrocinios, recursos del Programa de Fortalecimiento y pagos en dinero son elementos diferentes; cada uno conserva finalidad, fuente, reglas, vigencia y trazabilidad independientes; ninguno se contabiliza dos veces (pág. 45).</w:t>
      </w:r>
    </w:p>
    <w:p>
      <w:pPr>
        <w:pStyle w:val="Heading3"/>
      </w:pPr>
      <w:r>
        <w:t>Lo que hay en el código</w:t>
      </w:r>
    </w:p>
    <w:p>
      <w:pPr>
        <w:pStyle w:val="ListBullet"/>
      </w:pPr>
      <w:r>
        <w:t>marketplace: Product, ProductStock, Purchase, PurchaseItem, ProductReview, categorías. Copayment (llaves + efectivo).</w:t>
      </w:r>
    </w:p>
    <w:p>
      <w:pPr>
        <w:pStyle w:val="ListBullet"/>
      </w:pPr>
      <w:r>
        <w:t>El rol “plataforma tecnológica, no vendedor” está implícito; no hay registro explícito del rol efectivo de VERYGANA por operación (COMPRADOR cuando aplica).</w:t>
      </w:r>
    </w:p>
    <w:p>
      <w:pPr>
        <w:pStyle w:val="Heading3"/>
      </w:pPr>
      <w:r>
        <w:t>Nuevo por implementar</w:t>
      </w:r>
    </w:p>
    <w:p>
      <w:pPr>
        <w:pStyle w:val="ListBullet"/>
      </w:pPr>
      <w:r>
        <w:t>Tipos de oferta faltantes en Product/marketplace: paquete / combo / mercado / experiencia / pasadía / reserva / bono comercial (hoy Product es genérico, sin composición determinada ni tipo).</w:t>
      </w:r>
    </w:p>
    <w:p>
      <w:pPr>
        <w:pStyle w:val="ListBullet"/>
      </w:pPr>
      <w:r>
        <w:t>Flujo “Compra de VERYGANA para Reconocimiento Gratuito” (numeral 3.14, 2.37): orden de compra institucional, factura del empresario a VERYGANA, pago con recursos del Programa de Fortalecimiento, entrega/redención al beneficiario con trazabilidad separada, sin segunda comisión (GUÍA DE PROGRAMACIÓN, numeral 5.9: “compra realizada por VERYGANA para reconocimiento… una sola Venta Computable”).</w:t>
      </w:r>
    </w:p>
    <w:p>
      <w:pPr>
        <w:pStyle w:val="ListBullet"/>
      </w:pPr>
      <w:r>
        <w:t>Campo/registro del rol efectivo de VERYGANA por operación (PROVEEDOR_TECNOLÓGICO / COMPRADOR), según GUÍA DE PROGRAMACIÓN numeral 2.1.</w:t>
      </w:r>
    </w:p>
    <w:p>
      <w:pPr>
        <w:pStyle w:val="Heading3"/>
      </w:pPr>
      <w:r>
        <w:t>Cambios a realizar</w:t>
      </w:r>
    </w:p>
    <w:p>
      <w:pPr>
        <w:pStyle w:val="ListBullet"/>
      </w:pPr>
      <w:r>
        <w:t>Asegurar que ninguna fuente de dinero se contabilice dos veces: cuando el pago sale del Programa de Fortalecimiento, registrar una sola vez el componente económico con atributos de fuente presupuestal, pagador y beneficiario (Parágrafo Segundo; numeral 6.22.1).</w:t>
      </w:r>
    </w:p>
    <w:p>
      <w:r>
        <w:br w:type="page"/>
      </w:r>
    </w:p>
    <w:p>
      <w:pPr>
        <w:pStyle w:val="Heading2"/>
      </w:pPr>
      <w:r>
        <w:t>Cláusula Cuarta — Caracterización, vinculación, activación, permanencia y estados contractuales (pág. 50)</w:t>
      </w:r>
    </w:p>
    <w:p>
      <w:pPr>
        <w:pStyle w:val="Heading3"/>
      </w:pPr>
      <w:r>
        <w:t>Lo que promete el contrato</w:t>
      </w:r>
    </w:p>
    <w:p>
      <w:pPr>
        <w:ind w:left="432"/>
      </w:pPr>
      <w:r>
        <w:rPr>
          <w:i/>
          <w:color w:val="555555"/>
          <w:sz w:val="19"/>
        </w:rPr>
        <w:t>Evaluación automatizada de compatibilidad con resultados tipificados: COMPATIBLE PRELIMINARMENTE / COMPATIBLE CON CONDICIONES PENDIENTES / REQUIERE INFORMACIÓN ADICIONAL / REQUIERE REVISIÓN HUMANA / RECOMENDACIÓN DE OTRA MODALIDAD / NO COMPATIBLE, con derecho a explicación y revisión humana (numerales 4.9–4.11, pág. 57).</w:t>
      </w:r>
    </w:p>
    <w:p>
      <w:pPr>
        <w:ind w:left="432"/>
      </w:pPr>
      <w:r>
        <w:rPr>
          <w:i/>
          <w:color w:val="555555"/>
          <w:sz w:val="19"/>
        </w:rPr>
        <w:t>Estados operativos: PENDIENTE DE CARACTERIZACIÓN, EN EVALUACIÓN, APROBADO PENDIENTE DE CONTRATACIÓN, CONTRATO PERFECCIONADO PENDIENTE DE ACTIVACIÓN, ACTIVO, ACTIVO CON RESTRICCIONES, ESTADO DE CONTINUIDAD, SUSPENDIDO PREVENTIVAMENTE, SUSPENDIDO CONTRACTUALMENTE, EN PROCESO DE REACTIVACIÓN, TERMINADO, ARCHIVADO (numeral 4.17, pág. 63).</w:t>
      </w:r>
    </w:p>
    <w:p>
      <w:pPr>
        <w:ind w:left="432"/>
      </w:pPr>
      <w:r>
        <w:rPr>
          <w:i/>
          <w:color w:val="555555"/>
          <w:sz w:val="19"/>
        </w:rPr>
        <w:t>Estado de Continuidad: etapa temporal de operación limitada y regularización cuando no se realiza la inversión/pago periódico; no reinicia Umbral ni Saldo de Prosperidad; restringe nuevas campañas, juegos y publicaciones (numeral 4.18, pág. 64).</w:t>
      </w:r>
    </w:p>
    <w:p>
      <w:pPr>
        <w:ind w:left="432"/>
      </w:pPr>
      <w:r>
        <w:rPr>
          <w:i/>
          <w:color w:val="555555"/>
          <w:sz w:val="19"/>
        </w:rPr>
        <w:t>Restricciones y Suspensión Preventiva: medida proporcional que puede limitar sólo una operación/oferta/campaña/establecimiento; causales concurrentes con estado propio e independiente; reactivación total/parcial/condicionada/progresiva (numerales 4.19–4.22, pág. 66).</w:t>
      </w:r>
    </w:p>
    <w:p>
      <w:pPr>
        <w:pStyle w:val="Heading3"/>
      </w:pPr>
      <w:r>
        <w:t>Lo que hay en el código</w:t>
      </w:r>
    </w:p>
    <w:p>
      <w:pPr>
        <w:pStyle w:val="ListBullet"/>
      </w:pPr>
      <w:r>
        <w:t>CommercialDiagnosticClassifier + CommercialDiagnosticAnswers + rutas A/B/C/D (Understanding, GrowthTool, etc.). Clasifica al comercial y decide si va a asesor (Ruta D) o continúa. Es una evaluación de compatibilidad, pero sin los 6 resultados tipificados del contrato ni el mecanismo formal de explicación/revisión humana.</w:t>
      </w:r>
    </w:p>
    <w:p>
      <w:pPr>
        <w:pStyle w:val="ListBullet"/>
      </w:pPr>
      <w:r>
        <w:t>Estados: OnboardingStep (12 valores) + ContractStatus + WalletStatus (INACTIVE/ACTIVE/EXHAUSTED). UserState para baneo.</w:t>
      </w:r>
    </w:p>
    <w:p>
      <w:pPr>
        <w:pStyle w:val="ListBullet"/>
      </w:pPr>
      <w:r>
        <w:t>compliance: ComplianceKyc, ComplianceScreening, ComplianceBackgroundCheck, CompliancePlanChange — validaciones de cumplimiento previas a activación.</w:t>
      </w:r>
    </w:p>
    <w:p>
      <w:pPr>
        <w:pStyle w:val="Heading3"/>
      </w:pPr>
      <w:r>
        <w:t>Nuevo por implementar</w:t>
      </w:r>
    </w:p>
    <w:p>
      <w:pPr>
        <w:pStyle w:val="ListBullet"/>
      </w:pPr>
      <w:r>
        <w:t>Máquina de estados empresariales completa del numeral 4.17 (12 estados) como atributo de CommercialDetails, distinta de OnboardingStep y de WalletStatus. Cada estado con: fecha de inicio, motivo, funcionalidades disponibles/restringidas, obligaciones pendientes, requisitos para cambiar, responsable, evidencias (GUÍA DE PROGRAMACIÓN, numeral 4.17: matriz tecnológica de estados).</w:t>
      </w:r>
    </w:p>
    <w:p>
      <w:pPr>
        <w:pStyle w:val="ListBullet"/>
      </w:pPr>
      <w:r>
        <w:t>Estado de Continuidad con niveles y su régimen (numeral 4.18 y Cláusula Duodécima 12.11): impedir nuevas campañas/juegos/publicaciones, suspender generación de beneficios de una inversión vigente, mantener sólo lo necesario para cumplir obligaciones; NO tocar Umbral/Saldo de Prosperidad.</w:t>
      </w:r>
    </w:p>
    <w:p>
      <w:pPr>
        <w:pStyle w:val="ListBullet"/>
      </w:pPr>
      <w:r>
        <w:t>Suspensión Preventiva y “Activo con restricciones”: entidad de medida preventiva con causal, alcance (operación/oferta/campaña/establecimiento/cuenta), fecha, evidencia, revisión programada, resultado; soporte de causales concurrentes independientes (numerales 4.19–4.21).</w:t>
      </w:r>
    </w:p>
    <w:p>
      <w:pPr>
        <w:pStyle w:val="ListBullet"/>
      </w:pPr>
      <w:r>
        <w:t>Resultados tipificados de la evaluación de compatibilidad + endpoint de “solicitar aclaración / revisión humana / nueva evaluación” (numeral 4.11).</w:t>
      </w:r>
    </w:p>
    <w:p>
      <w:pPr>
        <w:pStyle w:val="ListBullet"/>
      </w:pPr>
      <w:r>
        <w:t>“Información permanente para EL EMPRESARIO” (numeral 4.24, pág. 73): panel que muestre modalidad, Vocación, plan, estado operativo, período, Inversiones Computables, distribución funcional, Umbral generado, Saldo de Prosperidad, Ventas Computables, Bases Comisionables, comisiones, retenciones, pagos y dispersiones, juegos/beneficios habilitados, publicaciones disponibles/usadas, bonos, promociones, entregas/redenciones pendientes, reclamaciones, restricciones, documentos por vencer y alertas tributarias. El CommercialDashboard actual cubre sólo una fracción.</w:t>
      </w:r>
    </w:p>
    <w:p>
      <w:r>
        <w:br w:type="page"/>
      </w:r>
    </w:p>
    <w:p>
      <w:pPr>
        <w:pStyle w:val="Heading2"/>
      </w:pPr>
      <w:r>
        <w:t>Cláusula Quinta — Condiciones económicas, régimen de Prosperidad, comisiones, IVA y tributación (pág. 76)</w:t>
      </w:r>
    </w:p>
    <w:p>
      <w:r>
        <w:rPr>
          <w:b/>
          <w:i w:val="0"/>
        </w:rPr>
        <w:t>Es el corazón del contrato y la mayor brecha del sistema.</w:t>
      </w:r>
    </w:p>
    <w:p>
      <w:pPr>
        <w:pStyle w:val="Heading3"/>
      </w:pPr>
      <w:r>
        <w:t>Lo que promete el contrato</w:t>
      </w:r>
    </w:p>
    <w:p>
      <w:pPr>
        <w:ind w:left="432"/>
      </w:pPr>
      <w:r>
        <w:rPr>
          <w:i/>
          <w:color w:val="555555"/>
          <w:sz w:val="19"/>
        </w:rPr>
        <w:t>Rango de Inversión Computable $1.000.000–$9.999.999 por período; período ordinario semanal en zona horaria oficial de Colombia (numeral 5.2, pág. 77).</w:t>
      </w:r>
    </w:p>
    <w:p>
      <w:pPr>
        <w:ind w:left="432"/>
      </w:pPr>
      <w:r>
        <w:rPr>
          <w:i/>
          <w:color w:val="555555"/>
          <w:sz w:val="19"/>
        </w:rPr>
        <w:t>El IVA del servicio contratado se paga aparte y NO integra la Inversión Computable, no se multiplica para el Umbral, no incrementa el Saldo de Prosperidad (numeral 5.3, pág. 77). Las retenciones legalmente practicadas a VERYGANA se entienden como parte del pago del valor neto y no disminuyen la Inversión Computable (numeral 5.1 y Parágrafo Cuarto).</w:t>
      </w:r>
    </w:p>
    <w:p>
      <w:pPr>
        <w:ind w:left="432"/>
      </w:pPr>
      <w:r>
        <w:rPr>
          <w:i/>
          <w:color w:val="555555"/>
          <w:sz w:val="19"/>
        </w:rPr>
        <w:t>2 juegos promocionales por cada $1.000.000 completo de Inversión Computable; las fracciones no generan juego (numeral 5.4, pág. 78). Fórmula: JUEGOS_HABILITABLES = ENTERO(INVERSIÓN_COMPUTABLE / 1.000.000) × 2 (definición 2.30).</w:t>
      </w:r>
    </w:p>
    <w:p>
      <w:pPr>
        <w:ind w:left="432"/>
      </w:pPr>
      <w:r>
        <w:rPr>
          <w:i/>
          <w:color w:val="555555"/>
          <w:sz w:val="19"/>
        </w:rPr>
        <w:t>Distribución funcional de la Inversión Computable informada antes del pago, sobre el valor neto, sumando 100 %, versionada, modificable sólo prospectivamente: juegos/herramientas promocionales, campañas/contenidos/métricas, Programa de Conectividad, licenciamiento/infraestructura/soporte, Programa de Fortalecimiento Empresarial (numeral 5.5.1, pág. 79).</w:t>
      </w:r>
    </w:p>
    <w:p>
      <w:pPr>
        <w:ind w:left="432"/>
      </w:pPr>
      <w:r>
        <w:rPr>
          <w:i/>
          <w:color w:val="555555"/>
          <w:sz w:val="19"/>
        </w:rPr>
        <w:t>Umbral de Prosperidad = Inversión Computable neta × 4; acumulativo; cada Umbral con identificación y trazabilidad individual (numeral 5.7, pág. 81). $1.000.000 → $4.000.000; $9.000.000 → $36.000.000.</w:t>
      </w:r>
    </w:p>
    <w:p>
      <w:pPr>
        <w:ind w:left="432"/>
      </w:pPr>
      <w:r>
        <w:rPr>
          <w:i/>
          <w:color w:val="555555"/>
          <w:sz w:val="19"/>
        </w:rPr>
        <w:t>Saldo de Prosperidad: mientras sea positivo, cada Venta Computable se imputa primero contra él y esa porción no genera Base Comisionable (numeral 5.8, pág. 81).</w:t>
      </w:r>
    </w:p>
    <w:p>
      <w:pPr>
        <w:ind w:left="432"/>
      </w:pPr>
      <w:r>
        <w:rPr>
          <w:i/>
          <w:color w:val="555555"/>
          <w:sz w:val="19"/>
        </w:rPr>
        <w:t>Venta Computable = precio final total (con IVA de la venta incluido); las llaves NO reducen la Venta Computable si su respaldo económico se reconoce al empresario; incluye aportes de terceros/Premium/Programa que completen el precio (numeral 5.9, pág. 82).</w:t>
      </w:r>
    </w:p>
    <w:p>
      <w:pPr>
        <w:ind w:left="432"/>
      </w:pPr>
      <w:r>
        <w:rPr>
          <w:i/>
          <w:color w:val="555555"/>
          <w:sz w:val="19"/>
        </w:rPr>
        <w:t>Base Comisionable = Venta Computable − porción absorbida por el Saldo de Prosperidad (numeral 5.10, pág. 83). Comisión: 10 % PRODUCTOS (numeral 5.11, pág. 85) / 15 % SERVICIOS (numeral 5.12, pág. 85), IVA incluido; sin IVA adicional sobre la comisión; VERYGANA discrimina internamente valor neto e IVA (Parágrafo Cuarto).</w:t>
      </w:r>
    </w:p>
    <w:p>
      <w:pPr>
        <w:ind w:left="432"/>
      </w:pPr>
      <w:r>
        <w:rPr>
          <w:i/>
          <w:color w:val="555555"/>
          <w:sz w:val="19"/>
        </w:rPr>
        <w:t>Sin negociación particular de comisiones ordinarias (numeral 5.13). Aliados Estratégicos de Régimen Especial: telecom/conectividad/streaming van por contrato aparte, no por las tarifas 10/15 % (numeral 5.14, pág. 86).</w:t>
      </w:r>
    </w:p>
    <w:p>
      <w:pPr>
        <w:ind w:left="432"/>
      </w:pPr>
      <w:r>
        <w:rPr>
          <w:i/>
          <w:color w:val="555555"/>
          <w:sz w:val="19"/>
        </w:rPr>
        <w:t>Caracterización tributaria previa con pregunta expresa de formalización; alertas informativas al 70 %, 85 %, 95 % y 100 % del parámetro aplicable expresado en UVT (numerales 5.18–5.22, pág. 92–93). Anulaciones/devoluciones/reversos ajustan proporcionalmente Inversión Computable, Umbral, Saldo, Venta Computable, Base Comisionable y comisión mediante movimientos trazables (numeral 5.27).</w:t>
      </w:r>
    </w:p>
    <w:p>
      <w:pPr>
        <w:pStyle w:val="Heading3"/>
      </w:pPr>
      <w:r>
        <w:t>Lo que exige la guía</w:t>
      </w:r>
    </w:p>
    <w:p>
      <w:pPr>
        <w:ind w:left="432"/>
      </w:pPr>
      <w:r>
        <w:rPr>
          <w:i/>
          <w:color w:val="555555"/>
          <w:sz w:val="19"/>
        </w:rPr>
        <w:t>GUÍA DE PROGRAMACIÓN, numeral 5.7: “Macroproceso: Libro Mayor de Prosperidad”. Datos: id_umbral, id_inversion_computable, valor, multiplicador, Umbral generado, fecha/hora, versión, estado. Controles: multiplicador ≠ 4, IVA incluido indebidamente, doble generación, modificación silenciosa.</w:t>
      </w:r>
    </w:p>
    <w:p>
      <w:pPr>
        <w:ind w:left="432"/>
      </w:pPr>
      <w:r>
        <w:rPr>
          <w:i/>
          <w:color w:val="555555"/>
          <w:sz w:val="19"/>
        </w:rPr>
        <w:t>GUÍA DE PROGRAMACIÓN, numeral 5.8: fórmulas PORCIÓN_ABSORBIDA = MIN(SALDO_ANTES, VENTA_COMPUTABLE); SALDO_DESPUÉS = SALDO_ANTES − PORCIÓN_ABSORBIDA; conservar el origen individual de cada Umbral y el Saldo agregado (no inventar FIFO/LIFO).</w:t>
      </w:r>
    </w:p>
    <w:p>
      <w:pPr>
        <w:ind w:left="432"/>
      </w:pPr>
      <w:r>
        <w:rPr>
          <w:i/>
          <w:color w:val="555555"/>
          <w:sz w:val="19"/>
        </w:rPr>
        <w:t>GUÍA DE PROGRAMACIÓN, numerales 5.10 y 5.16: “Motor único de Base Comisionable” y estados de comisión PROVISIONAL / CAUSADA / FACTURADA / AJUSTADA / REVERSADA.</w:t>
      </w:r>
    </w:p>
    <w:p>
      <w:pPr>
        <w:pStyle w:val="Heading3"/>
      </w:pPr>
      <w:r>
        <w:t>Lo que hay en el código</w:t>
      </w:r>
    </w:p>
    <w:p>
      <w:pPr>
        <w:pStyle w:val="ListBullet"/>
      </w:pPr>
      <w:r>
        <w:t>Plan.saleCommissionPct (BASIC 20, STANDARD 10, PREMIUM 0), Plan.maxKeysPct (20/35/50). Investment.depositAmountCents (sin desglosar IVA). Wallet de presupuesto publicitario 60/10/30. PurchaseServiceImpl.calculateCommissionPct = plan.getSaleCommissionPct(), aplicado sobre unitPriceCents de cada ítem, de inmediato (PurchaseServiceImpl.java:278–300).</w:t>
      </w:r>
    </w:p>
    <w:p>
      <w:pPr>
        <w:pStyle w:val="ListBullet"/>
      </w:pPr>
      <w:r>
        <w:t>TreasuryServiceImpl.retainCommission → MovementConcept.COMMISSION_RETENTION hacia OPERATIONS. Reverso: COMMISSION_REVERSAL en PurchaseItemRefundServiceImpl.</w:t>
      </w:r>
    </w:p>
    <w:p>
      <w:pPr>
        <w:pStyle w:val="ListBullet"/>
      </w:pPr>
      <w:r>
        <w:t>No hay: Inversión Computable neta, Umbral, Saldo, Venta Computable, Base Comisionable, 15 % servicios, distribución funcional versionada, bolsa de Conectividad, caracterización tributaria, alertas UVT, factura electrónica.</w:t>
      </w:r>
    </w:p>
    <w:p>
      <w:pPr>
        <w:pStyle w:val="Heading3"/>
      </w:pPr>
      <w:r>
        <w:t>Nuevo por implementar</w:t>
      </w:r>
    </w:p>
    <w:p>
      <w:pPr>
        <w:pStyle w:val="ListBullet"/>
      </w:pPr>
      <w:r>
        <w:t>Motor de Prosperidad (Libro Mayor): al confirmar cada Inversión Computable, separar IVA/retenciones, calcular Umbral = neto × 4, incrementar Umbral acumulado y Saldo de Prosperidad, con idempotencia y versión de matriz (numerales 5.1, 5.3, 5.7; GUÍA 5.7).</w:t>
      </w:r>
    </w:p>
    <w:p>
      <w:pPr>
        <w:pStyle w:val="ListBullet"/>
      </w:pPr>
      <w:r>
        <w:t>Motor de Venta Computable + Base Comisionable + comisión: por cada compra validada, VentaComputable = precio final total; porción absorbida = MIN(saldo, ventaComputable); BaseComisionable = ventaComputable − absorbida; comisión = BaseComisionable × (10 % | 15 % según vocación); discriminar valor neto de VERYGANA e IVA incluido = comisión / (1 + tarifaIVA) (numeral 10.12, pág. 223).</w:t>
      </w:r>
    </w:p>
    <w:p>
      <w:pPr>
        <w:pStyle w:val="ListBullet"/>
      </w:pPr>
      <w:r>
        <w:t>Causación provisional vs. definitiva de la comisión ligada a entrega/prestación/redención/conciliación (numeral 5.16).</w:t>
      </w:r>
    </w:p>
    <w:p>
      <w:pPr>
        <w:pStyle w:val="ListBullet"/>
      </w:pPr>
      <w:r>
        <w:t>Distribución funcional: entidad MatrizEconomica versionada (porcentajes que suman 100 %), aplicada al neto, mostrada en el resumen precontractual; bolsas: promocionales generales, Conectividad, Fortalecimiento, remuneración VERYGANA (numeral 5.5.1; 6.22.2). Cambiar la actual constante 60/10/30.</w:t>
      </w:r>
    </w:p>
    <w:p>
      <w:pPr>
        <w:pStyle w:val="ListBullet"/>
      </w:pPr>
      <w:r>
        <w:t>Cálculo de juegos habilitables = ENTERO(InversiónComputable/1.000.000) × 2, en lugar del límite plano MAX_BRANDED_GAMES (numeral 5.4 / 2.30).</w:t>
      </w:r>
    </w:p>
    <w:p>
      <w:pPr>
        <w:pStyle w:val="ListBullet"/>
      </w:pPr>
      <w:r>
        <w:t>Período Ordinario de Inversión semanal (America/Bogota) para reconocer inversión y determinar beneficios (numeral 2.29 / 5.2).</w:t>
      </w:r>
    </w:p>
    <w:p>
      <w:pPr>
        <w:pStyle w:val="ListBullet"/>
      </w:pPr>
      <w:r>
        <w:t>Caracterización tributaria + alertas de crecimiento: parámetro en UVT (2026: 3.500 UVT ≈ $183.309.000, UVT $52.374), disparos al 70/85/95/100 %, con textos preventivos y sin sustituir asesoría (numerales 5.19, 5.22).</w:t>
      </w:r>
    </w:p>
    <w:p>
      <w:pPr>
        <w:pStyle w:val="ListBullet"/>
      </w:pPr>
      <w:r>
        <w:t>Factura electrónica de VERYGANA por su servicio (comisión), discriminando valor neto, IVA generado, % aplicado, Base Comisionable, operación y período (numeral 5.16 / 11.19). Y flujo inverso: el empresario factura a VERYGANA en compras institucionales.</w:t>
      </w:r>
    </w:p>
    <w:p>
      <w:pPr>
        <w:pStyle w:val="ListBullet"/>
      </w:pPr>
      <w:r>
        <w:t>Régimen de Aliados Estratégicos (numeral 5.14): impedir que operaciones de telecom/conectividad se registren como productos/servicios ordinarios para obtener otra tarifa; contrato/anexo económico separado.</w:t>
      </w:r>
    </w:p>
    <w:p>
      <w:pPr>
        <w:pStyle w:val="Heading3"/>
      </w:pPr>
      <w:r>
        <w:t>Cambios a realizar</w:t>
      </w:r>
    </w:p>
    <w:p>
      <w:pPr>
        <w:pStyle w:val="ListBullet"/>
      </w:pPr>
      <w:r>
        <w:t>PurchaseServiceImpl.calculateCommissionPct: dejar de usar plan.getSaleCommissionPct() de forma plana; consultar Vocación + Saldo de Prosperidad disponible y comisionar sólo la Base Comisionable.</w:t>
      </w:r>
    </w:p>
    <w:p>
      <w:pPr>
        <w:pStyle w:val="ListBullet"/>
      </w:pPr>
      <w:r>
        <w:t>Investment: separar depositAmountCents en valorNetoCents (Inversión Computable), ivaCents y otrosTributosCents; marcar el registro como computable sólo cuando esté conciliado.</w:t>
      </w:r>
    </w:p>
    <w:p>
      <w:pPr>
        <w:pStyle w:val="ListBullet"/>
      </w:pPr>
      <w:r>
        <w:t>Distinguir claramente en UI y datos el “presupuesto publicitario” (Wallet actual) del “Saldo de Prosperidad” (nuevo). Son bolsas distintas que conviven.</w:t>
      </w:r>
    </w:p>
    <w:p>
      <w:r>
        <w:br w:type="page"/>
      </w:r>
    </w:p>
    <w:p>
      <w:pPr>
        <w:pStyle w:val="Heading2"/>
      </w:pPr>
      <w:r>
        <w:t>Cláusula Sexta — Herramientas publicitarias, juegos, Acciones Calificadas de Progreso, Puntos de Progreso y campañas (pág. 100)</w:t>
      </w:r>
    </w:p>
    <w:p>
      <w:pPr>
        <w:pStyle w:val="Heading3"/>
      </w:pPr>
      <w:r>
        <w:t>Lo que promete el contrato</w:t>
      </w:r>
    </w:p>
    <w:p>
      <w:pPr>
        <w:ind w:left="432"/>
      </w:pPr>
      <w:r>
        <w:rPr>
          <w:i/>
          <w:color w:val="555555"/>
          <w:sz w:val="19"/>
        </w:rPr>
        <w:t>Herramientas: juegos y experiencias promocionales; banners/imágenes estáticas; videos/audios; encuestas; contenidos audiovisuales, de audio, artísticos/culturales/educativos (numeral 6.1, pág. 100).</w:t>
      </w:r>
    </w:p>
    <w:p>
      <w:pPr>
        <w:ind w:left="432"/>
      </w:pPr>
      <w:r>
        <w:rPr>
          <w:i/>
          <w:color w:val="555555"/>
          <w:sz w:val="19"/>
        </w:rPr>
        <w:t>Juegos ordinarios: el empresario elige plantillas de la “Sala de Juegos”; no puede modificar oportunidades iniciales, Acciones Calificadas, requisitos de Oportunidad de Tercera Interacción, prohibición de cuarta ejecución, límites, elegibilidad ni asignación (numeral 6.2, pág. 101). No son ruletas/rifas/sorteos.</w:t>
      </w:r>
    </w:p>
    <w:p>
      <w:pPr>
        <w:ind w:left="432"/>
      </w:pPr>
      <w:r>
        <w:rPr>
          <w:i/>
          <w:color w:val="555555"/>
          <w:sz w:val="19"/>
        </w:rPr>
        <w:t>Cada usuario ejecuta un juego hasta 2 veces por campaña; la 3.ª sólo con una Oportunidad de Tercera Interacción; nunca una 4.ª (numeral 6.3, pág. 102).</w:t>
      </w:r>
    </w:p>
    <w:p>
      <w:pPr>
        <w:ind w:left="432"/>
      </w:pPr>
      <w:r>
        <w:rPr>
          <w:i/>
          <w:color w:val="555555"/>
          <w:sz w:val="19"/>
        </w:rPr>
        <w:t>7 Acciones Calificadas de Progreso que generan Puntos de Progreso + 1 Oportunidad de Tercera Interacción: (a) vinculación efectiva de Empresa Premium; (b) de Empresa Tipo B; (c) de Empresa Tipo A; (d) de un usuario activo; (e) Compra Válida; (f) bloque diario completo de 1.500 Llaves; (g) Encuesta Calificada de Dedicación Sustancial (numeral 6.3.1, pág. 103–105).</w:t>
      </w:r>
    </w:p>
    <w:p>
      <w:pPr>
        <w:ind w:left="432"/>
      </w:pPr>
      <w:r>
        <w:rPr>
          <w:i/>
          <w:color w:val="555555"/>
          <w:sz w:val="19"/>
        </w:rPr>
        <w:t>Escalafón con ascensos; tras el máximo, los puntos siguen como Puntos de Excelencia; puntaje histórico (no se reinicia) vs. puntaje competitivo (se reinicia por ciclo) (numerales 6.3.3–6.3.5, pág. 107).</w:t>
      </w:r>
    </w:p>
    <w:p>
      <w:pPr>
        <w:ind w:left="432"/>
      </w:pPr>
      <w:r>
        <w:rPr>
          <w:i/>
          <w:color w:val="555555"/>
          <w:sz w:val="19"/>
        </w:rPr>
        <w:t>Banners/imágenes: 16 Llaves por cada 60 s de exposición efectiva (Llaves = segundos × 16 / 60), redondeo al entero más cercano (0,5 hacia arriba); el empresario elige 2, 3 o 4 visualizaciones reconocidas por usuario; consumo máximo proyectado = Llaves por visualización × frecuencia × usuarios (numerales 6.7–6.10, pág. 112–114). Videos/audios: misma tasa; en el MarketPlace hasta 50 imágenes por empresario (numeral 6.8).</w:t>
      </w:r>
    </w:p>
    <w:p>
      <w:pPr>
        <w:ind w:left="432"/>
      </w:pPr>
      <w:r>
        <w:rPr>
          <w:i/>
          <w:color w:val="555555"/>
          <w:sz w:val="19"/>
        </w:rPr>
        <w:t>Ruleta Promocional Excepcional: no ordinaria; requiere solicitud, autorización administrativa, reglamento, plan de premios, garantías, licencia tecnológica temporal y separación de pagos regulatorios (numeral 6.5, pág. 110).</w:t>
      </w:r>
    </w:p>
    <w:p>
      <w:pPr>
        <w:ind w:left="432"/>
      </w:pPr>
      <w:r>
        <w:rPr>
          <w:i/>
          <w:color w:val="555555"/>
          <w:sz w:val="19"/>
        </w:rPr>
        <w:t>Matriz económica y bolsas: recaudo/conciliación, bolsa promocional general, bolsa de Conectividad, bolsa de Programa de Fortalecimiento (con subcuentas: activación inmediata, fortalecimiento/recuperación, reconocimientos por mérito, actividades excepcionales, administración/sostenibilidad), registro de remuneración de VERYGANA (numeral 6.22, pág. 122–125). Vencimiento de Llaves libera respaldo y se reasigna al Programa de Fortalecimiento (numeral 6.22.7).</w:t>
      </w:r>
    </w:p>
    <w:p>
      <w:pPr>
        <w:ind w:left="432"/>
      </w:pPr>
      <w:r>
        <w:rPr>
          <w:i/>
          <w:color w:val="555555"/>
          <w:sz w:val="19"/>
        </w:rPr>
        <w:t>Promociones de activación inmediata: cobertura combinada dinero + Llaves (≤ 50 % ordinario, ≤ 70 % especial) + descuento del empresario + patrocinio Premium + apoyo del Programa; la suma no puede exceder el precio final (numeral 6.22.8, pág. 125).</w:t>
      </w:r>
    </w:p>
    <w:p>
      <w:pPr>
        <w:pStyle w:val="Heading3"/>
      </w:pPr>
      <w:r>
        <w:t>Lo que hay en el código</w:t>
      </w:r>
    </w:p>
    <w:p>
      <w:pPr>
        <w:pStyle w:val="ListBullet"/>
      </w:pPr>
      <w:r>
        <w:t>games: Game, GameSession, GameConfigDefinition, GameAssetDefinition, GameMetricDefinition, CampaignServiceImpl, GameServiceImpl, BrandingRequestServiceImpl (juego brandeado), CampaignScorer. Estados CampaignStatus (DRAFT/ACTIVE/PAUSED/COMPLETED/CANCELLED), CampaignGoal.</w:t>
      </w:r>
    </w:p>
    <w:p>
      <w:pPr>
        <w:pStyle w:val="ListBullet"/>
      </w:pPr>
      <w:r>
        <w:t>ads: Ad (reward_per_like, maxLikes, maxLikesPerUserPerDay), AdAsset, AdLike, AdWatchSession (startedAt/expiresAt/resumeCount). Modelo “like/visualización con recompensa por like”.</w:t>
      </w:r>
    </w:p>
    <w:p>
      <w:pPr>
        <w:pStyle w:val="ListBullet"/>
      </w:pPr>
      <w:r>
        <w:t>surveys: Survey, SurveyQuestion, QuestionOption, SurveySession, SurveyAnswer, SurveyReward (amountCents plano, estados PENDING/PROCESSED/FAILED).</w:t>
      </w:r>
    </w:p>
    <w:p>
      <w:pPr>
        <w:pStyle w:val="ListBullet"/>
      </w:pPr>
      <w:r>
        <w:t>scoring: EntityScorer, PlanScoringFactors, CampaignScoringConfig (motor de recomendación/segmentación, no de puntos de usuario).</w:t>
      </w:r>
    </w:p>
    <w:p>
      <w:pPr>
        <w:pStyle w:val="ListBullet"/>
      </w:pPr>
      <w:r>
        <w:t>levels: UserLevel (BRONCE…DIAMANTE con xpMin/xpMax/multiplier/referralTickets), UserLevelProfile, XpKeyTransactionLog, ReactivationMission (xpGoal 200). ActivityType (SURVEY_COMPLETED 30, VIDEO_WATCHED 5, GAME_PLAYED 20, REFERRAL_ACTIVE 80, PURCHASE 10). GameBilling.java es un stub vacío.</w:t>
      </w:r>
    </w:p>
    <w:p>
      <w:pPr>
        <w:pStyle w:val="ListBullet"/>
      </w:pPr>
      <w:r>
        <w:t>finance: KeyWallet (purchaseKeys/connectivityKeys en centavos), KeyTransaction, KeyExpiryService + KeyExpiryScheduler (vencen → valor a FORTIFICATION). Treasury 60/10/30.</w:t>
      </w:r>
    </w:p>
    <w:p>
      <w:pPr>
        <w:pStyle w:val="Heading3"/>
      </w:pPr>
      <w:r>
        <w:t>Nuevo por implementar</w:t>
      </w:r>
    </w:p>
    <w:p>
      <w:pPr>
        <w:pStyle w:val="ListBullet"/>
      </w:pPr>
      <w:r>
        <w:t>Subsistema completo de Puntos de Progreso: entidades AccionCalificada (7 tipos), PuntoProgreso, PuntoExcelencia, Escalafon/Nivel (parametrizable, distinto de UserLevel), OportunidadTerceraInteraccion con estados DISPONIBLE/RESERVADA/UTILIZADA/VENCIDA/RESTABLECIDA/ANULADA/REVERSADA (GUÍA DE PROGRAMACIÓN, numeral 6.3.1: “Motor único de Acciones Calificadas de Progreso”). Reconocimiento provisional hasta consolidación; reversión sólo de lo vinculado a la acción invalidada.</w:t>
      </w:r>
    </w:p>
    <w:p>
      <w:pPr>
        <w:pStyle w:val="ListBullet"/>
      </w:pPr>
      <w:r>
        <w:t>Control de ejecuciones por usuario+juego+campaña: máximo 2 iniciales, 3.ª sólo con oportunidad válida, 4.ª prohibida, restablecimiento si el juego no inicia por causa técnica (numeral 6.3, GUÍA 6.3).</w:t>
      </w:r>
    </w:p>
    <w:p>
      <w:pPr>
        <w:pStyle w:val="ListBullet"/>
      </w:pPr>
      <w:r>
        <w:t>Acción “bloque diario de 1.500 Llaves elegibles” (numeral 6.3.1.6): contar Llaves válidas del día calendario, sin consumirlas, con límites de bloques por sostenibilidad; 1.499 = 0 bloques.</w:t>
      </w:r>
    </w:p>
    <w:p>
      <w:pPr>
        <w:pStyle w:val="ListBullet"/>
      </w:pPr>
      <w:r>
        <w:t>Encuesta Calificada de Dedicación Sustancial: flag de clasificación previa a la publicación, criterios (número/tipo de preguntas, extensión, profundidad, reglas de salto, preguntas de control), régimen de reconocimiento independiente que puede generar Llaves + Puntos + Oportunidad (numerales 6.3.1.7, 6.11–6.12).</w:t>
      </w:r>
    </w:p>
    <w:p>
      <w:pPr>
        <w:pStyle w:val="ListBullet"/>
      </w:pPr>
      <w:r>
        <w:t>Puntaje histórico vs. competitivo con reinicio sólo del competitivo por ciclo; Puntos de Excelencia tras el escalafón máximo (numerales 6.3.4–6.3.5).</w:t>
      </w:r>
    </w:p>
    <w:p>
      <w:pPr>
        <w:pStyle w:val="ListBullet"/>
      </w:pPr>
      <w:r>
        <w:t>Motor de reconocimiento de banners/videos por tiempo efectivo: Llaves = round(segundos × 16 / 60), selección 2/3/4 visualizaciones, cálculo de consumo máximo proyectado y bloqueo de activación si el respaldo es insuficiente (numerales 6.7–6.10). Sustituye/coexiste con el modelo “reward_per_like”.</w:t>
      </w:r>
    </w:p>
    <w:p>
      <w:pPr>
        <w:pStyle w:val="ListBullet"/>
      </w:pPr>
      <w:r>
        <w:t>Sala de Juegos: catálogo de plantillas seleccionables por el empresario, congelamiento de configuración al confirmar campaña, juegos adicionales sólo con contratación separada (numeral 6.2).</w:t>
      </w:r>
    </w:p>
    <w:p>
      <w:pPr>
        <w:pStyle w:val="ListBullet"/>
      </w:pPr>
      <w:r>
        <w:t>Matriz económica + bolsas (numeral 6.22.2): registro transitorio de recaudo/conciliación, bolsa promocional general, bolsa de Conectividad, bolsa de Fortalecimiento con 5 subcuentas, registro de remuneración de VERYGANA. Ampliar los 3 bolsillos de tesorería actuales.</w:t>
      </w:r>
    </w:p>
    <w:p>
      <w:pPr>
        <w:pStyle w:val="ListBullet"/>
      </w:pPr>
      <w:r>
        <w:t>Vencimiento de Llaves: al vencer, liberar respaldo y reasignar a la subcuenta correcta del Programa de Fortalecimiento con movimiento identificado (categoría, origen, destino, versión) — hoy KeyExpiryService envía a FORTIFICATION sin subcuenta (numeral 6.22.7).</w:t>
      </w:r>
    </w:p>
    <w:p>
      <w:pPr>
        <w:pStyle w:val="ListBullet"/>
      </w:pPr>
      <w:r>
        <w:t>Promociones de activación inmediata: composición de cobertura (dinero + Llaves ≤ 70 % + descuento + patrocinio + apoyo del Programa), validando que la suma = precio final; resumen de aceptación previa del empresario (numeral 6.22.8).</w:t>
      </w:r>
    </w:p>
    <w:p>
      <w:pPr>
        <w:pStyle w:val="ListBullet"/>
      </w:pPr>
      <w:r>
        <w:t>Ruleta Promocional Excepcional: entidad con estados BORRADOR/SOLICITADA/CONFIGURADA/HABILITADA/SUSPENDIDA/CERRADA/RECHAZADA, checklist documental, licencia temporal con tarifa que no cubre premios/derechos, separación de pagos regulatorios (numeral 6.5). El módulo raffles actual no lo cubre.</w:t>
      </w:r>
    </w:p>
    <w:p>
      <w:pPr>
        <w:pStyle w:val="ListBullet"/>
      </w:pPr>
      <w:r>
        <w:t>Métricas de la Cláusula Sexta (numerales 6.19.1–6.19.9): por juego (1.ª/2.ª/3.ª ejecución, oportunidades generadas/usadas/restablecidas/vencidas), por video (reproducciones iniciadas/válidas/completadas, tiempo efectivo, pausas), por banner (impresiones, exposiciones efectivas), por encuesta; con niveles de atribución (directamente atribuible / razonablemente asociado / inferencia / no determinable) y sin doble atribución.</w:t>
      </w:r>
    </w:p>
    <w:p>
      <w:pPr>
        <w:pStyle w:val="Heading3"/>
      </w:pPr>
      <w:r>
        <w:t>Cambios a realizar</w:t>
      </w:r>
    </w:p>
    <w:p>
      <w:pPr>
        <w:pStyle w:val="ListBullet"/>
      </w:pPr>
      <w:r>
        <w:t>El sistema de XP/niveles (UserLevel, ActivityType) NO equivale a los Puntos de Progreso del contrato: hay que decidir si el escalafón contractual reemplaza o se superpone a UserLevel. El contrato exige acciones y puntajes distintos y una Oportunidad de Tercera Interacción que hoy no existe.</w:t>
      </w:r>
    </w:p>
    <w:p>
      <w:pPr>
        <w:pStyle w:val="ListBullet"/>
      </w:pPr>
      <w:r>
        <w:t>Anuncios: migrar “reward_per_like / maxLikes” al modelo de tiempo efectivo con 2/3/4 visualizaciones reconocidas (o soportar ambos y marcar el modelo del contrato como el aplicable a Tipo B).</w:t>
      </w:r>
    </w:p>
    <w:p>
      <w:r>
        <w:br w:type="page"/>
      </w:r>
    </w:p>
    <w:p>
      <w:pPr>
        <w:pStyle w:val="Heading2"/>
      </w:pPr>
      <w:r>
        <w:t>Cláusula Séptima — Publicación, oferta, Compra Válida, entrega y trazabilidad (pág. 133)</w:t>
      </w:r>
    </w:p>
    <w:p>
      <w:pPr>
        <w:pStyle w:val="Heading3"/>
      </w:pPr>
      <w:r>
        <w:t>Lo que promete el contrato</w:t>
      </w:r>
    </w:p>
    <w:p>
      <w:pPr>
        <w:ind w:left="432"/>
      </w:pPr>
      <w:r>
        <w:rPr>
          <w:i/>
          <w:color w:val="555555"/>
          <w:sz w:val="19"/>
        </w:rPr>
        <w:t>Cupos de publicación 3–10 activas, parametrizables por categoría; al menos 1 puede ser bono comercial; los cupos no usados no son acumulables ni transferibles (numeral 7.4.2, pág. 137).</w:t>
      </w:r>
    </w:p>
    <w:p>
      <w:pPr>
        <w:ind w:left="432"/>
      </w:pPr>
      <w:r>
        <w:rPr>
          <w:i/>
          <w:color w:val="555555"/>
          <w:sz w:val="19"/>
        </w:rPr>
        <w:t>Bono Comercial: código único de una sola redención (o redención parcial si se autoriza), valor nominal ≥ $50.000 (parametrizable: $50.000, $100.000, …), acumulable si la oferta lo permite (p. ej. 4 × $50.000 = $200.000), estados trazables: creado / pendiente de aprobación / publicado / reservado / adquirido por usuario / adquirido por VERYGANA / asignado al beneficiario / parcialmente redimido / redimido / vencido / cancelado / bloqueado / reversado (numeral 7.4.2). Puede incorporar componente Premium (p. ej. 10 % del valor nominal).</w:t>
      </w:r>
    </w:p>
    <w:p>
      <w:pPr>
        <w:ind w:left="432"/>
      </w:pPr>
      <w:r>
        <w:rPr>
          <w:i/>
          <w:color w:val="555555"/>
          <w:sz w:val="19"/>
        </w:rPr>
        <w:t>Cobertura ordinaria con Llaves hasta 50 % del valor habilitado; el 50 % es tope, no mínimo; si al usuario le faltan Llaves puede usar las disponibles y pagar el resto, o seguir generando Llaves mientras la oferta siga vigente (numeral 7.9, pág. 153).</w:t>
      </w:r>
    </w:p>
    <w:p>
      <w:pPr>
        <w:ind w:left="432"/>
      </w:pPr>
      <w:r>
        <w:rPr>
          <w:i/>
          <w:color w:val="555555"/>
          <w:sz w:val="19"/>
        </w:rPr>
        <w:t>Bono de Desbloqueo (numeral 7.9.1, pág. 154): habilita una condición de compra; el mensaje debe decir “Desbloqueaste la posibilidad de cubrir hasta el 50 %…”, NUNCA “ganaste”. Promociones especiales hasta 70 % (numeral 7.9.2). Reconocimientos gratuitos financiados por el Programa: usuario paga $0 y 0 Llaves, sin ruletas/sorteos (numeral 7.9.3, pág. 156).</w:t>
      </w:r>
    </w:p>
    <w:p>
      <w:pPr>
        <w:ind w:left="432"/>
      </w:pPr>
      <w:r>
        <w:rPr>
          <w:i/>
          <w:color w:val="555555"/>
          <w:sz w:val="19"/>
        </w:rPr>
        <w:t>Compra Válida (numeral 7.15, pág. 164): real, lícita, usuario identificado, pago/cobertura confirmada, supera controles antifraude, no duplicada/simulada/fraccionada, no anulada. Carrito, cotización, reserva temporal, intento de pago o abandono NO son Compra Válida. Compra Válida provisional (pago confirmado pero pendiente de entrega/prestación/redención/validación) vs. consolidada (numeral 7.15.1).</w:t>
      </w:r>
    </w:p>
    <w:p>
      <w:pPr>
        <w:ind w:left="432"/>
      </w:pPr>
      <w:r>
        <w:rPr>
          <w:i/>
          <w:color w:val="555555"/>
          <w:sz w:val="19"/>
        </w:rPr>
        <w:t>Estados de la operación (numeral 7.14): estado de la orden (iniciada/pendiente/confirmada/cancelada/anulada/cerrada), del pago (pendiente/autorizado/rechazado/pagado/conciliado/parcialmente reversado/reversado/desconocido/contracargo/pendiente de conciliación), del cumplimiento (pendiente de preparación/disponible para retiro/pendiente de prestación/parcialmente cumplido/entregado/prestado/redimido/no entregado/no prestado), de la reclamación (radicada/en verificación/trasladada/respondida/aceptada/rechazada/solucionada/cerrada).</w:t>
      </w:r>
    </w:p>
    <w:p>
      <w:pPr>
        <w:ind w:left="432"/>
      </w:pPr>
      <w:r>
        <w:rPr>
          <w:i/>
          <w:color w:val="555555"/>
          <w:sz w:val="19"/>
        </w:rPr>
        <w:t>Composición económica separada (numeral 7.10.1): precio final, dinero del usuario, cobertura en Llaves, descuento del empresario, patrocinio Premium, apoyo del Programa, valor pagado por VERYGANA, impuestos, gastos adicionales; la suma = precio final; sin doble contabilización. Idempotencia y prevención de duplicidades en todo (numeral 7.25).</w:t>
      </w:r>
    </w:p>
    <w:p>
      <w:pPr>
        <w:ind w:left="432"/>
      </w:pPr>
      <w:r>
        <w:rPr>
          <w:i/>
          <w:color w:val="555555"/>
          <w:sz w:val="19"/>
        </w:rPr>
        <w:t>Reserva temporal de inventario con duración informada, liberación automática si no se completa el pago, impedir que dos usuarios compren la última unidad (numeral 7.11).</w:t>
      </w:r>
    </w:p>
    <w:p>
      <w:pPr>
        <w:ind w:left="432"/>
      </w:pPr>
      <w:r>
        <w:rPr>
          <w:i/>
          <w:color w:val="555555"/>
          <w:sz w:val="19"/>
        </w:rPr>
        <w:t>Validación efectiva de entrega/prestación/redención con código único / QR / confirmación del usuario / validación en establecimiento; el empresario no puede marcar como cumplida una operación no atendida; cumplimiento parcial por componente (numeral 7.18).</w:t>
      </w:r>
    </w:p>
    <w:p>
      <w:pPr>
        <w:pStyle w:val="Heading3"/>
      </w:pPr>
      <w:r>
        <w:t>Lo que hay en el código</w:t>
      </w:r>
    </w:p>
    <w:p>
      <w:pPr>
        <w:pStyle w:val="ListBullet"/>
      </w:pPr>
      <w:r>
        <w:t>marketplace: Product, ProductStock (reserva de stock), Purchase, PurchaseItem (commissionPctApplied, commissionCents, netToCommercialCents), Copayment, PurchaseItemCashRefund. Estados de compra y de copago existen.</w:t>
      </w:r>
    </w:p>
    <w:p>
      <w:pPr>
        <w:pStyle w:val="ListBullet"/>
      </w:pPr>
      <w:r>
        <w:t>PricingConfig / PricingConfigController para parámetros; PlanFeature MAX_PRODUCTS.</w:t>
      </w:r>
    </w:p>
    <w:p>
      <w:pPr>
        <w:pStyle w:val="ListBullet"/>
      </w:pPr>
      <w:r>
        <w:t>PQRS cubre reclamaciones (PqrsStatus, PqrsType, PqrsResolutionAction incluyendo REFUND). PurchaseItemRefundServiceImpl hace el reverso de comisión y de llaves.</w:t>
      </w:r>
    </w:p>
    <w:p>
      <w:pPr>
        <w:pStyle w:val="ListBullet"/>
      </w:pPr>
      <w:r>
        <w:t>Copayment: keysUsed + keysValueCents (= keysUsed × 10) + cashAmountCents. La cobertura máxima con llaves sale de plan.maxKeysPct.</w:t>
      </w:r>
    </w:p>
    <w:p>
      <w:pPr>
        <w:pStyle w:val="Heading3"/>
      </w:pPr>
      <w:r>
        <w:t>Nuevo por implementar</w:t>
      </w:r>
    </w:p>
    <w:p>
      <w:pPr>
        <w:pStyle w:val="ListBullet"/>
      </w:pPr>
      <w:r>
        <w:t>Concepto unificado “Cupo de Ofertas” 3–10 (parametrizable, con override por categoría), reemplazando MAX_PRODUCTS=50; contar productos + servicios + paquetes + combos + experiencias + bonos dentro del mismo cupo (numeral 7.4.2 / 2.12).</w:t>
      </w:r>
    </w:p>
    <w:p>
      <w:pPr>
        <w:pStyle w:val="ListBullet"/>
      </w:pPr>
      <w:r>
        <w:t>Entidad BonoComercial con todos los estados del numeral 7.4.2, código único, redención (total o parcial), acumulación validada, denominaciones parametrizables, y BonoDesbloqueo separado (naturaleza, sin valor nominal, sólo habilita condición de compra). Diferenciación explícita bono comercial / bono de desbloqueo / reconocimiento gratuito en UI y en datos (numeral 6.17.2).</w:t>
      </w:r>
    </w:p>
    <w:p>
      <w:pPr>
        <w:pStyle w:val="ListBullet"/>
      </w:pPr>
      <w:r>
        <w:t>Máquina de estados de la operación del numeral 7.14 (orden / pago / cumplimiento / reclamación como 4 dimensiones separadas). Hoy PurchaseStatus es una sola dimensión.</w:t>
      </w:r>
    </w:p>
    <w:p>
      <w:pPr>
        <w:pStyle w:val="ListBullet"/>
      </w:pPr>
      <w:r>
        <w:t>Compra Válida provisional vs. consolidada, con enlace al motor de Puntos de Progreso (numeral 7.15.1) — hoy no hay ese concepto.</w:t>
      </w:r>
    </w:p>
    <w:p>
      <w:pPr>
        <w:pStyle w:val="ListBullet"/>
      </w:pPr>
      <w:r>
        <w:t>Composición económica separada por operación (numeral 7.10.1): registrar cada componente de cobertura del precio; validar que sumen el precio final; garantizar que las Llaves con respaldo reconocido NO reduzcan la Venta Computable ni la Base Comisionable.</w:t>
      </w:r>
    </w:p>
    <w:p>
      <w:pPr>
        <w:pStyle w:val="ListBullet"/>
      </w:pPr>
      <w:r>
        <w:t>Cobertura con Llaves como “hasta X %” (no un valor fijo): permitir usar menos y pagar el resto, o seguir acumulando; mostrar “Llaves faltantes para el máximo” y ambos escenarios de dinero (numeral 7.9).</w:t>
      </w:r>
    </w:p>
    <w:p>
      <w:pPr>
        <w:pStyle w:val="ListBullet"/>
      </w:pPr>
      <w:r>
        <w:t>Promociones especiales con cobertura hasta 70 % previamente autorizadas, financiadas, parametrizadas (numeral 7.9.2).</w:t>
      </w:r>
    </w:p>
    <w:p>
      <w:pPr>
        <w:pStyle w:val="ListBullet"/>
      </w:pPr>
      <w:r>
        <w:t>Validación efectiva de entrega/prestación/redención con QR/código y cumplimiento parcial por componente (numeral 7.18) — hoy el marketplace no registra entrega física.</w:t>
      </w:r>
    </w:p>
    <w:p>
      <w:pPr>
        <w:pStyle w:val="Heading3"/>
      </w:pPr>
      <w:r>
        <w:t>Cambios a realizar</w:t>
      </w:r>
    </w:p>
    <w:p>
      <w:pPr>
        <w:pStyle w:val="ListBullet"/>
      </w:pPr>
      <w:r>
        <w:t>Copayment: 1 llave = $10 fijo (keysValueCents = keysUsed × 10) contradice “las Llaves no tienen un valor monetario fijo y universal” (numerales 2.25, 7.10). El valor debe ser el respaldo económico reconocido en la operación, no una constante.</w:t>
      </w:r>
    </w:p>
    <w:p>
      <w:pPr>
        <w:pStyle w:val="ListBullet"/>
      </w:pPr>
      <w:r>
        <w:t>El límite de llaves debe ser 50 % ordinario / hasta 70 % en promoción especial, no 20/35/50 % por plan.</w:t>
      </w:r>
    </w:p>
    <w:p>
      <w:r>
        <w:br w:type="page"/>
      </w:r>
    </w:p>
    <w:p>
      <w:pPr>
        <w:pStyle w:val="Heading2"/>
      </w:pPr>
      <w:r>
        <w:t>Cláusula Octava — Obligaciones comerciales, operativas, económicas y de cumplimiento (pág. 180)</w:t>
      </w:r>
    </w:p>
    <w:p>
      <w:pPr>
        <w:pStyle w:val="Heading3"/>
      </w:pPr>
      <w:r>
        <w:t>Lo que promete el contrato</w:t>
      </w:r>
    </w:p>
    <w:p>
      <w:pPr>
        <w:ind w:left="432"/>
      </w:pPr>
      <w:r>
        <w:rPr>
          <w:i/>
          <w:color w:val="555555"/>
          <w:sz w:val="19"/>
        </w:rPr>
        <w:t>El empresario debe cumplir el régimen económico de la Cláusula Quinta, mantener información y documentos vigentes, actualizar ofertas/precios/inventarios, validar códigos y redenciones, entregar/prestar, atender garantías y reclamaciones, conservar evidencias, cooperar con verificaciones y auditorías (numerales 8.x, pág. 180).</w:t>
      </w:r>
    </w:p>
    <w:p>
      <w:pPr>
        <w:ind w:left="432"/>
      </w:pPr>
      <w:r>
        <w:rPr>
          <w:i/>
          <w:color w:val="555555"/>
          <w:sz w:val="19"/>
        </w:rPr>
        <w:t>La anulación/devolución/reversión/fraude/incumplimiento produce el ajuste proporcional de la Base Comisionable, la comisión y demás registros económicos (numeral 8.x).</w:t>
      </w:r>
    </w:p>
    <w:p>
      <w:pPr>
        <w:pStyle w:val="Heading3"/>
      </w:pPr>
      <w:r>
        <w:t>Lo que hay en el código</w:t>
      </w:r>
    </w:p>
    <w:p>
      <w:pPr>
        <w:pStyle w:val="ListBullet"/>
      </w:pPr>
      <w:r>
        <w:t>Las obligaciones se hacen cumplir de forma dispersa: @RequirePlanCapability / PlanGuardAspect, validaciones de assets (PlanChangeAssetValidator), PQRS, compliance. No hay un registro estructurado de obligaciones e incumplimientos.</w:t>
      </w:r>
    </w:p>
    <w:p>
      <w:pPr>
        <w:pStyle w:val="Heading3"/>
      </w:pPr>
      <w:r>
        <w:t>Nuevo por implementar</w:t>
      </w:r>
    </w:p>
    <w:p>
      <w:pPr>
        <w:pStyle w:val="ListBullet"/>
      </w:pPr>
      <w:r>
        <w:t>Registro de obligaciones/incumplimientos con estado propio, causal, evidencia, responsable, fecha de apertura/cierre, para alimentar las medidas de las Cláusulas XIII y XIV (GUÍA DE PROGRAMACIÓN, Cláusula Octava: catálogo de obligaciones y controles).</w:t>
      </w:r>
    </w:p>
    <w:p>
      <w:pPr>
        <w:pStyle w:val="ListBullet"/>
      </w:pPr>
      <w:r>
        <w:t>Enlace del ajuste posventa al motor de Prosperidad (una devolución debe reintegrar Saldo consumido y reversar comisión).</w:t>
      </w:r>
    </w:p>
    <w:p>
      <w:r>
        <w:br w:type="page"/>
      </w:r>
    </w:p>
    <w:p>
      <w:pPr>
        <w:pStyle w:val="Heading2"/>
      </w:pPr>
      <w:r>
        <w:t>Cláusula Novena — Patrocinios y relación con Empresas Premium (pág. 194)</w:t>
      </w:r>
    </w:p>
    <w:p>
      <w:pPr>
        <w:pStyle w:val="Heading3"/>
      </w:pPr>
      <w:r>
        <w:t>Lo que promete el contrato</w:t>
      </w:r>
    </w:p>
    <w:p>
      <w:pPr>
        <w:ind w:left="432"/>
      </w:pPr>
      <w:r>
        <w:rPr>
          <w:i/>
          <w:color w:val="555555"/>
          <w:sz w:val="19"/>
        </w:rPr>
        <w:t>Código Único de Recomendación Empresarial asignado al empresario Tipo B (alfanumérico / QR / enlace individual), sólo para identificación, atribución y trazabilidad; registro por el mecanismo oficial; atribución al primer contacto válido (numerales 9.4–9.5, pág. 196).</w:t>
      </w:r>
    </w:p>
    <w:p>
      <w:pPr>
        <w:ind w:left="432"/>
      </w:pPr>
      <w:r>
        <w:rPr>
          <w:i/>
          <w:color w:val="555555"/>
          <w:sz w:val="19"/>
        </w:rPr>
        <w:t>Reconocimiento por vinculación efectiva de una Empresa Premium recomendada: 1 juego promocional gratuito por 1 mes cuando la Premium queda activa y la atribución está confirmada; beneficio no canjeable por dinero, no transferible, no acumulable, con suspensión/reactivación por mora (numerales 9.6–9.8, pág. 198).</w:t>
      </w:r>
    </w:p>
    <w:p>
      <w:pPr>
        <w:ind w:left="432"/>
      </w:pPr>
      <w:r>
        <w:rPr>
          <w:i/>
          <w:color w:val="555555"/>
          <w:sz w:val="19"/>
        </w:rPr>
        <w:t>Componente Patrocinado por Empresa Premium: identificación separada, inventario y trazabilidad separados, valor comercial de referencia, incorporación gratuita o hasta el 10 % del valor de referencia del componente (no del precio de la oferta); prohibición de sustitución no autorizada; “Beneficio Premium Patrocinado Gratuito” con control de cantidades (recibida/asignada/disponible/reservada/comprometida/entregada/no entregada/anulada) (numerales 9.11–9.15, pág. 202–204).</w:t>
      </w:r>
    </w:p>
    <w:p>
      <w:pPr>
        <w:pStyle w:val="Heading3"/>
      </w:pPr>
      <w:r>
        <w:t>Lo que hay en el código</w:t>
      </w:r>
    </w:p>
    <w:p>
      <w:pPr>
        <w:pStyle w:val="ListBullet"/>
      </w:pPr>
      <w:r>
        <w:t>referrals: ReferralService, ReferralQrService, ReferralInfoService, ReferralCodeGenerator — pero referralCode y referredBy están sólo en ConsumerDetails (consumidores). ReferralCompletedEvent, ReferralPromotionService.</w:t>
      </w:r>
    </w:p>
    <w:p>
      <w:pPr>
        <w:pStyle w:val="ListBullet"/>
      </w:pPr>
      <w:r>
        <w:t>marketplace/AllyProductPromotion: premiumCommercial + product + createdAt. Mínimo; sin inventario, valor de referencia, límites ni estados. Feature CAN_PROMOTE_ALLY_PRODUCTS (sólo PREMIUM).</w:t>
      </w:r>
    </w:p>
    <w:p>
      <w:pPr>
        <w:pStyle w:val="Heading3"/>
      </w:pPr>
      <w:r>
        <w:t>Nuevo por implementar</w:t>
      </w:r>
    </w:p>
    <w:p>
      <w:pPr>
        <w:pStyle w:val="ListBullet"/>
      </w:pPr>
      <w:r>
        <w:t>Código Único de Recomendación Empresarial en CommercialDetails (+ QR + enlace), con registro de recomendaciones (originador, empresa recomendada, mecanismo, fecha, estado provisional/confirmado) y resolución de atribución/controversias (numerales 9.4–9.5).</w:t>
      </w:r>
    </w:p>
    <w:p>
      <w:pPr>
        <w:pStyle w:val="ListBullet"/>
      </w:pPr>
      <w:r>
        <w:t>Motor de reconocimiento por vinculación efectiva (Premium / Tipo B / Tipo A / usuario activo) — es también parte de las 7 Acciones Calificadas de la Cláusula Sexta. Definir “vinculación efectiva” = registro + contrato + pago + validaciones + activación (numerales 9.6, 6.3.1.1–6.3.1.4).</w:t>
      </w:r>
    </w:p>
    <w:p>
      <w:pPr>
        <w:pStyle w:val="ListBullet"/>
      </w:pPr>
      <w:r>
        <w:t>Beneficio “1 juego gratuito por 1 mes” con vigencia, suspensión por mora y reactivación por el tiempo restante (numeral 9.8).</w:t>
      </w:r>
    </w:p>
    <w:p>
      <w:pPr>
        <w:pStyle w:val="ListBullet"/>
      </w:pPr>
      <w:r>
        <w:t>Modelo completo de Componente Patrocinado / Beneficio Premium Patrocinado Gratuito: inventario separado, valor de referencia verificable, tope 10 %, estados de cantidad, custodia por el empresario, prohibición de sustitución no autorizada y registro de sustituciones autorizadas (numerales 9.11–9.15).</w:t>
      </w:r>
    </w:p>
    <w:p>
      <w:r>
        <w:br w:type="page"/>
      </w:r>
    </w:p>
    <w:p>
      <w:pPr>
        <w:pStyle w:val="Heading2"/>
      </w:pPr>
      <w:r>
        <w:t>Cláusula Décima — Cálculo, liquidación, registro y conciliación del régimen de Prosperidad (pág. 216)</w:t>
      </w:r>
    </w:p>
    <w:p>
      <w:pPr>
        <w:pStyle w:val="Heading3"/>
      </w:pPr>
      <w:r>
        <w:t>Lo que promete el contrato</w:t>
      </w:r>
    </w:p>
    <w:p>
      <w:pPr>
        <w:ind w:left="432"/>
      </w:pPr>
      <w:r>
        <w:rPr>
          <w:i/>
          <w:color w:val="555555"/>
          <w:sz w:val="19"/>
        </w:rPr>
        <w:t>Libro Mayor económico cronológico, verificable y auditable por empresa, que registra separadamente Inversiones Computables, IVA/tributos, total facturado y pagado, Umbral generado, incrementos del Saldo, Ventas Computables, porciones absorbidas, Bases Comisionables, tarifas, comisiones, IVA en comisiones, retenciones, costos de pasarela, dispersiones, anulaciones/devoluciones/reversos y saldo resultante tras cada movimiento (numeral 10.5, pág. 219).</w:t>
      </w:r>
    </w:p>
    <w:p>
      <w:pPr>
        <w:ind w:left="432"/>
      </w:pPr>
      <w:r>
        <w:rPr>
          <w:i/>
          <w:color w:val="555555"/>
          <w:sz w:val="19"/>
        </w:rPr>
        <w:t>Prohibido alterar el orden cronológico para aplicar una inversión posterior a ventas que ya causaron comisión (numeral 10.5). Estado provisional vs. VENTA_COMPUTABLE_VALIDADA (numeral 10.9). Discriminación del IVA incluido en la comisión: VALOR_SERVICIO_ANTES_DE_IVA = COMISIÓN_TOTAL / (1 + TARIFA_IVA) (numeral 10.12, pág. 223).</w:t>
      </w:r>
    </w:p>
    <w:p>
      <w:pPr>
        <w:ind w:left="432"/>
      </w:pPr>
      <w:r>
        <w:rPr>
          <w:i/>
          <w:color w:val="555555"/>
          <w:sz w:val="19"/>
        </w:rPr>
        <w:t>El Umbral y el Saldo son por persona jurídica/natural (NIT), no se comparten entre empresas, NIT, contratos ni establecimientos; el libro mayor es consolidado por empresario aunque se muestre por establecimiento (numeral 10.21). Reversión de una Inversión Computable ya usada: identificar el Umbral originado, la porción usada, bloquear el resto, registrar ajuste (numeral 10.20). Indisponibilidad de pasarela → operación “pendiente de conciliación”, sin doble cobro / doble consumo de Saldo / doble comisión / doble dispersión (numeral 10.25).</w:t>
      </w:r>
    </w:p>
    <w:p>
      <w:pPr>
        <w:pStyle w:val="Heading3"/>
      </w:pPr>
      <w:r>
        <w:t>Lo que hay en el código</w:t>
      </w:r>
    </w:p>
    <w:p>
      <w:pPr>
        <w:pStyle w:val="ListBullet"/>
      </w:pPr>
      <w:r>
        <w:t>No existe Libro Mayor de Prosperidad. Existen: TreasuryMovement (libro de tesorería de VerYGana, no del empresario), BudgetTransaction (consumo de presupuesto publicitario), KeyTransaction (historial de llaves del usuario), Investment/Subscription (depósitos). Ninguno es el ledger económico por empresario que exige la cláusula.</w:t>
      </w:r>
    </w:p>
    <w:p>
      <w:pPr>
        <w:pStyle w:val="ListBullet"/>
      </w:pPr>
      <w:r>
        <w:t>WompiTransaction + idempotencia de webhooks (WompiWebhookDispatcher). Payout con estados. Base para conciliación, pero no ligada a Prosperidad.</w:t>
      </w:r>
    </w:p>
    <w:p>
      <w:pPr>
        <w:pStyle w:val="Heading3"/>
      </w:pPr>
      <w:r>
        <w:t>Nuevo por implementar</w:t>
      </w:r>
    </w:p>
    <w:p>
      <w:pPr>
        <w:pStyle w:val="ListBullet"/>
      </w:pPr>
      <w:r>
        <w:t>Entidad ProsperityLedger (o LibroMayorProsperidad) por CommercialDetails: movimientos append-only con concepto, operación de origen, valor, saldo_antes, saldo_después, fecha/hora efectiva de validación, regla y versión aplicadas, estado provisional/definitivo, soporte. Correcciones sólo por asientos de ajuste vinculados (numerales 10.5, 10.27).</w:t>
      </w:r>
    </w:p>
    <w:p>
      <w:pPr>
        <w:pStyle w:val="ListBullet"/>
      </w:pPr>
      <w:r>
        <w:t>Motor de liquidación pre-dispersión (numeral 10.17): VALOR_NETO = VALOR_PAGADERO − COMISIÓN − RETENCIONES − COSTOS_AUTORIZADOS + AJUSTES. Integrar con el PayoutService actual.</w:t>
      </w:r>
    </w:p>
    <w:p>
      <w:pPr>
        <w:pStyle w:val="ListBullet"/>
      </w:pPr>
      <w:r>
        <w:t>Panel económico del empresario del numeral 10.23 (26 conceptos consultables) — hoy el dashboard cubre ~4.</w:t>
      </w:r>
    </w:p>
    <w:p>
      <w:pPr>
        <w:pStyle w:val="ListBullet"/>
      </w:pPr>
      <w:r>
        <w:t>Manejo de indisponibilidad de pasarela: estado “pendiente de conciliación” con conservación del identificador original y bloqueo de reprocesamiento (numeral 10.25).</w:t>
      </w:r>
    </w:p>
    <w:p>
      <w:pPr>
        <w:pStyle w:val="ListBullet"/>
      </w:pPr>
      <w:r>
        <w:t>Aislamiento por NIT del Umbral/Saldo (numeral 10.21).</w:t>
      </w:r>
    </w:p>
    <w:p>
      <w:r>
        <w:br w:type="page"/>
      </w:r>
    </w:p>
    <w:p>
      <w:pPr>
        <w:pStyle w:val="Heading2"/>
      </w:pPr>
      <w:r>
        <w:t>Cláusula Undécima — Clasificación, causación, descuento, facturación y pago de comisiones (pág. 235)</w:t>
      </w:r>
    </w:p>
    <w:p>
      <w:pPr>
        <w:pStyle w:val="Heading3"/>
      </w:pPr>
      <w:r>
        <w:t>Lo que promete el contrato</w:t>
      </w:r>
    </w:p>
    <w:p>
      <w:pPr>
        <w:ind w:left="432"/>
      </w:pPr>
      <w:r>
        <w:rPr>
          <w:i/>
          <w:color w:val="555555"/>
          <w:sz w:val="19"/>
        </w:rPr>
        <w:t>Porcentajes según Vocación: 10 % PRODUCTOS, 15 % SERVICIOS, IVA incluido (numeral 11.2). Clasificación empresarial única; establecimientos gastronómicos obligatoriamente SERVICIOS (numeral 11.6, pág. 237); venta separada de alimentos/bebidas por un empresario de servicios sigue siendo SERVICIOS (numeral 11.7); hoteles y operadores turísticos → servicios integrales (numeral 11.8); prohibición de fragmentación/reclasificación artificial (numeral 11.9).</w:t>
      </w:r>
    </w:p>
    <w:p>
      <w:pPr>
        <w:ind w:left="432"/>
      </w:pPr>
      <w:r>
        <w:rPr>
          <w:i/>
          <w:color w:val="555555"/>
          <w:sz w:val="19"/>
        </w:rPr>
        <w:t>Momento de causación: operación perfeccionada + pago reconocido + validaciones + porción que constituya Base Comisionable; provisional hasta entrega/prestación/redención (numeral 11.13). Liquidación automática, descuento automático antes de la dispersión, validación previa a la dispersión, facturación electrónica con soportes, y para operaciones reversadas después de la dispersión un procedimiento de ajuste (numerales 11.14–11.23). Estados tecnológicos y trazabilidad cronológica (numerales 11.28–11.29).</w:t>
      </w:r>
    </w:p>
    <w:p>
      <w:pPr>
        <w:pStyle w:val="Heading3"/>
      </w:pPr>
      <w:r>
        <w:t>Lo que hay en el código</w:t>
      </w:r>
    </w:p>
    <w:p>
      <w:pPr>
        <w:pStyle w:val="ListBullet"/>
      </w:pPr>
      <w:r>
        <w:t>PurchaseItem guarda commissionPctApplied + commissionCents + netToCommercialCents. TreasuryService.retainCommission → COMMISSION_RETENTION. PurchaseItemRefundServiceImpl revierte comisión (COMMISSION_REVERSAL) y ajusta llaves/efectivo. PayoutService + PayoutScheduler (cron, America/Bogota) dispersan.</w:t>
      </w:r>
    </w:p>
    <w:p>
      <w:pPr>
        <w:pStyle w:val="ListBullet"/>
      </w:pPr>
      <w:r>
        <w:t>No hay: 15 % servicios, clasificación gastronómica, causación provisional/definitiva, factura electrónica, discriminación de IVA en la comisión, procedimiento de reverso post-dispersión.</w:t>
      </w:r>
    </w:p>
    <w:p>
      <w:pPr>
        <w:pStyle w:val="Heading3"/>
      </w:pPr>
      <w:r>
        <w:t>Nuevo por implementar / cambios</w:t>
      </w:r>
    </w:p>
    <w:p>
      <w:pPr>
        <w:pStyle w:val="ListBullet"/>
      </w:pPr>
      <w:r>
        <w:t>Reglas de clasificación por Vocación con casos especiales gastronómico/hotelero/turístico y detección de fragmentación artificial (numerales 11.6–11.9). Puede apoyarse en el CIIU ya presente (CommercialDetails.ciiuCode).</w:t>
      </w:r>
    </w:p>
    <w:p>
      <w:pPr>
        <w:pStyle w:val="ListBullet"/>
      </w:pPr>
      <w:r>
        <w:t>Estados de comisión PROVISIONAL / CAUSADA / FACTURADA / AJUSTADA / REVERSADA (GUÍA DE PROGRAMACIÓN numeral 5.16) y causación diferida hasta la validación del cumplimiento.</w:t>
      </w:r>
    </w:p>
    <w:p>
      <w:pPr>
        <w:pStyle w:val="ListBullet"/>
      </w:pPr>
      <w:r>
        <w:t>Emisión de factura electrónica de VERYGANA (o documento equivalente) y su ciclo (numeral 11.19).</w:t>
      </w:r>
    </w:p>
    <w:p>
      <w:pPr>
        <w:pStyle w:val="ListBullet"/>
      </w:pPr>
      <w:r>
        <w:t>Procedimiento para operaciones reversadas después de la dispersión (numeral 11.23): nota crédito, cuenta por cobrar/compensación, sin borrar movimientos.</w:t>
      </w:r>
    </w:p>
    <w:p>
      <w:r>
        <w:br w:type="page"/>
      </w:r>
    </w:p>
    <w:p>
      <w:pPr>
        <w:pStyle w:val="Heading2"/>
      </w:pPr>
      <w:r>
        <w:t>Cláusula Duodécima — Vigencia, renovación, nuevas inversiones, continuidad y estados (pág. 251)</w:t>
      </w:r>
    </w:p>
    <w:p>
      <w:pPr>
        <w:pStyle w:val="Heading3"/>
      </w:pPr>
      <w:r>
        <w:t>Lo que promete el contrato</w:t>
      </w:r>
    </w:p>
    <w:p>
      <w:pPr>
        <w:ind w:left="432"/>
      </w:pPr>
      <w:r>
        <w:rPr>
          <w:i/>
          <w:color w:val="555555"/>
          <w:sz w:val="19"/>
        </w:rPr>
        <w:t>Vigencia particular de períodos, inversiones y beneficios; renovación de períodos; nuevas inversiones aplicadas prospectivamente y en orden cronológico, sin retroactividad (numerales 12.2–12.7).</w:t>
      </w:r>
    </w:p>
    <w:p>
      <w:pPr>
        <w:ind w:left="432"/>
      </w:pPr>
      <w:r>
        <w:rPr>
          <w:i/>
          <w:color w:val="555555"/>
          <w:sz w:val="19"/>
        </w:rPr>
        <w:t>Estado de Continuidad con niveles y duración; funcionalidades conservadas vs. restringidas; efectos económicos (no reinicia Umbral ni Saldo); regularización; finalización sin regularización; recuperación de la modalidad (numerales 12.10–12.17, pág. 255–256).</w:t>
      </w:r>
    </w:p>
    <w:p>
      <w:pPr>
        <w:ind w:left="432"/>
      </w:pPr>
      <w:r>
        <w:rPr>
          <w:i/>
          <w:color w:val="555555"/>
          <w:sz w:val="19"/>
        </w:rPr>
        <w:t>Suspensión Preventiva y su independencia del Estado de Continuidad (numerales 12.18–12.20). Estados INACTIVO y TERMINADO; obligaciones que subsisten; conservación de identidad e historial; matriz tecnológica de estados (numerales 12.21–12.30).</w:t>
      </w:r>
    </w:p>
    <w:p>
      <w:pPr>
        <w:pStyle w:val="Heading3"/>
      </w:pPr>
      <w:r>
        <w:t>Lo que hay en el código</w:t>
      </w:r>
    </w:p>
    <w:p>
      <w:pPr>
        <w:pStyle w:val="ListBullet"/>
      </w:pPr>
      <w:r>
        <w:t>Subscription con renewal_reminder_sent_at + RenewalReminderScheduler (implícito). Recargas STANDARD/PREMIUM vía Investment + CommercialContract(purpose=RECHARGE). PlanChangeRequest para cambio de plan. Wallet budgetGracePeriodDays (15 STANDARD / 30 PREMIUM) + estado DORMANT mencionado en comentarios (pero WalletStatus sólo tiene INACTIVE/ACTIVE/EXHAUSTED — inconsistencia).</w:t>
      </w:r>
    </w:p>
    <w:p>
      <w:pPr>
        <w:pStyle w:val="Heading3"/>
      </w:pPr>
      <w:r>
        <w:t>Nuevo por implementar</w:t>
      </w:r>
    </w:p>
    <w:p>
      <w:pPr>
        <w:pStyle w:val="ListBullet"/>
      </w:pPr>
      <w:r>
        <w:t>Estado de Continuidad con niveles (numeral 12.11) como estado empresarial formal, con su matriz de funcionalidades y régimen económico (no toca Prosperidad).</w:t>
      </w:r>
    </w:p>
    <w:p>
      <w:pPr>
        <w:pStyle w:val="ListBullet"/>
      </w:pPr>
      <w:r>
        <w:t>Período Ordinario semanal de inversión y su vencimiento/renovación (numeral 12.2 / 2.29).</w:t>
      </w:r>
    </w:p>
    <w:p>
      <w:pPr>
        <w:pStyle w:val="ListBullet"/>
      </w:pPr>
      <w:r>
        <w:t>“Matriz tecnológica de estados” (numeral 12.29): tabla parametrizable estado → funcionalidades habilitadas/restringidas.</w:t>
      </w:r>
    </w:p>
    <w:p>
      <w:pPr>
        <w:pStyle w:val="ListBullet"/>
      </w:pPr>
      <w:r>
        <w:t>Resolver la inconsistencia WalletStatus vs. DORMANT y alinearla con los estados del contrato.</w:t>
      </w:r>
    </w:p>
    <w:p>
      <w:r>
        <w:br w:type="page"/>
      </w:r>
    </w:p>
    <w:p>
      <w:pPr>
        <w:pStyle w:val="Heading2"/>
      </w:pPr>
      <w:r>
        <w:t>Cláusula Decimotercera — Seguridad, prevención del fraude e integridad económica (pág. 268)</w:t>
      </w:r>
    </w:p>
    <w:p>
      <w:pPr>
        <w:pStyle w:val="Heading3"/>
      </w:pPr>
      <w:r>
        <w:t>Lo que promete el contrato</w:t>
      </w:r>
    </w:p>
    <w:p>
      <w:pPr>
        <w:ind w:left="432"/>
      </w:pPr>
      <w:r>
        <w:rPr>
          <w:i/>
          <w:color w:val="555555"/>
          <w:sz w:val="19"/>
        </w:rPr>
        <w:t>Sistema de gestión de seguridad y prevención del fraude (numeral 13.2, pág. 269); detección automatizada de anomalías (numeral 13.13); gestión y clasificación de alertas (13.14); medidas preventivas proporcionales (13.15); corrección de falsos positivos (13.19); devoluciones/reversos/ajustes derivados de irregularidades (13.20); conservación de Evidencia Digital y cadena de custodia (13.24); integridad de métricas e informes (13.25).</w:t>
      </w:r>
    </w:p>
    <w:p>
      <w:pPr>
        <w:ind w:left="432"/>
      </w:pPr>
      <w:r>
        <w:rPr>
          <w:i/>
          <w:color w:val="555555"/>
          <w:sz w:val="19"/>
        </w:rPr>
        <w:t>Una alerta automatizada es señal de revisión, no conclusión definitiva de fraude (numeral 13.13; principio repetido en todo el contrato).</w:t>
      </w:r>
    </w:p>
    <w:p>
      <w:pPr>
        <w:pStyle w:val="Heading3"/>
      </w:pPr>
      <w:r>
        <w:t>Lo que hay en el código</w:t>
      </w:r>
    </w:p>
    <w:p>
      <w:pPr>
        <w:pStyle w:val="ListBullet"/>
      </w:pPr>
      <w:r>
        <w:t>security: SecurityConfig, AccountLockService, SecurityMonitoringService, refreshToken handling. controllers/admin: SecurityEventAdminController, AuditLogAdminController. AdminActionType, AuditLog. Idempotencia en webhooks. Controles antifraude puntuales (maxLikesPerUserPerDay, resumeCount en AdWatchSession, controles de encuesta).</w:t>
      </w:r>
    </w:p>
    <w:p>
      <w:pPr>
        <w:pStyle w:val="ListBullet"/>
      </w:pPr>
      <w:r>
        <w:t>compliance: screening (listas), KYC, background check.</w:t>
      </w:r>
    </w:p>
    <w:p>
      <w:pPr>
        <w:pStyle w:val="Heading3"/>
      </w:pPr>
      <w:r>
        <w:t>Nuevo por implementar</w:t>
      </w:r>
    </w:p>
    <w:p>
      <w:pPr>
        <w:pStyle w:val="ListBullet"/>
      </w:pPr>
      <w:r>
        <w:t>Catálogo de alertas tipificadas por dominio económico/promocional (operaciones ficticias, manipulación del régimen promocional, fraude en referidos/vinculaciones, autoconsumo irregular, redenciones duplicadas, fraccionamiento) con estados y flujo de revisión, falsos positivos y cierre (numerales 13.4–13.14).</w:t>
      </w:r>
    </w:p>
    <w:p>
      <w:pPr>
        <w:pStyle w:val="ListBullet"/>
      </w:pPr>
      <w:r>
        <w:t>Cadena de custodia de Evidencia Digital (hash, sello de tiempo, integridad) — hoy AuditLog no garantiza integridad criptográfica (numeral 13.24).</w:t>
      </w:r>
    </w:p>
    <w:p>
      <w:pPr>
        <w:pStyle w:val="ListBullet"/>
      </w:pPr>
      <w:r>
        <w:t>Módulo de medidas preventivas proporcionales enlazado con la Cláusula XIV.</w:t>
      </w:r>
    </w:p>
    <w:p>
      <w:r>
        <w:br w:type="page"/>
      </w:r>
    </w:p>
    <w:p>
      <w:pPr>
        <w:pStyle w:val="Heading2"/>
      </w:pPr>
      <w:r>
        <w:t>Cláusula Decimocuarta — Restricción, suspensión preventiva, reactivación y terminación por incumplimiento (pág. 287)</w:t>
      </w:r>
    </w:p>
    <w:p>
      <w:pPr>
        <w:pStyle w:val="Heading3"/>
      </w:pPr>
      <w:r>
        <w:t>Lo que promete el contrato</w:t>
      </w:r>
    </w:p>
    <w:p>
      <w:pPr>
        <w:ind w:left="432"/>
      </w:pPr>
      <w:r>
        <w:rPr>
          <w:i/>
          <w:color w:val="555555"/>
          <w:sz w:val="19"/>
        </w:rPr>
        <w:t>Gradación: restricción parcial (sólo la operación/oferta/campaña/establecimiento afectada) → suspensión preventiva → suspensión contractual (con procedimiento: identificar causal, conservar evidencias, comunicar, dar oportunidad de explicación/subsanación, valorar, decidir motivadamente) → terminación (numerales 14.2–14.11).</w:t>
      </w:r>
    </w:p>
    <w:p>
      <w:pPr>
        <w:ind w:left="432"/>
      </w:pPr>
      <w:r>
        <w:rPr>
          <w:i/>
          <w:color w:val="555555"/>
          <w:sz w:val="19"/>
        </w:rPr>
        <w:t>Causales concurrentes independientes: cada una con identificación, fecha, operaciones afectadas, evidencia, responsable, estado propio y cierre independiente; subsanar una no levanta las demás (numeral 14.15). Efectos económicos de las medidas (14.16). Prohibición de evasión mediante nueva identidad (14.17). Inhabilitación para nuevas activaciones (Cláusula Decimoctava 18.19).</w:t>
      </w:r>
    </w:p>
    <w:p>
      <w:pPr>
        <w:pStyle w:val="Heading3"/>
      </w:pPr>
      <w:r>
        <w:t>Lo que hay en el código</w:t>
      </w:r>
    </w:p>
    <w:p>
      <w:pPr>
        <w:pStyle w:val="ListBullet"/>
      </w:pPr>
      <w:r>
        <w:t>UserState + baneo de usuario (UserAdminController — “ya existe con listar/banear/detalle por rol” según memoria). ContractStatus. No hay gradación proporcional ni causales concurrentes.</w:t>
      </w:r>
    </w:p>
    <w:p>
      <w:pPr>
        <w:pStyle w:val="Heading3"/>
      </w:pPr>
      <w:r>
        <w:t>Nuevo por implementar</w:t>
      </w:r>
    </w:p>
    <w:p>
      <w:pPr>
        <w:pStyle w:val="ListBullet"/>
      </w:pPr>
      <w:r>
        <w:t>Entidad Medida (RESTRICCION_PARCIAL / SUSPENSION_PREVENTIVA / SUSPENSION_CONTRACTUAL / TERMINACION) con alcance, causal, procedimiento (comunicación, plazo de descargos, decisión motivada), evidencias y revisión; soporte de varias medidas activas simultáneas por causales distintas (numerales 14.2–14.15).</w:t>
      </w:r>
    </w:p>
    <w:p>
      <w:pPr>
        <w:pStyle w:val="ListBullet"/>
      </w:pPr>
      <w:r>
        <w:t>Registro de inhabilitación para nuevas activaciones / exclusión del ecosistema (numeral 18.19).</w:t>
      </w:r>
    </w:p>
    <w:p>
      <w:r>
        <w:br w:type="page"/>
      </w:r>
    </w:p>
    <w:p>
      <w:pPr>
        <w:pStyle w:val="Heading2"/>
      </w:pPr>
      <w:r>
        <w:t>Cláusula Decimoquinta — Garantías, cambios, devoluciones, retracto, reversión del pago y posventa (pág. 299)</w:t>
      </w:r>
    </w:p>
    <w:p>
      <w:pPr>
        <w:pStyle w:val="Heading3"/>
      </w:pPr>
      <w:r>
        <w:t>Lo que promete el contrato</w:t>
      </w:r>
    </w:p>
    <w:p>
      <w:pPr>
        <w:ind w:left="432"/>
      </w:pPr>
      <w:r>
        <w:rPr>
          <w:i/>
          <w:color w:val="555555"/>
          <w:sz w:val="19"/>
        </w:rPr>
        <w:t>Garantía legal y de productos/servicios; herramientas tecnológicas de atención posventa; diferenciación de figuras posventa (cambio comercial ≠ devolución ≠ garantía ≠ retracto ≠ reversión del pago) (numerales 15.4–15.9).</w:t>
      </w:r>
    </w:p>
    <w:p>
      <w:pPr>
        <w:ind w:left="432"/>
      </w:pPr>
      <w:r>
        <w:rPr>
          <w:i/>
          <w:color w:val="555555"/>
          <w:sz w:val="19"/>
        </w:rPr>
        <w:t>Derecho de retracto (numeral 15.10, pág. 303) y reversión del pago (numeral 15.11, pág. 304) con sus plazos y excepciones legales. Ajustes derivados de actuaciones posventa sobre Venta Computable, Saldo de Prosperidad, Base Comisionable, comisión, Llaves, Puntos y métricas (numerales 15.12–15.16). Estados, conciliación y cierre de solicitudes (numeral 15.19).</w:t>
      </w:r>
    </w:p>
    <w:p>
      <w:pPr>
        <w:pStyle w:val="Heading3"/>
      </w:pPr>
      <w:r>
        <w:t>Lo que hay en el código</w:t>
      </w:r>
    </w:p>
    <w:p>
      <w:pPr>
        <w:pStyle w:val="ListBullet"/>
      </w:pPr>
      <w:r>
        <w:t>pqrs: Pqrs, PqrsAsset, PqrsStatus, PqrsType, PqrsResolutionAction (incluye REFUND), MarketplaceIssueReason. PqrsSlaProperties (SLA). PqrsServiceImpl (archivo abierto en el IDE).</w:t>
      </w:r>
    </w:p>
    <w:p>
      <w:pPr>
        <w:pStyle w:val="ListBullet"/>
      </w:pPr>
      <w:r>
        <w:t>finance: PurchaseItemCashRefund (CashRefundStatus), CashRefundServiceImpl, PurchaseItemRefundServiceImpl (revierte comisión + llaves + efectivo), CopaymentStatus.</w:t>
      </w:r>
    </w:p>
    <w:p>
      <w:pPr>
        <w:pStyle w:val="Heading3"/>
      </w:pPr>
      <w:r>
        <w:t>Nuevo por implementar</w:t>
      </w:r>
    </w:p>
    <w:p>
      <w:pPr>
        <w:pStyle w:val="ListBullet"/>
      </w:pPr>
      <w:r>
        <w:t>Figuras posventa tipificadas y separadas (cambio / devolución / garantía / retracto / reversión del pago) con sus reglas y plazos legales (Ley 1480, art. 47 retracto; Ley 527/E-commerce art. 51 reversión) (numerales 15.7–15.11).</w:t>
      </w:r>
    </w:p>
    <w:p>
      <w:pPr>
        <w:pStyle w:val="ListBullet"/>
      </w:pPr>
      <w:r>
        <w:t>Ajuste integral posventa: al resolver un PQRS con REFUND, además de comisión y llaves (ya se hace), reintegrar el Saldo de Prosperidad consumido, ajustar Venta Computable / Base Comisionable, y reversar Puntos de Progreso / Oportunidad de Tercera Interacción asociados a esa Compra Válida (numerales 15.12–15.16; 7.16.1).</w:t>
      </w:r>
    </w:p>
    <w:p>
      <w:r>
        <w:br w:type="page"/>
      </w:r>
    </w:p>
    <w:p>
      <w:pPr>
        <w:pStyle w:val="Heading2"/>
      </w:pPr>
      <w:r>
        <w:t>Cláusula Decimosexta — Información empresarial, datos personales, métricas, investigación y confidencialidad (pág. 310)</w:t>
      </w:r>
    </w:p>
    <w:p>
      <w:pPr>
        <w:pStyle w:val="Heading3"/>
      </w:pPr>
      <w:r>
        <w:t>Lo que promete el contrato</w:t>
      </w:r>
    </w:p>
    <w:p>
      <w:pPr>
        <w:ind w:left="432"/>
      </w:pPr>
      <w:r>
        <w:rPr>
          <w:i/>
          <w:color w:val="555555"/>
          <w:sz w:val="19"/>
        </w:rPr>
        <w:t>Métricas ordinarias del empresario (numeral 16.11); métricas económicas y de dispersión (numeral 16.12, pág. 316); métricas de campañas, patrocinios y posventa (16.13); encuestas e investigaciones contratadas adicionalmente (16.14); resultados, inferencias e inteligencia artificial claramente identificados como tales (16.15); integridad, corrección y ausencia de garantía de resultados (16.16); derechos sobre informes/metodologías/herramientas de VERYGANA (16.17); confidencialidad y terminación (16.18).</w:t>
      </w:r>
    </w:p>
    <w:p>
      <w:pPr>
        <w:ind w:left="432"/>
      </w:pPr>
      <w:r>
        <w:rPr>
          <w:i/>
          <w:color w:val="555555"/>
          <w:sz w:val="19"/>
        </w:rPr>
        <w:t>El empresario no accede a datos personales individualizados de los usuarios ni a saldos individuales; la información se entrega agregada o anonimizada (numerales 16.6–16.8, 6.19.9).</w:t>
      </w:r>
    </w:p>
    <w:p>
      <w:pPr>
        <w:pStyle w:val="Heading3"/>
      </w:pPr>
      <w:r>
        <w:t>Lo que hay en el código</w:t>
      </w:r>
    </w:p>
    <w:p>
      <w:pPr>
        <w:pStyle w:val="ListBullet"/>
      </w:pPr>
      <w:r>
        <w:t>CommercialDashboardServiceImpl (SalesMetrics, DeltaMetric, likes/responses/plays con comparación de período), CommercialReportServiceImpl, ExecutiveReportController, CommercialPageVisit. Features CAN_VIEW_PERFORMANCE_METRICS / CAN_VIEW_PAGE_VISIT_METRICS / CAN_EXPORT_REPORT.</w:t>
      </w:r>
    </w:p>
    <w:p>
      <w:pPr>
        <w:pStyle w:val="ListBullet"/>
      </w:pPr>
      <w:r>
        <w:t>Nota de memoria: los históricos de ventas/payouts NO deben gatearse por el plan actual — sólo las acciones.</w:t>
      </w:r>
    </w:p>
    <w:p>
      <w:pPr>
        <w:pStyle w:val="Heading3"/>
      </w:pPr>
      <w:r>
        <w:t>Nuevo por implementar</w:t>
      </w:r>
    </w:p>
    <w:p>
      <w:pPr>
        <w:pStyle w:val="ListBullet"/>
      </w:pPr>
      <w:r>
        <w:t>Métricas económicas y de dispersión (numeral 16.12): inversiones, Umbral, Saldo, Ventas Computables, Bases Comisionables, comisiones, retenciones, dispersiones, con estado provisional/definitivo.</w:t>
      </w:r>
    </w:p>
    <w:p>
      <w:pPr>
        <w:pStyle w:val="ListBullet"/>
      </w:pPr>
      <w:r>
        <w:t>Métricas de campañas/juegos con niveles de atribución (directamente atribuible / razonablemente asociado / inferencia / no determinable) y sin doble atribución (numerales 6.19.7, 7.24).</w:t>
      </w:r>
    </w:p>
    <w:p>
      <w:pPr>
        <w:pStyle w:val="ListBullet"/>
      </w:pPr>
      <w:r>
        <w:t>Marca explícita de resultados generados o inferidos con IA (numeral 16.15).</w:t>
      </w:r>
    </w:p>
    <w:p>
      <w:r>
        <w:br w:type="page"/>
      </w:r>
    </w:p>
    <w:p>
      <w:pPr>
        <w:pStyle w:val="Heading2"/>
      </w:pPr>
      <w:r>
        <w:t>Cláusula Decimoséptima — Propiedad intelectual, marcas y Banco de Recursos Publicitarios (pág. 322)</w:t>
      </w:r>
    </w:p>
    <w:p>
      <w:pPr>
        <w:pStyle w:val="Heading3"/>
      </w:pPr>
      <w:r>
        <w:t>Lo que promete el contrato</w:t>
      </w:r>
    </w:p>
    <w:p>
      <w:pPr>
        <w:ind w:left="432"/>
      </w:pPr>
      <w:r>
        <w:rPr>
          <w:i/>
          <w:color w:val="555555"/>
          <w:sz w:val="19"/>
        </w:rPr>
        <w:t>Banco de Recursos Publicitarios: repositorio con titularidad, origen, autorización, versión, vigencia, aprobación y utilización de cada recurso; estados de utilización (numerales 17.7–17.9, 2.20).</w:t>
      </w:r>
    </w:p>
    <w:p>
      <w:pPr>
        <w:ind w:left="432"/>
      </w:pPr>
      <w:r>
        <w:rPr>
          <w:i/>
          <w:color w:val="555555"/>
          <w:sz w:val="19"/>
        </w:rPr>
        <w:t>Autorización limitada a VERYGANA (finalidad, territorio, canales, duración) sin transferencia de propiedad intelectual (numerales 17.5–17.6). Contenidos generados/modificados con IA (17.13). Reclamaciones de terceros (17.16). Retiro/vencimiento/suspensión (17.17).</w:t>
      </w:r>
    </w:p>
    <w:p>
      <w:pPr>
        <w:pStyle w:val="Heading3"/>
      </w:pPr>
      <w:r>
        <w:t>Lo que hay en el código</w:t>
      </w:r>
    </w:p>
    <w:p>
      <w:pPr>
        <w:pStyle w:val="ListBullet"/>
      </w:pPr>
      <w:r>
        <w:t>storage + assets por dominio: AdAsset, GameAssetDefinition, ProductImageAsset, CorporateResourceDTO / BrandingRequest (branding con comentarios y aprobación de diseñador), StoryMediaAsset. AssetStatus / AssetType. Repositorio empresarial parcial vía branding.</w:t>
      </w:r>
    </w:p>
    <w:p>
      <w:pPr>
        <w:pStyle w:val="Heading3"/>
      </w:pPr>
      <w:r>
        <w:t>Nuevo por implementar</w:t>
      </w:r>
    </w:p>
    <w:p>
      <w:pPr>
        <w:pStyle w:val="ListBullet"/>
      </w:pPr>
      <w:r>
        <w:t>Banco de Recursos Publicitarios unificado con metadatos de titularidad/autorización/vigencia/aprobación y estados (CARGADA / APROBADA / PUBLICADA / RETIRADA), transversal a campañas, juegos, ofertas y bonos (numeral 17.7).</w:t>
      </w:r>
    </w:p>
    <w:p>
      <w:pPr>
        <w:pStyle w:val="ListBullet"/>
      </w:pPr>
      <w:r>
        <w:t>Registro de la autorización limitada (finalidad/territorio/canales/duración) por recurso (numeral 17.6).</w:t>
      </w:r>
    </w:p>
    <w:p>
      <w:r>
        <w:br w:type="page"/>
      </w:r>
    </w:p>
    <w:p>
      <w:pPr>
        <w:pStyle w:val="Heading2"/>
      </w:pPr>
      <w:r>
        <w:t>Cláusula Decimoctava — Responsabilidad de las partes y delimitación funcional (pág. 330)</w:t>
      </w:r>
    </w:p>
    <w:p>
      <w:pPr>
        <w:pStyle w:val="Heading3"/>
      </w:pPr>
      <w:r>
        <w:t>Impacto técnico (menor, es sobre todo jurídico)</w:t>
      </w:r>
    </w:p>
    <w:p>
      <w:pPr>
        <w:pStyle w:val="ListBullet"/>
      </w:pPr>
      <w:r>
        <w:t>Registrar el rol efectivo de cada parte por operación (VERYGANA como plataforma / recaudadora / compradora) para poder acreditar la “función efectivamente realizada” (numeral 18.1, 18.16).</w:t>
      </w:r>
    </w:p>
    <w:p>
      <w:pPr>
        <w:pStyle w:val="ListBullet"/>
      </w:pPr>
      <w:r>
        <w:t>Inhabilitación para nuevas activaciones y exclusión del ecosistema (numeral 18.19) — entidad de bloqueo a nivel de identidad/NIT que impide re-registro.</w:t>
      </w:r>
    </w:p>
    <w:p>
      <w:pPr>
        <w:pStyle w:val="ListBullet"/>
      </w:pPr>
      <w:r>
        <w:t>Registro de fuerza mayor / caso fortuito por operación cuando aplique (numeral 18.14).</w:t>
      </w:r>
    </w:p>
    <w:p>
      <w:r>
        <w:br w:type="page"/>
      </w:r>
    </w:p>
    <w:p>
      <w:pPr>
        <w:pStyle w:val="Heading2"/>
      </w:pPr>
      <w:r>
        <w:t>Cláusula Decimonovena — Modificaciones, evolución del ecosistema y versionamiento (pág. 342)</w:t>
      </w:r>
    </w:p>
    <w:p>
      <w:pPr>
        <w:pStyle w:val="Heading3"/>
      </w:pPr>
      <w:r>
        <w:t>Lo que promete el contrato</w:t>
      </w:r>
    </w:p>
    <w:p>
      <w:pPr>
        <w:ind w:left="432"/>
      </w:pPr>
      <w:r>
        <w:rPr>
          <w:i/>
          <w:color w:val="555555"/>
          <w:sz w:val="19"/>
        </w:rPr>
        <w:t>Clasificación de las modificaciones (técnicas/parametrizaciones vs. contractuales o económicas relevantes); gobierno y aprobación interna; aplicación prospectiva y conservación de condiciones anteriores; nuevas funcionalidades opcionales; pruebas piloto; medidas urgentes de seguridad; versionamiento, comunicación y aceptación; falta de aceptación; jerarquía documental y auditoría (numerales 19.1–19.15).</w:t>
      </w:r>
    </w:p>
    <w:p>
      <w:pPr>
        <w:pStyle w:val="Heading3"/>
      </w:pPr>
      <w:r>
        <w:t>Lo que hay en el código</w:t>
      </w:r>
    </w:p>
    <w:p>
      <w:pPr>
        <w:pStyle w:val="ListBullet"/>
      </w:pPr>
      <w:r>
        <w:t>Plan y PlanFeature versionados (Plan.version, unique(version, code)). PricingConfig. EffectivePlanResolver con overrides por onboarding. Feature flags (FeatureFlagInterceptor).</w:t>
      </w:r>
    </w:p>
    <w:p>
      <w:pPr>
        <w:pStyle w:val="Heading3"/>
      </w:pPr>
      <w:r>
        <w:t>Nuevo por implementar</w:t>
      </w:r>
    </w:p>
    <w:p>
      <w:pPr>
        <w:pStyle w:val="ListBullet"/>
      </w:pPr>
      <w:r>
        <w:t>Versionamiento contractual: cada versión de contrato / condiciones particulares / matriz económica con fecha de vigencia; para cambios “relevantes”, flujo de comunicación + aceptación del empresario y registro de “falta de aceptación” (numerales 19.5, 19.13–19.14).</w:t>
      </w:r>
    </w:p>
    <w:p>
      <w:pPr>
        <w:pStyle w:val="ListBullet"/>
      </w:pPr>
      <w:r>
        <w:t>Bitácora de parametrización completa del numeral 2.53 (valor anterior, valor nuevo, vigencia, responsable, motivo, ámbito, versión) para toda regla configurable.</w:t>
      </w:r>
    </w:p>
    <w:p>
      <w:r>
        <w:br w:type="page"/>
      </w:r>
    </w:p>
    <w:p>
      <w:pPr>
        <w:pStyle w:val="Heading2"/>
      </w:pPr>
      <w:r>
        <w:t>Cláusula Vigésima — Duración, retiro, cambio de titularidad y terminación (pág. 351)</w:t>
      </w:r>
    </w:p>
    <w:p>
      <w:pPr>
        <w:pStyle w:val="Heading3"/>
      </w:pPr>
      <w:r>
        <w:t>Lo que promete el contrato</w:t>
      </w:r>
    </w:p>
    <w:p>
      <w:pPr>
        <w:ind w:left="432"/>
      </w:pPr>
      <w:r>
        <w:rPr>
          <w:i/>
          <w:color w:val="555555"/>
          <w:sz w:val="19"/>
        </w:rPr>
        <w:t>Retiro ≠ borrado; acceso limitado para el cierre; separación de figuras (retiro / terminación / inactividad); conservación de historial; cambio de titularidad con revisión previa (numerales 20.1–20.6 y parágrafos).</w:t>
      </w:r>
    </w:p>
    <w:p>
      <w:pPr>
        <w:pStyle w:val="Heading3"/>
      </w:pPr>
      <w:r>
        <w:t>Lo que hay en el código</w:t>
      </w:r>
    </w:p>
    <w:p>
      <w:pPr>
        <w:pStyle w:val="ListBullet"/>
      </w:pPr>
      <w:r>
        <w:t>Subscription.terminatedAt / cancellationReason. Baneo/estado de usuario. No hay “retiro voluntario con acceso limitado para cierre” ni cambio de titularidad.</w:t>
      </w:r>
    </w:p>
    <w:p>
      <w:pPr>
        <w:pStyle w:val="Heading3"/>
      </w:pPr>
      <w:r>
        <w:t>Nuevo por implementar</w:t>
      </w:r>
    </w:p>
    <w:p>
      <w:pPr>
        <w:pStyle w:val="ListBullet"/>
      </w:pPr>
      <w:r>
        <w:t>Flujo de retiro voluntario que conserva historial y habilita sólo funciones de cierre (atender entregas/redenciones/garantías pendientes) (numeral 20.1, Parágrafo Primero/Segundo).</w:t>
      </w:r>
    </w:p>
    <w:p>
      <w:pPr>
        <w:pStyle w:val="ListBullet"/>
      </w:pPr>
      <w:r>
        <w:t>Cambio de titularidad del expediente empresarial con revisión (distinto de editar datos) (Parágrafo Tercero; GUÍA DE PROGRAMACIÓN numeral 1.2: “diferenciar modificación de información de transferencia de titularidad”).</w:t>
      </w:r>
    </w:p>
    <w:p>
      <w:r>
        <w:br w:type="page"/>
      </w:r>
    </w:p>
    <w:p>
      <w:pPr>
        <w:pStyle w:val="Heading2"/>
      </w:pPr>
      <w:r>
        <w:t>Cláusula Vigesimoprimera — Comunicaciones, avisos y notificaciones electrónicas (pág. 359)</w:t>
      </w:r>
    </w:p>
    <w:p>
      <w:pPr>
        <w:pStyle w:val="Heading3"/>
      </w:pPr>
      <w:r>
        <w:t>Lo que promete el contrato</w:t>
      </w:r>
    </w:p>
    <w:p>
      <w:pPr>
        <w:ind w:left="432"/>
      </w:pPr>
      <w:r>
        <w:rPr>
          <w:i/>
          <w:color w:val="555555"/>
          <w:sz w:val="19"/>
        </w:rPr>
        <w:t>La Plataforma web es el sistema central y la fuente oficial; WhatsApp, SMS, correo y la eventual app móvil son canales complementarios conectados al mismo sistema (Parágrafo Quinto, pág. 361).</w:t>
      </w:r>
    </w:p>
    <w:p>
      <w:pPr>
        <w:ind w:left="432"/>
      </w:pPr>
      <w:r>
        <w:rPr>
          <w:i/>
          <w:color w:val="555555"/>
          <w:sz w:val="19"/>
        </w:rPr>
        <w:t>Trazabilidad de comunicaciones relevantes: qué se comunicó, cuándo, por qué canal, a qué destinatario, respecto de cuál operación y bajo qué versión (Parágrafo Primero). La comunicación no sustituye la aceptación expresa (Parágrafo Segundo).</w:t>
      </w:r>
    </w:p>
    <w:p>
      <w:pPr>
        <w:pStyle w:val="Heading3"/>
      </w:pPr>
      <w:r>
        <w:t>Lo que hay en el código</w:t>
      </w:r>
    </w:p>
    <w:p>
      <w:pPr>
        <w:pStyle w:val="ListBullet"/>
      </w:pPr>
      <w:r>
        <w:t>email (SendGridConfig + plantillas), TwilioSmsServiceImpl, NotificationController + Notification + NotificationType, WebSocketConfig / WebSocketEventListener, outbox (OutboxEvent / OutboxStatus) para entrega confiable.</w:t>
      </w:r>
    </w:p>
    <w:p>
      <w:pPr>
        <w:pStyle w:val="Heading3"/>
      </w:pPr>
      <w:r>
        <w:t>Nuevo por implementar</w:t>
      </w:r>
    </w:p>
    <w:p>
      <w:pPr>
        <w:pStyle w:val="ListBullet"/>
      </w:pPr>
      <w:r>
        <w:t>Registro central de comunicaciones relevantes con canal, destinatario, operación asociada, versión de documento/regla y estado de entrega (numeral 21.x). El outbox actual es de eventos, no un “log de comunicaciones con efectos contractuales”.</w:t>
      </w:r>
    </w:p>
    <w:p>
      <w:pPr>
        <w:pStyle w:val="ListBullet"/>
      </w:pPr>
      <w:r>
        <w:t>WhatsApp como canal formal (hoy sólo se registra “disponibilidad de WhatsApp” como dato).</w:t>
      </w:r>
    </w:p>
    <w:p>
      <w:r>
        <w:br w:type="page"/>
      </w:r>
    </w:p>
    <w:p>
      <w:pPr>
        <w:pStyle w:val="Heading2"/>
      </w:pPr>
      <w:r>
        <w:t>Cláusula Vigesimosegunda — Disposiciones finales y contratación electrónica (pág. 365)</w:t>
      </w:r>
    </w:p>
    <w:p>
      <w:pPr>
        <w:pStyle w:val="Heading3"/>
      </w:pPr>
      <w:r>
        <w:t>Lo que promete el contrato</w:t>
      </w:r>
    </w:p>
    <w:p>
      <w:pPr>
        <w:ind w:left="432"/>
      </w:pPr>
      <w:r>
        <w:rPr>
          <w:i/>
          <w:color w:val="555555"/>
          <w:sz w:val="19"/>
        </w:rPr>
        <w:t>Aceptación expresa mediante casilla no premarcada / firma electrónica / autenticación, con evidencia que permita acreditar identidad, consentimiento, integridad del texto, fecha/hora y versión aceptada (numeral 22.x; Hoja Final de Aceptación Electrónica, pág. 379).</w:t>
      </w:r>
    </w:p>
    <w:p>
      <w:pPr>
        <w:pStyle w:val="Heading3"/>
      </w:pPr>
      <w:r>
        <w:t>Lo que hay en el código</w:t>
      </w:r>
    </w:p>
    <w:p>
      <w:pPr>
        <w:pStyle w:val="ListBullet"/>
      </w:pPr>
      <w:r>
        <w:t>ESignatureServiceImpl + ZapSignESignatureProvider + ZapSignWebhook. CommercialContract con esignature_* (envelope, signer, signed_at). LegalDocument / LegalDocumentController para T&amp;C versionados.</w:t>
      </w:r>
    </w:p>
    <w:p>
      <w:pPr>
        <w:pStyle w:val="Heading3"/>
      </w:pPr>
      <w:r>
        <w:t>Nuevo por implementar</w:t>
      </w:r>
    </w:p>
    <w:p>
      <w:pPr>
        <w:pStyle w:val="ListBullet"/>
      </w:pPr>
      <w:r>
        <w:t>Vincular a cada decisión relevante (activación, cambio de condición económica, aceptación de nueva matriz) la evidencia de aceptación y la versión exacta de cada documento aceptado (numeral 22.x, Parágrafo Tercero de la Cláusula XIX).</w:t>
      </w:r>
    </w:p>
    <w:p>
      <w:r>
        <w:br w:type="page"/>
      </w:r>
    </w:p>
    <w:p>
      <w:pPr>
        <w:pStyle w:val="Heading1"/>
      </w:pPr>
      <w:r>
        <w:t>4. Backlog consolidado y priorizado</w:t>
      </w:r>
    </w:p>
    <w:p>
      <w:r>
        <w:rPr>
          <w:b/>
          <w:i w:val="0"/>
        </w:rPr>
        <w:t>Prioridad 1 — Núcleo económico (sin esto el contrato no se puede cumplir):</w:t>
      </w:r>
    </w:p>
    <w:p>
      <w:pPr>
        <w:pStyle w:val="ListBullet"/>
      </w:pPr>
      <w:r>
        <w:rPr>
          <w:b/>
        </w:rPr>
        <w:t xml:space="preserve">P1.1  </w:t>
      </w:r>
      <w:r>
        <w:t>Módulo de Prosperidad: entidades InversionComputable (neto/IVA/tributos), UmbralProsperidad, ProsperityLedger (append-only), y motor Venta Computable → Base Comisionable → Comisión. (Cláusulas II, V 5.7–5.17, X 10.5)</w:t>
      </w:r>
    </w:p>
    <w:p>
      <w:pPr>
        <w:pStyle w:val="ListBullet"/>
      </w:pPr>
      <w:r>
        <w:rPr>
          <w:b/>
        </w:rPr>
        <w:t xml:space="preserve">P1.2  </w:t>
      </w:r>
      <w:r>
        <w:t>Vocación Empresarial Principal (PRODUCTOS/SERVICIOS) + comisión 10 %/15 % con IVA incluido discriminado + reglas gastronómico/hotelero + anti-fragmentación. (Cláusulas I 1.4, IV 4.6, V 5.11–5.15, XI 11.2–11.9)</w:t>
      </w:r>
    </w:p>
    <w:p>
      <w:pPr>
        <w:pStyle w:val="ListBullet"/>
      </w:pPr>
      <w:r>
        <w:rPr>
          <w:b/>
        </w:rPr>
        <w:t xml:space="preserve">P1.3  </w:t>
      </w:r>
      <w:r>
        <w:t>Reemplazar la comisión plana inmediata de PurchaseServiceImpl por comisión sobre Base Comisionable con causación provisional/definitiva. (Cláusula V 5.16, XI 11.13)</w:t>
      </w:r>
    </w:p>
    <w:p>
      <w:pPr>
        <w:pStyle w:val="ListBullet"/>
      </w:pPr>
      <w:r>
        <w:rPr>
          <w:b/>
        </w:rPr>
        <w:t xml:space="preserve">P1.4  </w:t>
      </w:r>
      <w:r>
        <w:t>Matriz económica versionada con bolsas: promocionales generales, Programa de Conectividad, Programa de Fortalecimiento (5 subcuentas), remuneración VERYGANA — ampliar los 3 bolsillos actuales de tesorería. (Cláusula V 5.5.1, VI 6.22)</w:t>
      </w:r>
    </w:p>
    <w:p>
      <w:pPr>
        <w:pStyle w:val="ListBullet"/>
      </w:pPr>
      <w:r>
        <w:rPr>
          <w:b/>
        </w:rPr>
        <w:t xml:space="preserve">P1.5  </w:t>
      </w:r>
      <w:r>
        <w:t>Cupo de Ofertas 3–10 (reemplazar MAX_PRODUCTS=50). (Cláusula VII 7.4.2)</w:t>
      </w:r>
    </w:p>
    <w:p>
      <w:pPr>
        <w:pStyle w:val="ListBullet"/>
      </w:pPr>
      <w:r>
        <w:rPr>
          <w:b/>
        </w:rPr>
        <w:t xml:space="preserve">P1.6  </w:t>
      </w:r>
      <w:r>
        <w:t>Caracterización tributaria (RUT, IVA/INC, facturador electrónico) + alertas de crecimiento en UVT (70/85/95/100 %). (Cláusula V 5.18–5.22)</w:t>
      </w:r>
    </w:p>
    <w:p>
      <w:pPr>
        <w:pStyle w:val="ListBullet"/>
      </w:pPr>
      <w:r>
        <w:rPr>
          <w:b/>
        </w:rPr>
        <w:t xml:space="preserve">P1.7  </w:t>
      </w:r>
      <w:r>
        <w:t>Factura electrónica de VERYGANA por comisión y factura del empresario a VERYGANA en compras institucionales. (Cláusula V 5.16, XI 11.19)</w:t>
      </w:r>
    </w:p>
    <w:p>
      <w:r>
        <w:rPr>
          <w:b/>
          <w:i w:val="0"/>
        </w:rPr>
        <w:t>Prioridad 2 — Promocional y comercial:</w:t>
      </w:r>
    </w:p>
    <w:p>
      <w:pPr>
        <w:pStyle w:val="ListBullet"/>
      </w:pPr>
      <w:r>
        <w:rPr>
          <w:b/>
        </w:rPr>
        <w:t xml:space="preserve">P2.1  </w:t>
      </w:r>
      <w:r>
        <w:t>Bonos Comerciales y Bonos de Desbloqueo: entidades, estados, redención total/parcial, acumulación, cobertura en llaves, patrocinio Premium. (Cláusulas II 2.16–2.17, VII 7.4.2, 7.9.1)</w:t>
      </w:r>
    </w:p>
    <w:p>
      <w:pPr>
        <w:pStyle w:val="ListBullet"/>
      </w:pPr>
      <w:r>
        <w:rPr>
          <w:b/>
        </w:rPr>
        <w:t xml:space="preserve">P2.2  </w:t>
      </w:r>
      <w:r>
        <w:t>Subsistema de Puntos de Progreso: 7 Acciones Calificadas, Puntos de Progreso/Excelencia, escalafón, Oportunidad de Tercera Interacción, puntaje histórico vs. competitivo. (Cláusula VI 6.3)</w:t>
      </w:r>
    </w:p>
    <w:p>
      <w:pPr>
        <w:pStyle w:val="ListBullet"/>
      </w:pPr>
      <w:r>
        <w:rPr>
          <w:b/>
        </w:rPr>
        <w:t xml:space="preserve">P2.3  </w:t>
      </w:r>
      <w:r>
        <w:t>Control de ejecuciones de juego 2 + 1 (3.ª con oportunidad, 4.ª prohibida) y juegos habilitables = ENTERO(InvComp/1.000.000)×2. (Cláusula VI 6.2–6.3, V 5.4)</w:t>
      </w:r>
    </w:p>
    <w:p>
      <w:pPr>
        <w:pStyle w:val="ListBullet"/>
      </w:pPr>
      <w:r>
        <w:rPr>
          <w:b/>
        </w:rPr>
        <w:t xml:space="preserve">P2.4  </w:t>
      </w:r>
      <w:r>
        <w:t>Encuesta Calificada de Dedicación Sustancial y régimen de reconocimiento independiente. (Cláusula VI 6.3.1.7, 6.11–6.12)</w:t>
      </w:r>
    </w:p>
    <w:p>
      <w:pPr>
        <w:pStyle w:val="ListBullet"/>
      </w:pPr>
      <w:r>
        <w:rPr>
          <w:b/>
        </w:rPr>
        <w:t xml:space="preserve">P2.5  </w:t>
      </w:r>
      <w:r>
        <w:t>Reconocimiento de banners/videos por tiempo efectivo (16 llaves/60 s, 2/3/4 visualizaciones, consumo máximo proyectado). (Cláusula VI 6.7–6.10)</w:t>
      </w:r>
    </w:p>
    <w:p>
      <w:pPr>
        <w:pStyle w:val="ListBullet"/>
      </w:pPr>
      <w:r>
        <w:rPr>
          <w:b/>
        </w:rPr>
        <w:t xml:space="preserve">P2.6  </w:t>
      </w:r>
      <w:r>
        <w:t>Cobertura con Llaves 50 % ordinario / 70 % promo especial (reemplazar maxKeysPct 20/35/50) y quitar el valor fijo 1 llave = $10. (Cláusulas VI 6.22.8, VII 7.9)</w:t>
      </w:r>
    </w:p>
    <w:p>
      <w:pPr>
        <w:pStyle w:val="ListBullet"/>
      </w:pPr>
      <w:r>
        <w:rPr>
          <w:b/>
        </w:rPr>
        <w:t xml:space="preserve">P2.7  </w:t>
      </w:r>
      <w:r>
        <w:t>Programa de Fortalecimiento: flujo “Compra de VERYGANA para reconocimiento gratuito” + reconocimientos por mérito. (Cláusulas III 3.14, VI 6.22.6/6.22.9, VII 7.9.3)</w:t>
      </w:r>
    </w:p>
    <w:p>
      <w:pPr>
        <w:pStyle w:val="ListBullet"/>
      </w:pPr>
      <w:r>
        <w:rPr>
          <w:b/>
        </w:rPr>
        <w:t xml:space="preserve">P2.8  </w:t>
      </w:r>
      <w:r>
        <w:t>Componente Patrocinado / Beneficio Premium Patrocinado Gratuito con inventario y trazabilidad separados. (Cláusula IX 9.11–9.15)</w:t>
      </w:r>
    </w:p>
    <w:p>
      <w:pPr>
        <w:pStyle w:val="ListBullet"/>
      </w:pPr>
      <w:r>
        <w:rPr>
          <w:b/>
        </w:rPr>
        <w:t xml:space="preserve">P2.9  </w:t>
      </w:r>
      <w:r>
        <w:t>Código Único de Recomendación Empresarial + reconocimiento por vinculación efectiva. (Cláusula IX 9.4–9.8)</w:t>
      </w:r>
    </w:p>
    <w:p>
      <w:pPr>
        <w:pStyle w:val="ListBullet"/>
      </w:pPr>
      <w:r>
        <w:rPr>
          <w:b/>
        </w:rPr>
        <w:t xml:space="preserve">P2.10  </w:t>
      </w:r>
      <w:r>
        <w:t>Ruleta Promocional Excepcional (solicitud, documentación, licencia temporal). (Cláusula VI 6.5)</w:t>
      </w:r>
    </w:p>
    <w:p>
      <w:pPr>
        <w:pStyle w:val="ListBullet"/>
      </w:pPr>
      <w:r>
        <w:rPr>
          <w:b/>
        </w:rPr>
        <w:t xml:space="preserve">P2.11  </w:t>
      </w:r>
      <w:r>
        <w:t>Programa de Conectividad real (operador, causación/vencimiento de llaves de conectividad). (Cláusula VI 6.22.5)</w:t>
      </w:r>
    </w:p>
    <w:p>
      <w:r>
        <w:rPr>
          <w:b/>
          <w:i w:val="0"/>
        </w:rPr>
        <w:t>Prioridad 3 — Estados, trazabilidad y cumplimiento:</w:t>
      </w:r>
    </w:p>
    <w:p>
      <w:pPr>
        <w:pStyle w:val="ListBullet"/>
      </w:pPr>
      <w:r>
        <w:rPr>
          <w:b/>
        </w:rPr>
        <w:t xml:space="preserve">P3.1  </w:t>
      </w:r>
      <w:r>
        <w:t>Máquina de estados empresariales completa (12 estados) + Estado de Continuidad con niveles + Suspensión Preventiva + Activo con restricciones. (Cláusulas IV 4.17–4.19, XII 12.10–12.20)</w:t>
      </w:r>
    </w:p>
    <w:p>
      <w:pPr>
        <w:pStyle w:val="ListBullet"/>
      </w:pPr>
      <w:r>
        <w:rPr>
          <w:b/>
        </w:rPr>
        <w:t xml:space="preserve">P3.2  </w:t>
      </w:r>
      <w:r>
        <w:t>Máquina de estados de la operación en 4 dimensiones (orden/pago/cumplimiento/reclamación) + Compra Válida provisional/consolidada + composición económica separada + idempotencia transversal. (Cláusula VII 7.10.1, 7.14, 7.15, 7.25)</w:t>
      </w:r>
    </w:p>
    <w:p>
      <w:pPr>
        <w:pStyle w:val="ListBullet"/>
      </w:pPr>
      <w:r>
        <w:rPr>
          <w:b/>
        </w:rPr>
        <w:t xml:space="preserve">P3.3  </w:t>
      </w:r>
      <w:r>
        <w:t>Medidas graduales por incumplimiento (restricción parcial → suspensión preventiva → contractual → terminación) con causales concurrentes independientes. (Cláusula XIV 14.2–14.15)</w:t>
      </w:r>
    </w:p>
    <w:p>
      <w:pPr>
        <w:pStyle w:val="ListBullet"/>
      </w:pPr>
      <w:r>
        <w:rPr>
          <w:b/>
        </w:rPr>
        <w:t xml:space="preserve">P3.4  </w:t>
      </w:r>
      <w:r>
        <w:t>Ajuste integral posventa sobre Prosperidad y Puntos al reembolsar; figuras posventa tipificadas (retracto, reversión del pago). (Cláusula XV 15.7–15.16)</w:t>
      </w:r>
    </w:p>
    <w:p>
      <w:pPr>
        <w:pStyle w:val="ListBullet"/>
      </w:pPr>
      <w:r>
        <w:rPr>
          <w:b/>
        </w:rPr>
        <w:t xml:space="preserve">P3.5  </w:t>
      </w:r>
      <w:r>
        <w:t>Panel económico del empresario del numeral 10.23 (ampliar el CommercialDashboard actual). (Cláusula IV 4.24, X 10.23)</w:t>
      </w:r>
    </w:p>
    <w:p>
      <w:pPr>
        <w:pStyle w:val="ListBullet"/>
      </w:pPr>
      <w:r>
        <w:rPr>
          <w:b/>
        </w:rPr>
        <w:t xml:space="preserve">P3.6  </w:t>
      </w:r>
      <w:r>
        <w:t>Banco de Recursos Publicitarios unificado con titularidad/autorización/versión/vigencia. (Cláusula XVII 17.7)</w:t>
      </w:r>
    </w:p>
    <w:p>
      <w:pPr>
        <w:pStyle w:val="ListBullet"/>
      </w:pPr>
      <w:r>
        <w:rPr>
          <w:b/>
        </w:rPr>
        <w:t xml:space="preserve">P3.7  </w:t>
      </w:r>
      <w:r>
        <w:t>Registro central de comunicaciones relevantes multicanal + WhatsApp formal. (Cláusula XXI)</w:t>
      </w:r>
    </w:p>
    <w:p>
      <w:pPr>
        <w:pStyle w:val="ListBullet"/>
      </w:pPr>
      <w:r>
        <w:rPr>
          <w:b/>
        </w:rPr>
        <w:t xml:space="preserve">P3.8  </w:t>
      </w:r>
      <w:r>
        <w:t>SGSI de fraude por dominio: alertas tipificadas, falsos positivos, cadena de custodia de Evidencia Digital. (Cláusula XIII 13.2–13.25)</w:t>
      </w:r>
    </w:p>
    <w:p>
      <w:pPr>
        <w:pStyle w:val="ListBullet"/>
      </w:pPr>
      <w:r>
        <w:rPr>
          <w:b/>
        </w:rPr>
        <w:t xml:space="preserve">P3.9  </w:t>
      </w:r>
      <w:r>
        <w:t>Versionamiento contractual con aceptación de cambios relevantes y bitácora de parametrización del numeral 2.53. (Cláusula XIX)</w:t>
      </w:r>
    </w:p>
    <w:p>
      <w:pPr>
        <w:pStyle w:val="ListBullet"/>
      </w:pPr>
      <w:r>
        <w:rPr>
          <w:b/>
        </w:rPr>
        <w:t xml:space="preserve">P3.10  </w:t>
      </w:r>
      <w:r>
        <w:t>Retiro voluntario (acceso limitado para cierre) y cambio de titularidad con revisión. (Cláusula XX)</w:t>
      </w:r>
    </w:p>
    <w:p/>
    <w:p>
      <w:r>
        <w:rPr>
          <w:b/>
          <w:i w:val="0"/>
        </w:rPr>
        <w:t>Nota sobre nomenclatura de citas</w:t>
      </w:r>
    </w:p>
    <w:p>
      <w:r>
        <w:rPr>
          <w:b w:val="0"/>
          <w:i w:val="0"/>
          <w:sz w:val="18"/>
        </w:rPr>
        <w:t>Las páginas citadas corresponden al PDF “Contrato tipo B.pdf” (381 páginas). Los numerales (p. ej. 5.7, 7.4.2) son estables entre el contrato y la guía de programación. Cuando se cita la GUÍA DE PROGRAMACIÓN se usa el mismo numeral seguido de la sección interna (A. Macroproceso, D. Datos obligatorios, E. Reglas/fórmulas, F. Controles y alertas, H. Pruebas mínimas obligatorias).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