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DOCUMENTO MAESTRO DE MACROPROCESOS</w:t>
        <w:br/>
        <w:t>GRANDES IMPLEMENTACIONES PENDIENTES — ECOSISTEMA VERYGANA</w:t>
      </w:r>
    </w:p>
    <w:p/>
    <w:p>
      <w:pPr>
        <w:jc w:val="center"/>
      </w:pPr>
      <w:r>
        <w:rPr>
          <w:i/>
          <w:sz w:val="22"/>
        </w:rPr>
        <w:t>Macroprocesos nuevos y por pulir, agrupados, priorizados y estimados para asignación a desarrolladores</w:t>
      </w:r>
    </w:p>
    <w:p/>
    <w:p>
      <w:r>
        <w:rPr>
          <w:b w:val="0"/>
          <w:i w:val="0"/>
          <w:sz w:val="18"/>
        </w:rPr>
        <w:t>Versión 1.2 — 12 de septiembre de 2026</w:t>
      </w:r>
    </w:p>
    <w:p>
      <w:r>
        <w:rPr>
          <w:b w:val="0"/>
          <w:i w:val="0"/>
          <w:sz w:val="18"/>
        </w:rPr>
        <w:t>Alcance de esta versión: CONTRATO PARTICULAR DE VINCULACIÓN EMPRESARIAL — EMPRESA TIPO B (= plan STANDARD), TÉRMINOS Y CONDICIONES PARA USUARIOS (Consumidor) y CONTRATO PARTICULAR DE VINCULACIÓN EMPRESARIAL — EMPRESA TIPO A (= plan BASIC). MP-01 a MP-36: Contrato B / Empresario. MP-37 a MP-49: Términos y Condiciones del Usuario / Consumidor. MP-50 en adelante: Contrato A / Empresario BASIC.</w:t>
      </w:r>
    </w:p>
    <w:p>
      <w:r>
        <w:rPr>
          <w:b w:val="0"/>
          <w:i/>
          <w:sz w:val="18"/>
        </w:rPr>
        <w:t>Este documento está diseñado para crecer: cuando entren los contratos de EMPRESA PREMIUM, Aliados Estratégicos, Política de Tratamiento de Datos, etc., se agregan filas/macroprocesos sin reorganizar los existentes.</w:t>
      </w:r>
    </w:p>
    <w:p/>
    <w:p>
      <w:r>
        <w:rPr>
          <w:b/>
          <w:i w:val="0"/>
        </w:rPr>
        <w:t>Documentos fuente:</w:t>
      </w:r>
    </w:p>
    <w:p>
      <w:pPr>
        <w:pStyle w:val="ListBullet"/>
      </w:pPr>
      <w:r>
        <w:t>“CONTRATO TIPO B”, Versión 3 (PDF 381 pág.). Citas: Cláusula X, numeral Y, pág. Z. Fuente de MP-01 a MP-36.</w:t>
      </w:r>
    </w:p>
    <w:p>
      <w:pPr>
        <w:pStyle w:val="ListBullet"/>
      </w:pPr>
      <w:r>
        <w:t>“GUÍA DE PROGRAMACIÓN” (Manual Técnico para Programadores del Contrato B, PDF 681 pág.). Da, por cada numeral, su A. Macroproceso / B. Proceso / C. Microprocesos / D. Datos obligatorios / E. Reglas y fórmulas / F. Controles y alertas / H. Pruebas mínimas obligatorias. Citas: GUÍA numeral Y. Fuente de MP-01 a MP-36.</w:t>
      </w:r>
    </w:p>
    <w:p>
      <w:pPr>
        <w:pStyle w:val="ListBullet"/>
      </w:pPr>
      <w:r>
        <w:t>“Analisis Contrato Tipo B vs Sistema Actual.docx” (análisis cláusula por cláusula previo, en la raíz del repo) — de ahí sale la columna “Qué existe hoy” de MP-01 a MP-36.</w:t>
      </w:r>
    </w:p>
    <w:p>
      <w:pPr>
        <w:pStyle w:val="ListBullet"/>
      </w:pPr>
      <w:r>
        <w:t>“TÉRMINOS Y CONDICIONES PARA USUARIOS” VERYGANA, Versión 1 (septiembre de 2026; vigencia octubre de 2026). Documento legal para el Usuario/Consumidor. Citas: TÉRMINOS USUARIO numeral X.Y. Fuente de MP-37 en adelante.</w:t>
      </w:r>
    </w:p>
    <w:p>
      <w:pPr>
        <w:pStyle w:val="ListBullet"/>
      </w:pPr>
      <w:r>
        <w:t>“MANUAL DE PROGRAMACIÓN — TÉRMINOS Y CONDICIONES DEL USUARIO” (guía técnica de programación asociada al documento anterior, Versión 1, misma numeración numeral a numeral). Da, por cada numeral, su objetivo técnico, qué debe programarse, flujo técnico y microprocesos, datos/estados/reglas obligatorias, controles/validaciones/alertas, ejemplo/fórmula y pruebas positivas/negativas/de ruptura. Citas: GUÍA T&amp;C USUARIO numeral X.Y. Fuente de MP-37 en adelante.</w:t>
      </w:r>
    </w:p>
    <w:p>
      <w:r>
        <w:br w:type="page"/>
      </w:r>
    </w:p>
    <w:p>
      <w:pPr>
        <w:pStyle w:val="ListBullet"/>
      </w:pPr>
      <w:r>
        <w:t>“CONTRATO PARTICULAR DE VINCULACIÓN EMPRESARIAL — MODALIDAD EMPRESA TIPO A”, VERYGANA, Versión 1 (PDF, incluye Hoja Final de Aceptación Electrónica; vigencia octubre de 2026). Documento legal para EL EMPRESARIO bajo el plan BASIC. Citas: Contrato A, Cláusula X, numeral Y (pág. Z) / HOJA FINAL, sección N. Fuente de MP-50 en adelante. Esta ronda no vino acompañada de una guía de programación propia — la columna “Qué existe hoy” de MP-50 a MP-54 surge de comparación directa contra el código del repositorio, con el mismo método que “Analisis Contrato Tipo B vs Sistema Actual.docx”.</w:t>
      </w:r>
    </w:p>
    <w:p>
      <w:pPr>
        <w:pStyle w:val="Heading1"/>
      </w:pPr>
      <w:r>
        <w:t>1. Cómo leer este documento</w:t>
      </w:r>
    </w:p>
    <w:p>
      <w:r>
        <w:rPr>
          <w:b w:val="0"/>
          <w:i w:val="0"/>
        </w:rPr>
        <w:t>Cada macroproceso maestro (MP-NN) agrupa varios numerales de una o más cláusulas que comparten un mismo objetivo funcional y pueden entregarse como una unidad de trabajo asignable a un desarrollador (o a una dupla).</w:t>
      </w:r>
    </w:p>
    <w:p>
      <w:r>
        <w:rPr>
          <w:b/>
          <w:i w:val="0"/>
        </w:rPr>
        <w:t>Campos de cada macroproceso:</w:t>
      </w:r>
    </w:p>
    <w:p>
      <w:pPr>
        <w:pStyle w:val="ListBullet"/>
      </w:pPr>
      <w:r>
        <w:rPr>
          <w:b/>
        </w:rPr>
        <w:t xml:space="preserve">Objetivo. </w:t>
      </w:r>
      <w:r>
        <w:t>Objetivo — qué debe quedar funcionando cuando el MP esté terminado.</w:t>
      </w:r>
    </w:p>
    <w:p>
      <w:pPr>
        <w:pStyle w:val="ListBullet"/>
      </w:pPr>
      <w:r>
        <w:rPr>
          <w:b/>
        </w:rPr>
        <w:t xml:space="preserve">Numerales cubiertos. </w:t>
      </w:r>
      <w:r>
        <w:t>Numerales cubiertos — del contrato y de la guía de programación (con página del contrato).</w:t>
      </w:r>
    </w:p>
    <w:p>
      <w:pPr>
        <w:pStyle w:val="ListBullet"/>
      </w:pPr>
      <w:r>
        <w:rPr>
          <w:b/>
        </w:rPr>
        <w:t xml:space="preserve">Qué existe hoy. </w:t>
      </w:r>
      <w:r>
        <w:t>Qué existe hoy — clases/paquetes del repo que ya cubren parte, y qué les falta.</w:t>
      </w:r>
    </w:p>
    <w:p>
      <w:pPr>
        <w:pStyle w:val="ListBullet"/>
      </w:pPr>
      <w:r>
        <w:rPr>
          <w:b/>
        </w:rPr>
        <w:t xml:space="preserve">Entregables. </w:t>
      </w:r>
      <w:r>
        <w:t>Entregables — lista concreta de lo que hay que construir o modificar.</w:t>
      </w:r>
    </w:p>
    <w:p>
      <w:pPr>
        <w:pStyle w:val="ListBullet"/>
      </w:pPr>
      <w:r>
        <w:rPr>
          <w:b/>
        </w:rPr>
        <w:t xml:space="preserve">Criterios de aceptación. </w:t>
      </w:r>
      <w:r>
        <w:t>Criterios de aceptación — las pruebas mínimas obligatorias de la guía, resumidas.</w:t>
      </w:r>
    </w:p>
    <w:p>
      <w:pPr>
        <w:pStyle w:val="ListBullet"/>
      </w:pPr>
      <w:r>
        <w:rPr>
          <w:b/>
        </w:rPr>
        <w:t xml:space="preserve">Dependencias. </w:t>
      </w:r>
      <w:r>
        <w:t>Dependencias — otros MP que deben estar (al menos) iniciados antes.</w:t>
      </w:r>
    </w:p>
    <w:p>
      <w:pPr>
        <w:pStyle w:val="ListBullet"/>
      </w:pPr>
      <w:r>
        <w:rPr>
          <w:b/>
        </w:rPr>
        <w:t xml:space="preserve">Estimación. </w:t>
      </w:r>
      <w:r>
        <w:t>Estimación — semanas‑desarrollador asumiendo 1 persona a 4 h/día efectivas (~20 h/semana). Complejidad: Baja / Media / Alta / Muy alta.</w:t>
      </w:r>
    </w:p>
    <w:p>
      <w:r>
        <w:rPr>
          <w:b/>
          <w:i w:val="0"/>
        </w:rPr>
        <w:t>Nota sobre las estimaciones</w:t>
      </w:r>
    </w:p>
    <w:p>
      <w:r>
        <w:rPr>
          <w:b w:val="0"/>
          <w:i/>
          <w:sz w:val="19"/>
        </w:rPr>
        <w:t>La semana‑desarrollador equivale a 20 horas efectivas (4 h/día × 5 días). Las estimaciones incluyen diseño, implementación, migraciones de BD, pruebas unitarias e integración, y revisión de PR; NO incluyen QA manual extendido, despliegue ni retrabajo por cambios de alcance. Los MP marcados “Muy alta” conviene asignarlos a un desarrollador senior o dividirlos en dos.</w:t>
      </w:r>
    </w:p>
    <w:p>
      <w:r>
        <w:rPr>
          <w:b/>
          <w:i w:val="0"/>
        </w:rPr>
        <w:t>Prioridades</w:t>
      </w:r>
    </w:p>
    <w:p>
      <w:pPr>
        <w:pStyle w:val="ListBullet"/>
      </w:pPr>
      <w:r>
        <w:t>P1 — Núcleo económico. Sin esto el Contrato B no se puede cumplir y bloquea a casi todos los demás MP.</w:t>
      </w:r>
    </w:p>
    <w:p>
      <w:pPr>
        <w:pStyle w:val="ListBullet"/>
      </w:pPr>
      <w:r>
        <w:t>P2 — Oferta comercial y herramientas promocionales. Depende del núcleo P1.</w:t>
      </w:r>
    </w:p>
    <w:p>
      <w:pPr>
        <w:pStyle w:val="ListBullet"/>
      </w:pPr>
      <w:r>
        <w:t>P3 — Ciclo de vida, cumplimiento, gobierno y transversales. Puede avanzar en paralelo con P2 en varios frentes.</w:t>
      </w:r>
    </w:p>
    <w:p>
      <w:r>
        <w:br w:type="page"/>
      </w:r>
    </w:p>
    <w:p>
      <w:pPr>
        <w:pStyle w:val="Heading1"/>
      </w:pPr>
      <w:r>
        <w:t>2. Tabla maestra de macroprocesos</w:t>
      </w:r>
    </w:p>
    <w:p>
      <w:r>
        <w:rPr>
          <w:b w:val="0"/>
          <w:i/>
          <w:sz w:val="18"/>
        </w:rPr>
        <w:t>Ordenada por prioridad y por dependencias. “Sem.” = semanas‑desarrollador (1 persona, 4 h/día).</w:t>
      </w:r>
    </w:p>
    <w:tbl>
      <w:tblPr>
        <w:tblStyle w:val="LightGrid-Accent1"/>
        <w:tblW w:type="auto" w:w="0"/>
        <w:jc w:val="center"/>
        <w:tblLook w:firstColumn="1" w:firstRow="1" w:lastColumn="0" w:lastRow="0" w:noHBand="0" w:noVBand="1" w:val="04A0"/>
      </w:tblPr>
      <w:tblGrid>
        <w:gridCol w:w="1530"/>
        <w:gridCol w:w="1530"/>
        <w:gridCol w:w="1530"/>
        <w:gridCol w:w="1530"/>
        <w:gridCol w:w="1530"/>
        <w:gridCol w:w="1530"/>
        <w:gridCol w:w="1530"/>
        <w:gridCol w:w="1530"/>
      </w:tblGrid>
      <w:tr>
        <w:tc>
          <w:tcPr>
            <w:tcW w:type="dxa" w:w="792"/>
          </w:tcPr>
          <w:p>
            <w:r/>
            <w:r>
              <w:rPr>
                <w:b/>
                <w:sz w:val="15"/>
              </w:rPr>
              <w:t>ID</w:t>
            </w:r>
          </w:p>
        </w:tc>
        <w:tc>
          <w:tcPr>
            <w:tcW w:type="dxa" w:w="5040"/>
          </w:tcPr>
          <w:p>
            <w:r/>
            <w:r>
              <w:rPr>
                <w:b/>
                <w:sz w:val="15"/>
              </w:rPr>
              <w:t>Macroproceso</w:t>
            </w:r>
          </w:p>
        </w:tc>
        <w:tc>
          <w:tcPr>
            <w:tcW w:type="dxa" w:w="864"/>
          </w:tcPr>
          <w:p>
            <w:r/>
            <w:r>
              <w:rPr>
                <w:b/>
                <w:sz w:val="15"/>
              </w:rPr>
              <w:t>Fase</w:t>
            </w:r>
          </w:p>
        </w:tc>
        <w:tc>
          <w:tcPr>
            <w:tcW w:type="dxa" w:w="648"/>
          </w:tcPr>
          <w:p>
            <w:r/>
            <w:r>
              <w:rPr>
                <w:b/>
                <w:sz w:val="15"/>
              </w:rPr>
              <w:t>Prio</w:t>
            </w:r>
          </w:p>
        </w:tc>
        <w:tc>
          <w:tcPr>
            <w:tcW w:type="dxa" w:w="648"/>
          </w:tcPr>
          <w:p>
            <w:r/>
            <w:r>
              <w:rPr>
                <w:b/>
                <w:sz w:val="15"/>
              </w:rPr>
              <w:t>Sem.</w:t>
            </w:r>
          </w:p>
        </w:tc>
        <w:tc>
          <w:tcPr>
            <w:tcW w:type="dxa" w:w="1008"/>
          </w:tcPr>
          <w:p>
            <w:r/>
            <w:r>
              <w:rPr>
                <w:b/>
                <w:sz w:val="15"/>
              </w:rPr>
              <w:t>Compl.</w:t>
            </w:r>
          </w:p>
        </w:tc>
        <w:tc>
          <w:tcPr>
            <w:tcW w:type="dxa" w:w="1368"/>
          </w:tcPr>
          <w:p>
            <w:r/>
            <w:r>
              <w:rPr>
                <w:b/>
                <w:sz w:val="15"/>
              </w:rPr>
              <w:t>Estado</w:t>
            </w:r>
          </w:p>
        </w:tc>
        <w:tc>
          <w:tcPr>
            <w:tcW w:type="dxa" w:w="2304"/>
          </w:tcPr>
          <w:p>
            <w:r/>
            <w:r>
              <w:rPr>
                <w:b/>
                <w:sz w:val="15"/>
              </w:rPr>
              <w:t>Depende de</w:t>
            </w:r>
          </w:p>
        </w:tc>
      </w:tr>
      <w:tr>
        <w:tc>
          <w:tcPr>
            <w:tcW w:type="dxa" w:w="792"/>
          </w:tcPr>
          <w:p>
            <w:r/>
            <w:r>
              <w:rPr>
                <w:sz w:val="15"/>
              </w:rPr>
              <w:t>MP-01</w:t>
            </w:r>
          </w:p>
        </w:tc>
        <w:tc>
          <w:tcPr>
            <w:tcW w:type="dxa" w:w="5040"/>
          </w:tcPr>
          <w:p>
            <w:r/>
            <w:r>
              <w:rPr>
                <w:sz w:val="15"/>
              </w:rPr>
              <w:t>Registro, identidad y expediente único del empresario Tipo B</w:t>
            </w:r>
          </w:p>
        </w:tc>
        <w:tc>
          <w:tcPr>
            <w:tcW w:type="dxa" w:w="864"/>
          </w:tcPr>
          <w:p>
            <w:r/>
            <w:r>
              <w:rPr>
                <w:sz w:val="15"/>
              </w:rPr>
              <w:t>Fase 1</w:t>
            </w:r>
          </w:p>
        </w:tc>
        <w:tc>
          <w:tcPr>
            <w:tcW w:type="dxa" w:w="648"/>
          </w:tcPr>
          <w:p>
            <w:r/>
            <w:r>
              <w:rPr>
                <w:sz w:val="15"/>
              </w:rPr>
              <w:t>P1</w:t>
            </w:r>
          </w:p>
        </w:tc>
        <w:tc>
          <w:tcPr>
            <w:tcW w:type="dxa" w:w="648"/>
          </w:tcPr>
          <w:p>
            <w:r/>
            <w:r>
              <w:rPr>
                <w:sz w:val="15"/>
              </w:rPr>
              <w:t>3</w:t>
            </w:r>
          </w:p>
        </w:tc>
        <w:tc>
          <w:tcPr>
            <w:tcW w:type="dxa" w:w="1008"/>
          </w:tcPr>
          <w:p>
            <w:r/>
            <w:r>
              <w:rPr>
                <w:sz w:val="15"/>
              </w:rPr>
              <w:t>Media</w:t>
            </w:r>
          </w:p>
        </w:tc>
        <w:tc>
          <w:tcPr>
            <w:tcW w:type="dxa" w:w="1368"/>
          </w:tcPr>
          <w:p>
            <w:r/>
            <w:r>
              <w:rPr>
                <w:sz w:val="15"/>
              </w:rPr>
              <w:t>Pulir</w:t>
            </w:r>
          </w:p>
        </w:tc>
        <w:tc>
          <w:tcPr>
            <w:tcW w:type="dxa" w:w="2304"/>
          </w:tcPr>
          <w:p>
            <w:r/>
            <w:r>
              <w:rPr>
                <w:sz w:val="15"/>
              </w:rPr>
              <w:t>—</w:t>
            </w:r>
          </w:p>
        </w:tc>
      </w:tr>
      <w:tr>
        <w:tc>
          <w:tcPr>
            <w:tcW w:type="dxa" w:w="792"/>
          </w:tcPr>
          <w:p>
            <w:r/>
            <w:r>
              <w:rPr>
                <w:sz w:val="15"/>
              </w:rPr>
              <w:t>MP-02</w:t>
            </w:r>
          </w:p>
        </w:tc>
        <w:tc>
          <w:tcPr>
            <w:tcW w:type="dxa" w:w="5040"/>
          </w:tcPr>
          <w:p>
            <w:r/>
            <w:r>
              <w:rPr>
                <w:sz w:val="15"/>
              </w:rPr>
              <w:t>Vocación Empresarial Principal y clasificación comercial de operaciones</w:t>
            </w:r>
          </w:p>
        </w:tc>
        <w:tc>
          <w:tcPr>
            <w:tcW w:type="dxa" w:w="864"/>
          </w:tcPr>
          <w:p>
            <w:r/>
            <w:r>
              <w:rPr>
                <w:sz w:val="15"/>
              </w:rPr>
              <w:t>Fase 1</w:t>
            </w:r>
          </w:p>
        </w:tc>
        <w:tc>
          <w:tcPr>
            <w:tcW w:type="dxa" w:w="648"/>
          </w:tcPr>
          <w:p>
            <w:r/>
            <w:r>
              <w:rPr>
                <w:sz w:val="15"/>
              </w:rPr>
              <w:t>P1</w:t>
            </w:r>
          </w:p>
        </w:tc>
        <w:tc>
          <w:tcPr>
            <w:tcW w:type="dxa" w:w="648"/>
          </w:tcPr>
          <w:p>
            <w:r/>
            <w:r>
              <w:rPr>
                <w:sz w:val="15"/>
              </w:rPr>
              <w:t>3</w:t>
            </w:r>
          </w:p>
        </w:tc>
        <w:tc>
          <w:tcPr>
            <w:tcW w:type="dxa" w:w="1008"/>
          </w:tcPr>
          <w:p>
            <w:r/>
            <w:r>
              <w:rPr>
                <w:sz w:val="15"/>
              </w:rPr>
              <w:t>Alta</w:t>
            </w:r>
          </w:p>
        </w:tc>
        <w:tc>
          <w:tcPr>
            <w:tcW w:type="dxa" w:w="1368"/>
          </w:tcPr>
          <w:p>
            <w:r/>
            <w:r>
              <w:rPr>
                <w:sz w:val="15"/>
              </w:rPr>
              <w:t>Nuevo</w:t>
            </w:r>
          </w:p>
        </w:tc>
        <w:tc>
          <w:tcPr>
            <w:tcW w:type="dxa" w:w="2304"/>
          </w:tcPr>
          <w:p>
            <w:r/>
            <w:r>
              <w:rPr>
                <w:sz w:val="15"/>
              </w:rPr>
              <w:t>MP-01</w:t>
            </w:r>
          </w:p>
        </w:tc>
      </w:tr>
      <w:tr>
        <w:tc>
          <w:tcPr>
            <w:tcW w:type="dxa" w:w="792"/>
          </w:tcPr>
          <w:p>
            <w:r/>
            <w:r>
              <w:rPr>
                <w:sz w:val="15"/>
              </w:rPr>
              <w:t>MP-03</w:t>
            </w:r>
          </w:p>
        </w:tc>
        <w:tc>
          <w:tcPr>
            <w:tcW w:type="dxa" w:w="5040"/>
          </w:tcPr>
          <w:p>
            <w:r/>
            <w:r>
              <w:rPr>
                <w:sz w:val="15"/>
              </w:rPr>
              <w:t>Caracterización tributaria y alertas de crecimiento (UVT)</w:t>
            </w:r>
          </w:p>
        </w:tc>
        <w:tc>
          <w:tcPr>
            <w:tcW w:type="dxa" w:w="864"/>
          </w:tcPr>
          <w:p>
            <w:r/>
            <w:r>
              <w:rPr>
                <w:sz w:val="15"/>
              </w:rPr>
              <w:t>Fase 1</w:t>
            </w:r>
          </w:p>
        </w:tc>
        <w:tc>
          <w:tcPr>
            <w:tcW w:type="dxa" w:w="648"/>
          </w:tcPr>
          <w:p>
            <w:r/>
            <w:r>
              <w:rPr>
                <w:sz w:val="15"/>
              </w:rPr>
              <w:t>P1</w:t>
            </w:r>
          </w:p>
        </w:tc>
        <w:tc>
          <w:tcPr>
            <w:tcW w:type="dxa" w:w="648"/>
          </w:tcPr>
          <w:p>
            <w:r/>
            <w:r>
              <w:rPr>
                <w:sz w:val="15"/>
              </w:rPr>
              <w:t>2.5</w:t>
            </w:r>
          </w:p>
        </w:tc>
        <w:tc>
          <w:tcPr>
            <w:tcW w:type="dxa" w:w="1008"/>
          </w:tcPr>
          <w:p>
            <w:r/>
            <w:r>
              <w:rPr>
                <w:sz w:val="15"/>
              </w:rPr>
              <w:t>Media</w:t>
            </w:r>
          </w:p>
        </w:tc>
        <w:tc>
          <w:tcPr>
            <w:tcW w:type="dxa" w:w="1368"/>
          </w:tcPr>
          <w:p>
            <w:r/>
            <w:r>
              <w:rPr>
                <w:sz w:val="15"/>
              </w:rPr>
              <w:t>Nuevo</w:t>
            </w:r>
          </w:p>
        </w:tc>
        <w:tc>
          <w:tcPr>
            <w:tcW w:type="dxa" w:w="2304"/>
          </w:tcPr>
          <w:p>
            <w:r/>
            <w:r>
              <w:rPr>
                <w:sz w:val="15"/>
              </w:rPr>
              <w:t>MP-01</w:t>
            </w:r>
          </w:p>
        </w:tc>
      </w:tr>
      <w:tr>
        <w:tc>
          <w:tcPr>
            <w:tcW w:type="dxa" w:w="792"/>
          </w:tcPr>
          <w:p>
            <w:r/>
            <w:r>
              <w:rPr>
                <w:sz w:val="15"/>
              </w:rPr>
              <w:t>MP-04</w:t>
            </w:r>
          </w:p>
        </w:tc>
        <w:tc>
          <w:tcPr>
            <w:tcW w:type="dxa" w:w="5040"/>
          </w:tcPr>
          <w:p>
            <w:r/>
            <w:r>
              <w:rPr>
                <w:sz w:val="15"/>
              </w:rPr>
              <w:t>Inversión Computable, Período de Inversión y Matriz Económica (distribución funcional)</w:t>
            </w:r>
          </w:p>
        </w:tc>
        <w:tc>
          <w:tcPr>
            <w:tcW w:type="dxa" w:w="864"/>
          </w:tcPr>
          <w:p>
            <w:r/>
            <w:r>
              <w:rPr>
                <w:sz w:val="15"/>
              </w:rPr>
              <w:t>Fase 1</w:t>
            </w:r>
          </w:p>
        </w:tc>
        <w:tc>
          <w:tcPr>
            <w:tcW w:type="dxa" w:w="648"/>
          </w:tcPr>
          <w:p>
            <w:r/>
            <w:r>
              <w:rPr>
                <w:sz w:val="15"/>
              </w:rPr>
              <w:t>P1</w:t>
            </w:r>
          </w:p>
        </w:tc>
        <w:tc>
          <w:tcPr>
            <w:tcW w:type="dxa" w:w="648"/>
          </w:tcPr>
          <w:p>
            <w:r/>
            <w:r>
              <w:rPr>
                <w:sz w:val="15"/>
              </w:rPr>
              <w:t>4</w:t>
            </w:r>
          </w:p>
        </w:tc>
        <w:tc>
          <w:tcPr>
            <w:tcW w:type="dxa" w:w="1008"/>
          </w:tcPr>
          <w:p>
            <w:r/>
            <w:r>
              <w:rPr>
                <w:sz w:val="15"/>
              </w:rPr>
              <w:t>Alta</w:t>
            </w:r>
          </w:p>
        </w:tc>
        <w:tc>
          <w:tcPr>
            <w:tcW w:type="dxa" w:w="1368"/>
          </w:tcPr>
          <w:p>
            <w:r/>
            <w:r>
              <w:rPr>
                <w:sz w:val="15"/>
              </w:rPr>
              <w:t>Pulir/Nuevo</w:t>
            </w:r>
          </w:p>
        </w:tc>
        <w:tc>
          <w:tcPr>
            <w:tcW w:type="dxa" w:w="2304"/>
          </w:tcPr>
          <w:p>
            <w:r/>
            <w:r>
              <w:rPr>
                <w:sz w:val="15"/>
              </w:rPr>
              <w:t>MP-01</w:t>
            </w:r>
          </w:p>
        </w:tc>
      </w:tr>
      <w:tr>
        <w:tc>
          <w:tcPr>
            <w:tcW w:type="dxa" w:w="792"/>
          </w:tcPr>
          <w:p>
            <w:r/>
            <w:r>
              <w:rPr>
                <w:sz w:val="15"/>
              </w:rPr>
              <w:t>MP-05</w:t>
            </w:r>
          </w:p>
        </w:tc>
        <w:tc>
          <w:tcPr>
            <w:tcW w:type="dxa" w:w="5040"/>
          </w:tcPr>
          <w:p>
            <w:r/>
            <w:r>
              <w:rPr>
                <w:sz w:val="15"/>
              </w:rPr>
              <w:t>Motor de Prosperidad: Umbral, Saldo y Libro Mayor Económico</w:t>
            </w:r>
          </w:p>
        </w:tc>
        <w:tc>
          <w:tcPr>
            <w:tcW w:type="dxa" w:w="864"/>
          </w:tcPr>
          <w:p>
            <w:r/>
            <w:r>
              <w:rPr>
                <w:sz w:val="15"/>
              </w:rPr>
              <w:t>Fase 1</w:t>
            </w:r>
          </w:p>
        </w:tc>
        <w:tc>
          <w:tcPr>
            <w:tcW w:type="dxa" w:w="648"/>
          </w:tcPr>
          <w:p>
            <w:r/>
            <w:r>
              <w:rPr>
                <w:sz w:val="15"/>
              </w:rPr>
              <w:t>P1</w:t>
            </w:r>
          </w:p>
        </w:tc>
        <w:tc>
          <w:tcPr>
            <w:tcW w:type="dxa" w:w="648"/>
          </w:tcPr>
          <w:p>
            <w:r/>
            <w:r>
              <w:rPr>
                <w:sz w:val="15"/>
              </w:rPr>
              <w:t>6</w:t>
            </w:r>
          </w:p>
        </w:tc>
        <w:tc>
          <w:tcPr>
            <w:tcW w:type="dxa" w:w="1008"/>
          </w:tcPr>
          <w:p>
            <w:r/>
            <w:r>
              <w:rPr>
                <w:sz w:val="15"/>
              </w:rPr>
              <w:t>Muy alta</w:t>
            </w:r>
          </w:p>
        </w:tc>
        <w:tc>
          <w:tcPr>
            <w:tcW w:type="dxa" w:w="1368"/>
          </w:tcPr>
          <w:p>
            <w:r/>
            <w:r>
              <w:rPr>
                <w:sz w:val="15"/>
              </w:rPr>
              <w:t>Nuevo</w:t>
            </w:r>
          </w:p>
        </w:tc>
        <w:tc>
          <w:tcPr>
            <w:tcW w:type="dxa" w:w="2304"/>
          </w:tcPr>
          <w:p>
            <w:r/>
            <w:r>
              <w:rPr>
                <w:sz w:val="15"/>
              </w:rPr>
              <w:t>MP-04</w:t>
            </w:r>
          </w:p>
        </w:tc>
      </w:tr>
      <w:tr>
        <w:tc>
          <w:tcPr>
            <w:tcW w:type="dxa" w:w="792"/>
          </w:tcPr>
          <w:p>
            <w:r/>
            <w:r>
              <w:rPr>
                <w:sz w:val="15"/>
              </w:rPr>
              <w:t>MP-06</w:t>
            </w:r>
          </w:p>
        </w:tc>
        <w:tc>
          <w:tcPr>
            <w:tcW w:type="dxa" w:w="5040"/>
          </w:tcPr>
          <w:p>
            <w:r/>
            <w:r>
              <w:rPr>
                <w:sz w:val="15"/>
              </w:rPr>
              <w:t>Reconocimiento económico de operaciones: Venta Computable y Base Comisionable</w:t>
            </w:r>
          </w:p>
        </w:tc>
        <w:tc>
          <w:tcPr>
            <w:tcW w:type="dxa" w:w="864"/>
          </w:tcPr>
          <w:p>
            <w:r/>
            <w:r>
              <w:rPr>
                <w:sz w:val="15"/>
              </w:rPr>
              <w:t>Fase 1</w:t>
            </w:r>
          </w:p>
        </w:tc>
        <w:tc>
          <w:tcPr>
            <w:tcW w:type="dxa" w:w="648"/>
          </w:tcPr>
          <w:p>
            <w:r/>
            <w:r>
              <w:rPr>
                <w:sz w:val="15"/>
              </w:rPr>
              <w:t>P1</w:t>
            </w:r>
          </w:p>
        </w:tc>
        <w:tc>
          <w:tcPr>
            <w:tcW w:type="dxa" w:w="648"/>
          </w:tcPr>
          <w:p>
            <w:r/>
            <w:r>
              <w:rPr>
                <w:sz w:val="15"/>
              </w:rPr>
              <w:t>4</w:t>
            </w:r>
          </w:p>
        </w:tc>
        <w:tc>
          <w:tcPr>
            <w:tcW w:type="dxa" w:w="1008"/>
          </w:tcPr>
          <w:p>
            <w:r/>
            <w:r>
              <w:rPr>
                <w:sz w:val="15"/>
              </w:rPr>
              <w:t>Alta</w:t>
            </w:r>
          </w:p>
        </w:tc>
        <w:tc>
          <w:tcPr>
            <w:tcW w:type="dxa" w:w="1368"/>
          </w:tcPr>
          <w:p>
            <w:r/>
            <w:r>
              <w:rPr>
                <w:sz w:val="15"/>
              </w:rPr>
              <w:t>Nuevo</w:t>
            </w:r>
          </w:p>
        </w:tc>
        <w:tc>
          <w:tcPr>
            <w:tcW w:type="dxa" w:w="2304"/>
          </w:tcPr>
          <w:p>
            <w:r/>
            <w:r>
              <w:rPr>
                <w:sz w:val="15"/>
              </w:rPr>
              <w:t>MP-05, MP-02, MP-12</w:t>
            </w:r>
          </w:p>
        </w:tc>
      </w:tr>
      <w:tr>
        <w:tc>
          <w:tcPr>
            <w:tcW w:type="dxa" w:w="792"/>
          </w:tcPr>
          <w:p>
            <w:r/>
            <w:r>
              <w:rPr>
                <w:sz w:val="15"/>
              </w:rPr>
              <w:t>MP-07</w:t>
            </w:r>
          </w:p>
        </w:tc>
        <w:tc>
          <w:tcPr>
            <w:tcW w:type="dxa" w:w="5040"/>
          </w:tcPr>
          <w:p>
            <w:r/>
            <w:r>
              <w:rPr>
                <w:sz w:val="15"/>
              </w:rPr>
              <w:t>Causación, facturación electrónica y dispersión de comisiones</w:t>
            </w:r>
          </w:p>
        </w:tc>
        <w:tc>
          <w:tcPr>
            <w:tcW w:type="dxa" w:w="864"/>
          </w:tcPr>
          <w:p>
            <w:r/>
            <w:r>
              <w:rPr>
                <w:sz w:val="15"/>
              </w:rPr>
              <w:t>Fase 1</w:t>
            </w:r>
          </w:p>
        </w:tc>
        <w:tc>
          <w:tcPr>
            <w:tcW w:type="dxa" w:w="648"/>
          </w:tcPr>
          <w:p>
            <w:r/>
            <w:r>
              <w:rPr>
                <w:sz w:val="15"/>
              </w:rPr>
              <w:t>P1</w:t>
            </w:r>
          </w:p>
        </w:tc>
        <w:tc>
          <w:tcPr>
            <w:tcW w:type="dxa" w:w="648"/>
          </w:tcPr>
          <w:p>
            <w:r/>
            <w:r>
              <w:rPr>
                <w:sz w:val="15"/>
              </w:rPr>
              <w:t>5</w:t>
            </w:r>
          </w:p>
        </w:tc>
        <w:tc>
          <w:tcPr>
            <w:tcW w:type="dxa" w:w="1008"/>
          </w:tcPr>
          <w:p>
            <w:r/>
            <w:r>
              <w:rPr>
                <w:sz w:val="15"/>
              </w:rPr>
              <w:t>Muy alta</w:t>
            </w:r>
          </w:p>
        </w:tc>
        <w:tc>
          <w:tcPr>
            <w:tcW w:type="dxa" w:w="1368"/>
          </w:tcPr>
          <w:p>
            <w:r/>
            <w:r>
              <w:rPr>
                <w:sz w:val="15"/>
              </w:rPr>
              <w:t>Divergente</w:t>
            </w:r>
          </w:p>
        </w:tc>
        <w:tc>
          <w:tcPr>
            <w:tcW w:type="dxa" w:w="2304"/>
          </w:tcPr>
          <w:p>
            <w:r/>
            <w:r>
              <w:rPr>
                <w:sz w:val="15"/>
              </w:rPr>
              <w:t>MP-06</w:t>
            </w:r>
          </w:p>
        </w:tc>
      </w:tr>
      <w:tr>
        <w:tc>
          <w:tcPr>
            <w:tcW w:type="dxa" w:w="792"/>
          </w:tcPr>
          <w:p>
            <w:r/>
            <w:r>
              <w:rPr>
                <w:sz w:val="15"/>
              </w:rPr>
              <w:t>MP-08</w:t>
            </w:r>
          </w:p>
        </w:tc>
        <w:tc>
          <w:tcPr>
            <w:tcW w:type="dxa" w:w="5040"/>
          </w:tcPr>
          <w:p>
            <w:r/>
            <w:r>
              <w:rPr>
                <w:sz w:val="15"/>
              </w:rPr>
              <w:t>Bolsas económicas, Programa de Conectividad y Programa de Fortalecimiento Empresarial</w:t>
            </w:r>
          </w:p>
        </w:tc>
        <w:tc>
          <w:tcPr>
            <w:tcW w:type="dxa" w:w="864"/>
          </w:tcPr>
          <w:p>
            <w:r/>
            <w:r>
              <w:rPr>
                <w:sz w:val="15"/>
              </w:rPr>
              <w:t>Fase 1</w:t>
            </w:r>
          </w:p>
        </w:tc>
        <w:tc>
          <w:tcPr>
            <w:tcW w:type="dxa" w:w="648"/>
          </w:tcPr>
          <w:p>
            <w:r/>
            <w:r>
              <w:rPr>
                <w:sz w:val="15"/>
              </w:rPr>
              <w:t>P1</w:t>
            </w:r>
          </w:p>
        </w:tc>
        <w:tc>
          <w:tcPr>
            <w:tcW w:type="dxa" w:w="648"/>
          </w:tcPr>
          <w:p>
            <w:r/>
            <w:r>
              <w:rPr>
                <w:sz w:val="15"/>
              </w:rPr>
              <w:t>4</w:t>
            </w:r>
          </w:p>
        </w:tc>
        <w:tc>
          <w:tcPr>
            <w:tcW w:type="dxa" w:w="1008"/>
          </w:tcPr>
          <w:p>
            <w:r/>
            <w:r>
              <w:rPr>
                <w:sz w:val="15"/>
              </w:rPr>
              <w:t>Alta</w:t>
            </w:r>
          </w:p>
        </w:tc>
        <w:tc>
          <w:tcPr>
            <w:tcW w:type="dxa" w:w="1368"/>
          </w:tcPr>
          <w:p>
            <w:r/>
            <w:r>
              <w:rPr>
                <w:sz w:val="15"/>
              </w:rPr>
              <w:t>Pulir/Nuevo</w:t>
            </w:r>
          </w:p>
        </w:tc>
        <w:tc>
          <w:tcPr>
            <w:tcW w:type="dxa" w:w="2304"/>
          </w:tcPr>
          <w:p>
            <w:r/>
            <w:r>
              <w:rPr>
                <w:sz w:val="15"/>
              </w:rPr>
              <w:t>MP-04</w:t>
            </w:r>
          </w:p>
        </w:tc>
      </w:tr>
      <w:tr>
        <w:tc>
          <w:tcPr>
            <w:tcW w:type="dxa" w:w="792"/>
          </w:tcPr>
          <w:p>
            <w:r/>
            <w:r>
              <w:rPr>
                <w:sz w:val="15"/>
              </w:rPr>
              <w:t>MP-09</w:t>
            </w:r>
          </w:p>
        </w:tc>
        <w:tc>
          <w:tcPr>
            <w:tcW w:type="dxa" w:w="5040"/>
          </w:tcPr>
          <w:p>
            <w:r/>
            <w:r>
              <w:rPr>
                <w:sz w:val="15"/>
              </w:rPr>
              <w:t>Compra institucional de VERYGANA y reconocimientos por mérito</w:t>
            </w:r>
          </w:p>
        </w:tc>
        <w:tc>
          <w:tcPr>
            <w:tcW w:type="dxa" w:w="864"/>
          </w:tcPr>
          <w:p>
            <w:r/>
            <w:r>
              <w:rPr>
                <w:sz w:val="15"/>
              </w:rPr>
              <w:t>Fase 1</w:t>
            </w:r>
          </w:p>
        </w:tc>
        <w:tc>
          <w:tcPr>
            <w:tcW w:type="dxa" w:w="648"/>
          </w:tcPr>
          <w:p>
            <w:r/>
            <w:r>
              <w:rPr>
                <w:sz w:val="15"/>
              </w:rPr>
              <w:t>P1</w:t>
            </w:r>
          </w:p>
        </w:tc>
        <w:tc>
          <w:tcPr>
            <w:tcW w:type="dxa" w:w="648"/>
          </w:tcPr>
          <w:p>
            <w:r/>
            <w:r>
              <w:rPr>
                <w:sz w:val="15"/>
              </w:rPr>
              <w:t>3.5</w:t>
            </w:r>
          </w:p>
        </w:tc>
        <w:tc>
          <w:tcPr>
            <w:tcW w:type="dxa" w:w="1008"/>
          </w:tcPr>
          <w:p>
            <w:r/>
            <w:r>
              <w:rPr>
                <w:sz w:val="15"/>
              </w:rPr>
              <w:t>Alta</w:t>
            </w:r>
          </w:p>
        </w:tc>
        <w:tc>
          <w:tcPr>
            <w:tcW w:type="dxa" w:w="1368"/>
          </w:tcPr>
          <w:p>
            <w:r/>
            <w:r>
              <w:rPr>
                <w:sz w:val="15"/>
              </w:rPr>
              <w:t>Nuevo</w:t>
            </w:r>
          </w:p>
        </w:tc>
        <w:tc>
          <w:tcPr>
            <w:tcW w:type="dxa" w:w="2304"/>
          </w:tcPr>
          <w:p>
            <w:r/>
            <w:r>
              <w:rPr>
                <w:sz w:val="15"/>
              </w:rPr>
              <w:t>MP-06, MP-08, MP-11</w:t>
            </w:r>
          </w:p>
        </w:tc>
      </w:tr>
      <w:tr>
        <w:tc>
          <w:tcPr>
            <w:tcW w:type="dxa" w:w="792"/>
          </w:tcPr>
          <w:p>
            <w:r/>
            <w:r>
              <w:rPr>
                <w:sz w:val="15"/>
              </w:rPr>
              <w:t>MP-10</w:t>
            </w:r>
          </w:p>
        </w:tc>
        <w:tc>
          <w:tcPr>
            <w:tcW w:type="dxa" w:w="5040"/>
          </w:tcPr>
          <w:p>
            <w:r/>
            <w:r>
              <w:rPr>
                <w:sz w:val="15"/>
              </w:rPr>
              <w:t>Cupo de Ofertas y catálogo unificado (producto, servicio, paquete, experiencia)</w:t>
            </w:r>
          </w:p>
        </w:tc>
        <w:tc>
          <w:tcPr>
            <w:tcW w:type="dxa" w:w="864"/>
          </w:tcPr>
          <w:p>
            <w:r/>
            <w:r>
              <w:rPr>
                <w:sz w:val="15"/>
              </w:rPr>
              <w:t>Fase 2</w:t>
            </w:r>
          </w:p>
        </w:tc>
        <w:tc>
          <w:tcPr>
            <w:tcW w:type="dxa" w:w="648"/>
          </w:tcPr>
          <w:p>
            <w:r/>
            <w:r>
              <w:rPr>
                <w:sz w:val="15"/>
              </w:rPr>
              <w:t>P2</w:t>
            </w:r>
          </w:p>
        </w:tc>
        <w:tc>
          <w:tcPr>
            <w:tcW w:type="dxa" w:w="648"/>
          </w:tcPr>
          <w:p>
            <w:r/>
            <w:r>
              <w:rPr>
                <w:sz w:val="15"/>
              </w:rPr>
              <w:t>3.5</w:t>
            </w:r>
          </w:p>
        </w:tc>
        <w:tc>
          <w:tcPr>
            <w:tcW w:type="dxa" w:w="1008"/>
          </w:tcPr>
          <w:p>
            <w:r/>
            <w:r>
              <w:rPr>
                <w:sz w:val="15"/>
              </w:rPr>
              <w:t>Media</w:t>
            </w:r>
          </w:p>
        </w:tc>
        <w:tc>
          <w:tcPr>
            <w:tcW w:type="dxa" w:w="1368"/>
          </w:tcPr>
          <w:p>
            <w:r/>
            <w:r>
              <w:rPr>
                <w:sz w:val="15"/>
              </w:rPr>
              <w:t>Pulir/Nuevo</w:t>
            </w:r>
          </w:p>
        </w:tc>
        <w:tc>
          <w:tcPr>
            <w:tcW w:type="dxa" w:w="2304"/>
          </w:tcPr>
          <w:p>
            <w:r/>
            <w:r>
              <w:rPr>
                <w:sz w:val="15"/>
              </w:rPr>
              <w:t>MP-02</w:t>
            </w:r>
          </w:p>
        </w:tc>
      </w:tr>
      <w:tr>
        <w:tc>
          <w:tcPr>
            <w:tcW w:type="dxa" w:w="792"/>
          </w:tcPr>
          <w:p>
            <w:r/>
            <w:r>
              <w:rPr>
                <w:sz w:val="15"/>
              </w:rPr>
              <w:t>MP-11</w:t>
            </w:r>
          </w:p>
        </w:tc>
        <w:tc>
          <w:tcPr>
            <w:tcW w:type="dxa" w:w="5040"/>
          </w:tcPr>
          <w:p>
            <w:r/>
            <w:r>
              <w:rPr>
                <w:sz w:val="15"/>
              </w:rPr>
              <w:t>Bonos Comerciales y Bonos de Desbloqueo</w:t>
            </w:r>
          </w:p>
        </w:tc>
        <w:tc>
          <w:tcPr>
            <w:tcW w:type="dxa" w:w="864"/>
          </w:tcPr>
          <w:p>
            <w:r/>
            <w:r>
              <w:rPr>
                <w:sz w:val="15"/>
              </w:rPr>
              <w:t>Fase 2</w:t>
            </w:r>
          </w:p>
        </w:tc>
        <w:tc>
          <w:tcPr>
            <w:tcW w:type="dxa" w:w="648"/>
          </w:tcPr>
          <w:p>
            <w:r/>
            <w:r>
              <w:rPr>
                <w:sz w:val="15"/>
              </w:rPr>
              <w:t>P2</w:t>
            </w:r>
          </w:p>
        </w:tc>
        <w:tc>
          <w:tcPr>
            <w:tcW w:type="dxa" w:w="648"/>
          </w:tcPr>
          <w:p>
            <w:r/>
            <w:r>
              <w:rPr>
                <w:sz w:val="15"/>
              </w:rPr>
              <w:t>4.5</w:t>
            </w:r>
          </w:p>
        </w:tc>
        <w:tc>
          <w:tcPr>
            <w:tcW w:type="dxa" w:w="1008"/>
          </w:tcPr>
          <w:p>
            <w:r/>
            <w:r>
              <w:rPr>
                <w:sz w:val="15"/>
              </w:rPr>
              <w:t>Alta</w:t>
            </w:r>
          </w:p>
        </w:tc>
        <w:tc>
          <w:tcPr>
            <w:tcW w:type="dxa" w:w="1368"/>
          </w:tcPr>
          <w:p>
            <w:r/>
            <w:r>
              <w:rPr>
                <w:sz w:val="15"/>
              </w:rPr>
              <w:t>Nuevo</w:t>
            </w:r>
          </w:p>
        </w:tc>
        <w:tc>
          <w:tcPr>
            <w:tcW w:type="dxa" w:w="2304"/>
          </w:tcPr>
          <w:p>
            <w:r/>
            <w:r>
              <w:rPr>
                <w:sz w:val="15"/>
              </w:rPr>
              <w:t>MP-10, MP-12</w:t>
            </w:r>
          </w:p>
        </w:tc>
      </w:tr>
      <w:tr>
        <w:tc>
          <w:tcPr>
            <w:tcW w:type="dxa" w:w="792"/>
          </w:tcPr>
          <w:p>
            <w:r/>
            <w:r>
              <w:rPr>
                <w:sz w:val="15"/>
              </w:rPr>
              <w:t>MP-12</w:t>
            </w:r>
          </w:p>
        </w:tc>
        <w:tc>
          <w:tcPr>
            <w:tcW w:type="dxa" w:w="5040"/>
          </w:tcPr>
          <w:p>
            <w:r/>
            <w:r>
              <w:rPr>
                <w:sz w:val="15"/>
              </w:rPr>
              <w:t>Llaves Promocionales: Libro Mayor, porción en llaves 50/70 % y porción monetaria</w:t>
            </w:r>
          </w:p>
        </w:tc>
        <w:tc>
          <w:tcPr>
            <w:tcW w:type="dxa" w:w="864"/>
          </w:tcPr>
          <w:p>
            <w:r/>
            <w:r>
              <w:rPr>
                <w:sz w:val="15"/>
              </w:rPr>
              <w:t>Fase 2</w:t>
            </w:r>
          </w:p>
        </w:tc>
        <w:tc>
          <w:tcPr>
            <w:tcW w:type="dxa" w:w="648"/>
          </w:tcPr>
          <w:p>
            <w:r/>
            <w:r>
              <w:rPr>
                <w:sz w:val="15"/>
              </w:rPr>
              <w:t>P2</w:t>
            </w:r>
          </w:p>
        </w:tc>
        <w:tc>
          <w:tcPr>
            <w:tcW w:type="dxa" w:w="648"/>
          </w:tcPr>
          <w:p>
            <w:r/>
            <w:r>
              <w:rPr>
                <w:sz w:val="15"/>
              </w:rPr>
              <w:t>3.5</w:t>
            </w:r>
          </w:p>
        </w:tc>
        <w:tc>
          <w:tcPr>
            <w:tcW w:type="dxa" w:w="1008"/>
          </w:tcPr>
          <w:p>
            <w:r/>
            <w:r>
              <w:rPr>
                <w:sz w:val="15"/>
              </w:rPr>
              <w:t>Alta</w:t>
            </w:r>
          </w:p>
        </w:tc>
        <w:tc>
          <w:tcPr>
            <w:tcW w:type="dxa" w:w="1368"/>
          </w:tcPr>
          <w:p>
            <w:r/>
            <w:r>
              <w:rPr>
                <w:sz w:val="15"/>
              </w:rPr>
              <w:t>Divergente</w:t>
            </w:r>
          </w:p>
        </w:tc>
        <w:tc>
          <w:tcPr>
            <w:tcW w:type="dxa" w:w="2304"/>
          </w:tcPr>
          <w:p>
            <w:r/>
            <w:r>
              <w:rPr>
                <w:sz w:val="15"/>
              </w:rPr>
              <w:t>MP-04</w:t>
            </w:r>
          </w:p>
        </w:tc>
      </w:tr>
      <w:tr>
        <w:tc>
          <w:tcPr>
            <w:tcW w:type="dxa" w:w="792"/>
          </w:tcPr>
          <w:p>
            <w:r/>
            <w:r>
              <w:rPr>
                <w:sz w:val="15"/>
              </w:rPr>
              <w:t>MP-13</w:t>
            </w:r>
          </w:p>
        </w:tc>
        <w:tc>
          <w:tcPr>
            <w:tcW w:type="dxa" w:w="5040"/>
          </w:tcPr>
          <w:p>
            <w:r/>
            <w:r>
              <w:rPr>
                <w:sz w:val="15"/>
              </w:rPr>
              <w:t>Compra Válida, estados de operación (orden/pago/cumplimiento/reclamación) y trazabilidad transaccional</w:t>
            </w:r>
          </w:p>
        </w:tc>
        <w:tc>
          <w:tcPr>
            <w:tcW w:type="dxa" w:w="864"/>
          </w:tcPr>
          <w:p>
            <w:r/>
            <w:r>
              <w:rPr>
                <w:sz w:val="15"/>
              </w:rPr>
              <w:t>Fase 2</w:t>
            </w:r>
          </w:p>
        </w:tc>
        <w:tc>
          <w:tcPr>
            <w:tcW w:type="dxa" w:w="648"/>
          </w:tcPr>
          <w:p>
            <w:r/>
            <w:r>
              <w:rPr>
                <w:sz w:val="15"/>
              </w:rPr>
              <w:t>P2</w:t>
            </w:r>
          </w:p>
        </w:tc>
        <w:tc>
          <w:tcPr>
            <w:tcW w:type="dxa" w:w="648"/>
          </w:tcPr>
          <w:p>
            <w:r/>
            <w:r>
              <w:rPr>
                <w:sz w:val="15"/>
              </w:rPr>
              <w:t>4</w:t>
            </w:r>
          </w:p>
        </w:tc>
        <w:tc>
          <w:tcPr>
            <w:tcW w:type="dxa" w:w="1008"/>
          </w:tcPr>
          <w:p>
            <w:r/>
            <w:r>
              <w:rPr>
                <w:sz w:val="15"/>
              </w:rPr>
              <w:t>Alta</w:t>
            </w:r>
          </w:p>
        </w:tc>
        <w:tc>
          <w:tcPr>
            <w:tcW w:type="dxa" w:w="1368"/>
          </w:tcPr>
          <w:p>
            <w:r/>
            <w:r>
              <w:rPr>
                <w:sz w:val="15"/>
              </w:rPr>
              <w:t>Pulir</w:t>
            </w:r>
          </w:p>
        </w:tc>
        <w:tc>
          <w:tcPr>
            <w:tcW w:type="dxa" w:w="2304"/>
          </w:tcPr>
          <w:p>
            <w:r/>
            <w:r>
              <w:rPr>
                <w:sz w:val="15"/>
              </w:rPr>
              <w:t>MP-06, MP-12</w:t>
            </w:r>
          </w:p>
        </w:tc>
      </w:tr>
      <w:tr>
        <w:tc>
          <w:tcPr>
            <w:tcW w:type="dxa" w:w="792"/>
          </w:tcPr>
          <w:p>
            <w:r/>
            <w:r>
              <w:rPr>
                <w:sz w:val="15"/>
              </w:rPr>
              <w:t>MP-14</w:t>
            </w:r>
          </w:p>
        </w:tc>
        <w:tc>
          <w:tcPr>
            <w:tcW w:type="dxa" w:w="5040"/>
          </w:tcPr>
          <w:p>
            <w:r/>
            <w:r>
              <w:rPr>
                <w:sz w:val="15"/>
              </w:rPr>
              <w:t>Entrega, prestación, redención y validación efectiva</w:t>
            </w:r>
          </w:p>
        </w:tc>
        <w:tc>
          <w:tcPr>
            <w:tcW w:type="dxa" w:w="864"/>
          </w:tcPr>
          <w:p>
            <w:r/>
            <w:r>
              <w:rPr>
                <w:sz w:val="15"/>
              </w:rPr>
              <w:t>Fase 2</w:t>
            </w:r>
          </w:p>
        </w:tc>
        <w:tc>
          <w:tcPr>
            <w:tcW w:type="dxa" w:w="648"/>
          </w:tcPr>
          <w:p>
            <w:r/>
            <w:r>
              <w:rPr>
                <w:sz w:val="15"/>
              </w:rPr>
              <w:t>P2</w:t>
            </w:r>
          </w:p>
        </w:tc>
        <w:tc>
          <w:tcPr>
            <w:tcW w:type="dxa" w:w="648"/>
          </w:tcPr>
          <w:p>
            <w:r/>
            <w:r>
              <w:rPr>
                <w:sz w:val="15"/>
              </w:rPr>
              <w:t>2.5</w:t>
            </w:r>
          </w:p>
        </w:tc>
        <w:tc>
          <w:tcPr>
            <w:tcW w:type="dxa" w:w="1008"/>
          </w:tcPr>
          <w:p>
            <w:r/>
            <w:r>
              <w:rPr>
                <w:sz w:val="15"/>
              </w:rPr>
              <w:t>Media</w:t>
            </w:r>
          </w:p>
        </w:tc>
        <w:tc>
          <w:tcPr>
            <w:tcW w:type="dxa" w:w="1368"/>
          </w:tcPr>
          <w:p>
            <w:r/>
            <w:r>
              <w:rPr>
                <w:sz w:val="15"/>
              </w:rPr>
              <w:t>Nuevo</w:t>
            </w:r>
          </w:p>
        </w:tc>
        <w:tc>
          <w:tcPr>
            <w:tcW w:type="dxa" w:w="2304"/>
          </w:tcPr>
          <w:p>
            <w:r/>
            <w:r>
              <w:rPr>
                <w:sz w:val="15"/>
              </w:rPr>
              <w:t>MP-13</w:t>
            </w:r>
          </w:p>
        </w:tc>
      </w:tr>
      <w:tr>
        <w:tc>
          <w:tcPr>
            <w:tcW w:type="dxa" w:w="792"/>
          </w:tcPr>
          <w:p>
            <w:r/>
            <w:r>
              <w:rPr>
                <w:sz w:val="15"/>
              </w:rPr>
              <w:t>MP-15</w:t>
            </w:r>
          </w:p>
        </w:tc>
        <w:tc>
          <w:tcPr>
            <w:tcW w:type="dxa" w:w="5040"/>
          </w:tcPr>
          <w:p>
            <w:r/>
            <w:r>
              <w:rPr>
                <w:sz w:val="15"/>
              </w:rPr>
              <w:t>Establecimientos, inventario y reservas temporales</w:t>
            </w:r>
          </w:p>
        </w:tc>
        <w:tc>
          <w:tcPr>
            <w:tcW w:type="dxa" w:w="864"/>
          </w:tcPr>
          <w:p>
            <w:r/>
            <w:r>
              <w:rPr>
                <w:sz w:val="15"/>
              </w:rPr>
              <w:t>Fase 2</w:t>
            </w:r>
          </w:p>
        </w:tc>
        <w:tc>
          <w:tcPr>
            <w:tcW w:type="dxa" w:w="648"/>
          </w:tcPr>
          <w:p>
            <w:r/>
            <w:r>
              <w:rPr>
                <w:sz w:val="15"/>
              </w:rPr>
              <w:t>P2</w:t>
            </w:r>
          </w:p>
        </w:tc>
        <w:tc>
          <w:tcPr>
            <w:tcW w:type="dxa" w:w="648"/>
          </w:tcPr>
          <w:p>
            <w:r/>
            <w:r>
              <w:rPr>
                <w:sz w:val="15"/>
              </w:rPr>
              <w:t>2</w:t>
            </w:r>
          </w:p>
        </w:tc>
        <w:tc>
          <w:tcPr>
            <w:tcW w:type="dxa" w:w="1008"/>
          </w:tcPr>
          <w:p>
            <w:r/>
            <w:r>
              <w:rPr>
                <w:sz w:val="15"/>
              </w:rPr>
              <w:t>Media</w:t>
            </w:r>
          </w:p>
        </w:tc>
        <w:tc>
          <w:tcPr>
            <w:tcW w:type="dxa" w:w="1368"/>
          </w:tcPr>
          <w:p>
            <w:r/>
            <w:r>
              <w:rPr>
                <w:sz w:val="15"/>
              </w:rPr>
              <w:t>Pulir</w:t>
            </w:r>
          </w:p>
        </w:tc>
        <w:tc>
          <w:tcPr>
            <w:tcW w:type="dxa" w:w="2304"/>
          </w:tcPr>
          <w:p>
            <w:r/>
            <w:r>
              <w:rPr>
                <w:sz w:val="15"/>
              </w:rPr>
              <w:t>MP-10</w:t>
            </w:r>
          </w:p>
        </w:tc>
      </w:tr>
      <w:tr>
        <w:tc>
          <w:tcPr>
            <w:tcW w:type="dxa" w:w="792"/>
          </w:tcPr>
          <w:p>
            <w:r/>
            <w:r>
              <w:rPr>
                <w:sz w:val="15"/>
              </w:rPr>
              <w:t>MP-16</w:t>
            </w:r>
          </w:p>
        </w:tc>
        <w:tc>
          <w:tcPr>
            <w:tcW w:type="dxa" w:w="5040"/>
          </w:tcPr>
          <w:p>
            <w:r/>
            <w:r>
              <w:rPr>
                <w:sz w:val="15"/>
              </w:rPr>
              <w:t>Campañas, Sala de Juegos y juegos habilitables por Inversión Computable</w:t>
            </w:r>
          </w:p>
        </w:tc>
        <w:tc>
          <w:tcPr>
            <w:tcW w:type="dxa" w:w="864"/>
          </w:tcPr>
          <w:p>
            <w:r/>
            <w:r>
              <w:rPr>
                <w:sz w:val="15"/>
              </w:rPr>
              <w:t>Fase 2</w:t>
            </w:r>
          </w:p>
        </w:tc>
        <w:tc>
          <w:tcPr>
            <w:tcW w:type="dxa" w:w="648"/>
          </w:tcPr>
          <w:p>
            <w:r/>
            <w:r>
              <w:rPr>
                <w:sz w:val="15"/>
              </w:rPr>
              <w:t>P2</w:t>
            </w:r>
          </w:p>
        </w:tc>
        <w:tc>
          <w:tcPr>
            <w:tcW w:type="dxa" w:w="648"/>
          </w:tcPr>
          <w:p>
            <w:r/>
            <w:r>
              <w:rPr>
                <w:sz w:val="15"/>
              </w:rPr>
              <w:t>4</w:t>
            </w:r>
          </w:p>
        </w:tc>
        <w:tc>
          <w:tcPr>
            <w:tcW w:type="dxa" w:w="1008"/>
          </w:tcPr>
          <w:p>
            <w:r/>
            <w:r>
              <w:rPr>
                <w:sz w:val="15"/>
              </w:rPr>
              <w:t>Alta</w:t>
            </w:r>
          </w:p>
        </w:tc>
        <w:tc>
          <w:tcPr>
            <w:tcW w:type="dxa" w:w="1368"/>
          </w:tcPr>
          <w:p>
            <w:r/>
            <w:r>
              <w:rPr>
                <w:sz w:val="15"/>
              </w:rPr>
              <w:t>Divergente</w:t>
            </w:r>
          </w:p>
        </w:tc>
        <w:tc>
          <w:tcPr>
            <w:tcW w:type="dxa" w:w="2304"/>
          </w:tcPr>
          <w:p>
            <w:r/>
            <w:r>
              <w:rPr>
                <w:sz w:val="15"/>
              </w:rPr>
              <w:t>MP-04, MP-21</w:t>
            </w:r>
          </w:p>
        </w:tc>
      </w:tr>
      <w:tr>
        <w:tc>
          <w:tcPr>
            <w:tcW w:type="dxa" w:w="792"/>
          </w:tcPr>
          <w:p>
            <w:r/>
            <w:r>
              <w:rPr>
                <w:sz w:val="15"/>
              </w:rPr>
              <w:t>MP-17</w:t>
            </w:r>
          </w:p>
        </w:tc>
        <w:tc>
          <w:tcPr>
            <w:tcW w:type="dxa" w:w="5040"/>
          </w:tcPr>
          <w:p>
            <w:r/>
            <w:r>
              <w:rPr>
                <w:sz w:val="15"/>
              </w:rPr>
              <w:t>Puntos de Progreso, Puntos de Excelencia, escalafón y Oportunidad de Tercera Interacción (7 Acciones Calificadas)</w:t>
            </w:r>
          </w:p>
        </w:tc>
        <w:tc>
          <w:tcPr>
            <w:tcW w:type="dxa" w:w="864"/>
          </w:tcPr>
          <w:p>
            <w:r/>
            <w:r>
              <w:rPr>
                <w:sz w:val="15"/>
              </w:rPr>
              <w:t>Fase 2</w:t>
            </w:r>
          </w:p>
        </w:tc>
        <w:tc>
          <w:tcPr>
            <w:tcW w:type="dxa" w:w="648"/>
          </w:tcPr>
          <w:p>
            <w:r/>
            <w:r>
              <w:rPr>
                <w:sz w:val="15"/>
              </w:rPr>
              <w:t>P2</w:t>
            </w:r>
          </w:p>
        </w:tc>
        <w:tc>
          <w:tcPr>
            <w:tcW w:type="dxa" w:w="648"/>
          </w:tcPr>
          <w:p>
            <w:r/>
            <w:r>
              <w:rPr>
                <w:sz w:val="15"/>
              </w:rPr>
              <w:t>6</w:t>
            </w:r>
          </w:p>
        </w:tc>
        <w:tc>
          <w:tcPr>
            <w:tcW w:type="dxa" w:w="1008"/>
          </w:tcPr>
          <w:p>
            <w:r/>
            <w:r>
              <w:rPr>
                <w:sz w:val="15"/>
              </w:rPr>
              <w:t>Muy alta</w:t>
            </w:r>
          </w:p>
        </w:tc>
        <w:tc>
          <w:tcPr>
            <w:tcW w:type="dxa" w:w="1368"/>
          </w:tcPr>
          <w:p>
            <w:r/>
            <w:r>
              <w:rPr>
                <w:sz w:val="15"/>
              </w:rPr>
              <w:t>Divergente/Nuevo</w:t>
            </w:r>
          </w:p>
        </w:tc>
        <w:tc>
          <w:tcPr>
            <w:tcW w:type="dxa" w:w="2304"/>
          </w:tcPr>
          <w:p>
            <w:r/>
            <w:r>
              <w:rPr>
                <w:sz w:val="15"/>
              </w:rPr>
              <w:t>MP-13, MP-16, MP-19, MP-23</w:t>
            </w:r>
          </w:p>
        </w:tc>
      </w:tr>
      <w:tr>
        <w:tc>
          <w:tcPr>
            <w:tcW w:type="dxa" w:w="792"/>
          </w:tcPr>
          <w:p>
            <w:r/>
            <w:r>
              <w:rPr>
                <w:sz w:val="15"/>
              </w:rPr>
              <w:t>MP-18</w:t>
            </w:r>
          </w:p>
        </w:tc>
        <w:tc>
          <w:tcPr>
            <w:tcW w:type="dxa" w:w="5040"/>
          </w:tcPr>
          <w:p>
            <w:r/>
            <w:r>
              <w:rPr>
                <w:sz w:val="15"/>
              </w:rPr>
              <w:t>Contenidos reconocidos por tiempo efectivo (banners, videos, audios: 16 llaves / 60 s)</w:t>
            </w:r>
          </w:p>
        </w:tc>
        <w:tc>
          <w:tcPr>
            <w:tcW w:type="dxa" w:w="864"/>
          </w:tcPr>
          <w:p>
            <w:r/>
            <w:r>
              <w:rPr>
                <w:sz w:val="15"/>
              </w:rPr>
              <w:t>Fase 2</w:t>
            </w:r>
          </w:p>
        </w:tc>
        <w:tc>
          <w:tcPr>
            <w:tcW w:type="dxa" w:w="648"/>
          </w:tcPr>
          <w:p>
            <w:r/>
            <w:r>
              <w:rPr>
                <w:sz w:val="15"/>
              </w:rPr>
              <w:t>P2</w:t>
            </w:r>
          </w:p>
        </w:tc>
        <w:tc>
          <w:tcPr>
            <w:tcW w:type="dxa" w:w="648"/>
          </w:tcPr>
          <w:p>
            <w:r/>
            <w:r>
              <w:rPr>
                <w:sz w:val="15"/>
              </w:rPr>
              <w:t>3</w:t>
            </w:r>
          </w:p>
        </w:tc>
        <w:tc>
          <w:tcPr>
            <w:tcW w:type="dxa" w:w="1008"/>
          </w:tcPr>
          <w:p>
            <w:r/>
            <w:r>
              <w:rPr>
                <w:sz w:val="15"/>
              </w:rPr>
              <w:t>Media</w:t>
            </w:r>
          </w:p>
        </w:tc>
        <w:tc>
          <w:tcPr>
            <w:tcW w:type="dxa" w:w="1368"/>
          </w:tcPr>
          <w:p>
            <w:r/>
            <w:r>
              <w:rPr>
                <w:sz w:val="15"/>
              </w:rPr>
              <w:t>Divergente</w:t>
            </w:r>
          </w:p>
        </w:tc>
        <w:tc>
          <w:tcPr>
            <w:tcW w:type="dxa" w:w="2304"/>
          </w:tcPr>
          <w:p>
            <w:r/>
            <w:r>
              <w:rPr>
                <w:sz w:val="15"/>
              </w:rPr>
              <w:t>MP-12, MP-16</w:t>
            </w:r>
          </w:p>
        </w:tc>
      </w:tr>
      <w:tr>
        <w:tc>
          <w:tcPr>
            <w:tcW w:type="dxa" w:w="792"/>
          </w:tcPr>
          <w:p>
            <w:r/>
            <w:r>
              <w:rPr>
                <w:sz w:val="15"/>
              </w:rPr>
              <w:t>MP-19</w:t>
            </w:r>
          </w:p>
        </w:tc>
        <w:tc>
          <w:tcPr>
            <w:tcW w:type="dxa" w:w="5040"/>
          </w:tcPr>
          <w:p>
            <w:r/>
            <w:r>
              <w:rPr>
                <w:sz w:val="15"/>
              </w:rPr>
              <w:t>Encuestas ordinarias y Encuesta Calificada de Dedicación Sustancial</w:t>
            </w:r>
          </w:p>
        </w:tc>
        <w:tc>
          <w:tcPr>
            <w:tcW w:type="dxa" w:w="864"/>
          </w:tcPr>
          <w:p>
            <w:r/>
            <w:r>
              <w:rPr>
                <w:sz w:val="15"/>
              </w:rPr>
              <w:t>Fase 2</w:t>
            </w:r>
          </w:p>
        </w:tc>
        <w:tc>
          <w:tcPr>
            <w:tcW w:type="dxa" w:w="648"/>
          </w:tcPr>
          <w:p>
            <w:r/>
            <w:r>
              <w:rPr>
                <w:sz w:val="15"/>
              </w:rPr>
              <w:t>P2</w:t>
            </w:r>
          </w:p>
        </w:tc>
        <w:tc>
          <w:tcPr>
            <w:tcW w:type="dxa" w:w="648"/>
          </w:tcPr>
          <w:p>
            <w:r/>
            <w:r>
              <w:rPr>
                <w:sz w:val="15"/>
              </w:rPr>
              <w:t>2.5</w:t>
            </w:r>
          </w:p>
        </w:tc>
        <w:tc>
          <w:tcPr>
            <w:tcW w:type="dxa" w:w="1008"/>
          </w:tcPr>
          <w:p>
            <w:r/>
            <w:r>
              <w:rPr>
                <w:sz w:val="15"/>
              </w:rPr>
              <w:t>Media</w:t>
            </w:r>
          </w:p>
        </w:tc>
        <w:tc>
          <w:tcPr>
            <w:tcW w:type="dxa" w:w="1368"/>
          </w:tcPr>
          <w:p>
            <w:r/>
            <w:r>
              <w:rPr>
                <w:sz w:val="15"/>
              </w:rPr>
              <w:t>Pulir</w:t>
            </w:r>
          </w:p>
        </w:tc>
        <w:tc>
          <w:tcPr>
            <w:tcW w:type="dxa" w:w="2304"/>
          </w:tcPr>
          <w:p>
            <w:r/>
            <w:r>
              <w:rPr>
                <w:sz w:val="15"/>
              </w:rPr>
              <w:t>MP-12, MP-16</w:t>
            </w:r>
          </w:p>
        </w:tc>
      </w:tr>
      <w:tr>
        <w:tc>
          <w:tcPr>
            <w:tcW w:type="dxa" w:w="792"/>
          </w:tcPr>
          <w:p>
            <w:r/>
            <w:r>
              <w:rPr>
                <w:sz w:val="15"/>
              </w:rPr>
              <w:t>MP-20</w:t>
            </w:r>
          </w:p>
        </w:tc>
        <w:tc>
          <w:tcPr>
            <w:tcW w:type="dxa" w:w="5040"/>
          </w:tcPr>
          <w:p>
            <w:r/>
            <w:r>
              <w:rPr>
                <w:sz w:val="15"/>
              </w:rPr>
              <w:t>Ruleta Promocional Excepcional (solicitud, autorización, licencia temporal)</w:t>
            </w:r>
          </w:p>
        </w:tc>
        <w:tc>
          <w:tcPr>
            <w:tcW w:type="dxa" w:w="864"/>
          </w:tcPr>
          <w:p>
            <w:r/>
            <w:r>
              <w:rPr>
                <w:sz w:val="15"/>
              </w:rPr>
              <w:t>Fase 2</w:t>
            </w:r>
          </w:p>
        </w:tc>
        <w:tc>
          <w:tcPr>
            <w:tcW w:type="dxa" w:w="648"/>
          </w:tcPr>
          <w:p>
            <w:r/>
            <w:r>
              <w:rPr>
                <w:sz w:val="15"/>
              </w:rPr>
              <w:t>P2</w:t>
            </w:r>
          </w:p>
        </w:tc>
        <w:tc>
          <w:tcPr>
            <w:tcW w:type="dxa" w:w="648"/>
          </w:tcPr>
          <w:p>
            <w:r/>
            <w:r>
              <w:rPr>
                <w:sz w:val="15"/>
              </w:rPr>
              <w:t>3</w:t>
            </w:r>
          </w:p>
        </w:tc>
        <w:tc>
          <w:tcPr>
            <w:tcW w:type="dxa" w:w="1008"/>
          </w:tcPr>
          <w:p>
            <w:r/>
            <w:r>
              <w:rPr>
                <w:sz w:val="15"/>
              </w:rPr>
              <w:t>Alta</w:t>
            </w:r>
          </w:p>
        </w:tc>
        <w:tc>
          <w:tcPr>
            <w:tcW w:type="dxa" w:w="1368"/>
          </w:tcPr>
          <w:p>
            <w:r/>
            <w:r>
              <w:rPr>
                <w:sz w:val="15"/>
              </w:rPr>
              <w:t>Nuevo</w:t>
            </w:r>
          </w:p>
        </w:tc>
        <w:tc>
          <w:tcPr>
            <w:tcW w:type="dxa" w:w="2304"/>
          </w:tcPr>
          <w:p>
            <w:r/>
            <w:r>
              <w:rPr>
                <w:sz w:val="15"/>
              </w:rPr>
              <w:t>MP-16</w:t>
            </w:r>
          </w:p>
        </w:tc>
      </w:tr>
      <w:tr>
        <w:tc>
          <w:tcPr>
            <w:tcW w:type="dxa" w:w="792"/>
          </w:tcPr>
          <w:p>
            <w:r/>
            <w:r>
              <w:rPr>
                <w:sz w:val="15"/>
              </w:rPr>
              <w:t>MP-21</w:t>
            </w:r>
          </w:p>
        </w:tc>
        <w:tc>
          <w:tcPr>
            <w:tcW w:type="dxa" w:w="5040"/>
          </w:tcPr>
          <w:p>
            <w:r/>
            <w:r>
              <w:rPr>
                <w:sz w:val="15"/>
              </w:rPr>
              <w:t>Banco de Recursos Publicitarios y gestión de piezas de oferta</w:t>
            </w:r>
          </w:p>
        </w:tc>
        <w:tc>
          <w:tcPr>
            <w:tcW w:type="dxa" w:w="864"/>
          </w:tcPr>
          <w:p>
            <w:r/>
            <w:r>
              <w:rPr>
                <w:sz w:val="15"/>
              </w:rPr>
              <w:t>Fase 2</w:t>
            </w:r>
          </w:p>
        </w:tc>
        <w:tc>
          <w:tcPr>
            <w:tcW w:type="dxa" w:w="648"/>
          </w:tcPr>
          <w:p>
            <w:r/>
            <w:r>
              <w:rPr>
                <w:sz w:val="15"/>
              </w:rPr>
              <w:t>P2</w:t>
            </w:r>
          </w:p>
        </w:tc>
        <w:tc>
          <w:tcPr>
            <w:tcW w:type="dxa" w:w="648"/>
          </w:tcPr>
          <w:p>
            <w:r/>
            <w:r>
              <w:rPr>
                <w:sz w:val="15"/>
              </w:rPr>
              <w:t>2.5</w:t>
            </w:r>
          </w:p>
        </w:tc>
        <w:tc>
          <w:tcPr>
            <w:tcW w:type="dxa" w:w="1008"/>
          </w:tcPr>
          <w:p>
            <w:r/>
            <w:r>
              <w:rPr>
                <w:sz w:val="15"/>
              </w:rPr>
              <w:t>Media</w:t>
            </w:r>
          </w:p>
        </w:tc>
        <w:tc>
          <w:tcPr>
            <w:tcW w:type="dxa" w:w="1368"/>
          </w:tcPr>
          <w:p>
            <w:r/>
            <w:r>
              <w:rPr>
                <w:sz w:val="15"/>
              </w:rPr>
              <w:t>Pulir</w:t>
            </w:r>
          </w:p>
        </w:tc>
        <w:tc>
          <w:tcPr>
            <w:tcW w:type="dxa" w:w="2304"/>
          </w:tcPr>
          <w:p>
            <w:r/>
            <w:r>
              <w:rPr>
                <w:sz w:val="15"/>
              </w:rPr>
              <w:t>MP-01</w:t>
            </w:r>
          </w:p>
        </w:tc>
      </w:tr>
      <w:tr>
        <w:tc>
          <w:tcPr>
            <w:tcW w:type="dxa" w:w="792"/>
          </w:tcPr>
          <w:p>
            <w:r/>
            <w:r>
              <w:rPr>
                <w:sz w:val="15"/>
              </w:rPr>
              <w:t>MP-22</w:t>
            </w:r>
          </w:p>
        </w:tc>
        <w:tc>
          <w:tcPr>
            <w:tcW w:type="dxa" w:w="5040"/>
          </w:tcPr>
          <w:p>
            <w:r/>
            <w:r>
              <w:rPr>
                <w:sz w:val="15"/>
              </w:rPr>
              <w:t>Patrocinios de Empresas Premium y Componentes Patrocinados</w:t>
            </w:r>
          </w:p>
        </w:tc>
        <w:tc>
          <w:tcPr>
            <w:tcW w:type="dxa" w:w="864"/>
          </w:tcPr>
          <w:p>
            <w:r/>
            <w:r>
              <w:rPr>
                <w:sz w:val="15"/>
              </w:rPr>
              <w:t>Fase 2</w:t>
            </w:r>
          </w:p>
        </w:tc>
        <w:tc>
          <w:tcPr>
            <w:tcW w:type="dxa" w:w="648"/>
          </w:tcPr>
          <w:p>
            <w:r/>
            <w:r>
              <w:rPr>
                <w:sz w:val="15"/>
              </w:rPr>
              <w:t>P2</w:t>
            </w:r>
          </w:p>
        </w:tc>
        <w:tc>
          <w:tcPr>
            <w:tcW w:type="dxa" w:w="648"/>
          </w:tcPr>
          <w:p>
            <w:r/>
            <w:r>
              <w:rPr>
                <w:sz w:val="15"/>
              </w:rPr>
              <w:t>4.5</w:t>
            </w:r>
          </w:p>
        </w:tc>
        <w:tc>
          <w:tcPr>
            <w:tcW w:type="dxa" w:w="1008"/>
          </w:tcPr>
          <w:p>
            <w:r/>
            <w:r>
              <w:rPr>
                <w:sz w:val="15"/>
              </w:rPr>
              <w:t>Alta</w:t>
            </w:r>
          </w:p>
        </w:tc>
        <w:tc>
          <w:tcPr>
            <w:tcW w:type="dxa" w:w="1368"/>
          </w:tcPr>
          <w:p>
            <w:r/>
            <w:r>
              <w:rPr>
                <w:sz w:val="15"/>
              </w:rPr>
              <w:t>Pulir/Nuevo</w:t>
            </w:r>
          </w:p>
        </w:tc>
        <w:tc>
          <w:tcPr>
            <w:tcW w:type="dxa" w:w="2304"/>
          </w:tcPr>
          <w:p>
            <w:r/>
            <w:r>
              <w:rPr>
                <w:sz w:val="15"/>
              </w:rPr>
              <w:t>MP-06, MP-10, MP-15</w:t>
            </w:r>
          </w:p>
        </w:tc>
      </w:tr>
      <w:tr>
        <w:tc>
          <w:tcPr>
            <w:tcW w:type="dxa" w:w="792"/>
          </w:tcPr>
          <w:p>
            <w:r/>
            <w:r>
              <w:rPr>
                <w:sz w:val="15"/>
              </w:rPr>
              <w:t>MP-23</w:t>
            </w:r>
          </w:p>
        </w:tc>
        <w:tc>
          <w:tcPr>
            <w:tcW w:type="dxa" w:w="5040"/>
          </w:tcPr>
          <w:p>
            <w:r/>
            <w:r>
              <w:rPr>
                <w:sz w:val="15"/>
              </w:rPr>
              <w:t>Código Único de Recomendación Empresarial y reconocimiento por vinculación efectiva</w:t>
            </w:r>
          </w:p>
        </w:tc>
        <w:tc>
          <w:tcPr>
            <w:tcW w:type="dxa" w:w="864"/>
          </w:tcPr>
          <w:p>
            <w:r/>
            <w:r>
              <w:rPr>
                <w:sz w:val="15"/>
              </w:rPr>
              <w:t>Fase 2</w:t>
            </w:r>
          </w:p>
        </w:tc>
        <w:tc>
          <w:tcPr>
            <w:tcW w:type="dxa" w:w="648"/>
          </w:tcPr>
          <w:p>
            <w:r/>
            <w:r>
              <w:rPr>
                <w:sz w:val="15"/>
              </w:rPr>
              <w:t>P2</w:t>
            </w:r>
          </w:p>
        </w:tc>
        <w:tc>
          <w:tcPr>
            <w:tcW w:type="dxa" w:w="648"/>
          </w:tcPr>
          <w:p>
            <w:r/>
            <w:r>
              <w:rPr>
                <w:sz w:val="15"/>
              </w:rPr>
              <w:t>2</w:t>
            </w:r>
          </w:p>
        </w:tc>
        <w:tc>
          <w:tcPr>
            <w:tcW w:type="dxa" w:w="1008"/>
          </w:tcPr>
          <w:p>
            <w:r/>
            <w:r>
              <w:rPr>
                <w:sz w:val="15"/>
              </w:rPr>
              <w:t>Media</w:t>
            </w:r>
          </w:p>
        </w:tc>
        <w:tc>
          <w:tcPr>
            <w:tcW w:type="dxa" w:w="1368"/>
          </w:tcPr>
          <w:p>
            <w:r/>
            <w:r>
              <w:rPr>
                <w:sz w:val="15"/>
              </w:rPr>
              <w:t>Nuevo</w:t>
            </w:r>
          </w:p>
        </w:tc>
        <w:tc>
          <w:tcPr>
            <w:tcW w:type="dxa" w:w="2304"/>
          </w:tcPr>
          <w:p>
            <w:r/>
            <w:r>
              <w:rPr>
                <w:sz w:val="15"/>
              </w:rPr>
              <w:t>MP-01</w:t>
            </w:r>
          </w:p>
        </w:tc>
      </w:tr>
      <w:tr>
        <w:tc>
          <w:tcPr>
            <w:tcW w:type="dxa" w:w="792"/>
          </w:tcPr>
          <w:p>
            <w:r/>
            <w:r>
              <w:rPr>
                <w:sz w:val="15"/>
              </w:rPr>
              <w:t>MP-24</w:t>
            </w:r>
          </w:p>
        </w:tc>
        <w:tc>
          <w:tcPr>
            <w:tcW w:type="dxa" w:w="5040"/>
          </w:tcPr>
          <w:p>
            <w:r/>
            <w:r>
              <w:rPr>
                <w:sz w:val="15"/>
              </w:rPr>
              <w:t>Máquina única de Estados Empresariales + Estado de Continuidad + Suspensión Preventiva</w:t>
            </w:r>
          </w:p>
        </w:tc>
        <w:tc>
          <w:tcPr>
            <w:tcW w:type="dxa" w:w="864"/>
          </w:tcPr>
          <w:p>
            <w:r/>
            <w:r>
              <w:rPr>
                <w:sz w:val="15"/>
              </w:rPr>
              <w:t>Fase 3</w:t>
            </w:r>
          </w:p>
        </w:tc>
        <w:tc>
          <w:tcPr>
            <w:tcW w:type="dxa" w:w="648"/>
          </w:tcPr>
          <w:p>
            <w:r/>
            <w:r>
              <w:rPr>
                <w:sz w:val="15"/>
              </w:rPr>
              <w:t>P3</w:t>
            </w:r>
          </w:p>
        </w:tc>
        <w:tc>
          <w:tcPr>
            <w:tcW w:type="dxa" w:w="648"/>
          </w:tcPr>
          <w:p>
            <w:r/>
            <w:r>
              <w:rPr>
                <w:sz w:val="15"/>
              </w:rPr>
              <w:t>4.5</w:t>
            </w:r>
          </w:p>
        </w:tc>
        <w:tc>
          <w:tcPr>
            <w:tcW w:type="dxa" w:w="1008"/>
          </w:tcPr>
          <w:p>
            <w:r/>
            <w:r>
              <w:rPr>
                <w:sz w:val="15"/>
              </w:rPr>
              <w:t>Alta</w:t>
            </w:r>
          </w:p>
        </w:tc>
        <w:tc>
          <w:tcPr>
            <w:tcW w:type="dxa" w:w="1368"/>
          </w:tcPr>
          <w:p>
            <w:r/>
            <w:r>
              <w:rPr>
                <w:sz w:val="15"/>
              </w:rPr>
              <w:t>Pulir/Nuevo</w:t>
            </w:r>
          </w:p>
        </w:tc>
        <w:tc>
          <w:tcPr>
            <w:tcW w:type="dxa" w:w="2304"/>
          </w:tcPr>
          <w:p>
            <w:r/>
            <w:r>
              <w:rPr>
                <w:sz w:val="15"/>
              </w:rPr>
              <w:t>MP-01, MP-04</w:t>
            </w:r>
          </w:p>
        </w:tc>
      </w:tr>
      <w:tr>
        <w:tc>
          <w:tcPr>
            <w:tcW w:type="dxa" w:w="792"/>
          </w:tcPr>
          <w:p>
            <w:r/>
            <w:r>
              <w:rPr>
                <w:sz w:val="15"/>
              </w:rPr>
              <w:t>MP-25</w:t>
            </w:r>
          </w:p>
        </w:tc>
        <w:tc>
          <w:tcPr>
            <w:tcW w:type="dxa" w:w="5040"/>
          </w:tcPr>
          <w:p>
            <w:r/>
            <w:r>
              <w:rPr>
                <w:sz w:val="15"/>
              </w:rPr>
              <w:t>Vigencia, renovación, nuevas inversiones, cambio y recuperación de modalidad; retiro y cierre</w:t>
            </w:r>
          </w:p>
        </w:tc>
        <w:tc>
          <w:tcPr>
            <w:tcW w:type="dxa" w:w="864"/>
          </w:tcPr>
          <w:p>
            <w:r/>
            <w:r>
              <w:rPr>
                <w:sz w:val="15"/>
              </w:rPr>
              <w:t>Fase 3</w:t>
            </w:r>
          </w:p>
        </w:tc>
        <w:tc>
          <w:tcPr>
            <w:tcW w:type="dxa" w:w="648"/>
          </w:tcPr>
          <w:p>
            <w:r/>
            <w:r>
              <w:rPr>
                <w:sz w:val="15"/>
              </w:rPr>
              <w:t>P3</w:t>
            </w:r>
          </w:p>
        </w:tc>
        <w:tc>
          <w:tcPr>
            <w:tcW w:type="dxa" w:w="648"/>
          </w:tcPr>
          <w:p>
            <w:r/>
            <w:r>
              <w:rPr>
                <w:sz w:val="15"/>
              </w:rPr>
              <w:t>3</w:t>
            </w:r>
          </w:p>
        </w:tc>
        <w:tc>
          <w:tcPr>
            <w:tcW w:type="dxa" w:w="1008"/>
          </w:tcPr>
          <w:p>
            <w:r/>
            <w:r>
              <w:rPr>
                <w:sz w:val="15"/>
              </w:rPr>
              <w:t>Media</w:t>
            </w:r>
          </w:p>
        </w:tc>
        <w:tc>
          <w:tcPr>
            <w:tcW w:type="dxa" w:w="1368"/>
          </w:tcPr>
          <w:p>
            <w:r/>
            <w:r>
              <w:rPr>
                <w:sz w:val="15"/>
              </w:rPr>
              <w:t>Pulir</w:t>
            </w:r>
          </w:p>
        </w:tc>
        <w:tc>
          <w:tcPr>
            <w:tcW w:type="dxa" w:w="2304"/>
          </w:tcPr>
          <w:p>
            <w:r/>
            <w:r>
              <w:rPr>
                <w:sz w:val="15"/>
              </w:rPr>
              <w:t>MP-05, MP-24</w:t>
            </w:r>
          </w:p>
        </w:tc>
      </w:tr>
      <w:tr>
        <w:tc>
          <w:tcPr>
            <w:tcW w:type="dxa" w:w="792"/>
          </w:tcPr>
          <w:p>
            <w:r/>
            <w:r>
              <w:rPr>
                <w:sz w:val="15"/>
              </w:rPr>
              <w:t>MP-26</w:t>
            </w:r>
          </w:p>
        </w:tc>
        <w:tc>
          <w:tcPr>
            <w:tcW w:type="dxa" w:w="5040"/>
          </w:tcPr>
          <w:p>
            <w:r/>
            <w:r>
              <w:rPr>
                <w:sz w:val="15"/>
              </w:rPr>
              <w:t>Administración centralizada de obligaciones e incumplimientos del empresario</w:t>
            </w:r>
          </w:p>
        </w:tc>
        <w:tc>
          <w:tcPr>
            <w:tcW w:type="dxa" w:w="864"/>
          </w:tcPr>
          <w:p>
            <w:r/>
            <w:r>
              <w:rPr>
                <w:sz w:val="15"/>
              </w:rPr>
              <w:t>Fase 3</w:t>
            </w:r>
          </w:p>
        </w:tc>
        <w:tc>
          <w:tcPr>
            <w:tcW w:type="dxa" w:w="648"/>
          </w:tcPr>
          <w:p>
            <w:r/>
            <w:r>
              <w:rPr>
                <w:sz w:val="15"/>
              </w:rPr>
              <w:t>P3</w:t>
            </w:r>
          </w:p>
        </w:tc>
        <w:tc>
          <w:tcPr>
            <w:tcW w:type="dxa" w:w="648"/>
          </w:tcPr>
          <w:p>
            <w:r/>
            <w:r>
              <w:rPr>
                <w:sz w:val="15"/>
              </w:rPr>
              <w:t>3</w:t>
            </w:r>
          </w:p>
        </w:tc>
        <w:tc>
          <w:tcPr>
            <w:tcW w:type="dxa" w:w="1008"/>
          </w:tcPr>
          <w:p>
            <w:r/>
            <w:r>
              <w:rPr>
                <w:sz w:val="15"/>
              </w:rPr>
              <w:t>Media</w:t>
            </w:r>
          </w:p>
        </w:tc>
        <w:tc>
          <w:tcPr>
            <w:tcW w:type="dxa" w:w="1368"/>
          </w:tcPr>
          <w:p>
            <w:r/>
            <w:r>
              <w:rPr>
                <w:sz w:val="15"/>
              </w:rPr>
              <w:t>Pulir</w:t>
            </w:r>
          </w:p>
        </w:tc>
        <w:tc>
          <w:tcPr>
            <w:tcW w:type="dxa" w:w="2304"/>
          </w:tcPr>
          <w:p>
            <w:r/>
            <w:r>
              <w:rPr>
                <w:sz w:val="15"/>
              </w:rPr>
              <w:t>MP-24</w:t>
            </w:r>
          </w:p>
        </w:tc>
      </w:tr>
      <w:tr>
        <w:tc>
          <w:tcPr>
            <w:tcW w:type="dxa" w:w="792"/>
          </w:tcPr>
          <w:p>
            <w:r/>
            <w:r>
              <w:rPr>
                <w:sz w:val="15"/>
              </w:rPr>
              <w:t>MP-27</w:t>
            </w:r>
          </w:p>
        </w:tc>
        <w:tc>
          <w:tcPr>
            <w:tcW w:type="dxa" w:w="5040"/>
          </w:tcPr>
          <w:p>
            <w:r/>
            <w:r>
              <w:rPr>
                <w:sz w:val="15"/>
              </w:rPr>
              <w:t>Medidas graduales por incumplimiento (restricción / suspensión preventiva / contractual / terminación) con causales concurrentes</w:t>
            </w:r>
          </w:p>
        </w:tc>
        <w:tc>
          <w:tcPr>
            <w:tcW w:type="dxa" w:w="864"/>
          </w:tcPr>
          <w:p>
            <w:r/>
            <w:r>
              <w:rPr>
                <w:sz w:val="15"/>
              </w:rPr>
              <w:t>Fase 3</w:t>
            </w:r>
          </w:p>
        </w:tc>
        <w:tc>
          <w:tcPr>
            <w:tcW w:type="dxa" w:w="648"/>
          </w:tcPr>
          <w:p>
            <w:r/>
            <w:r>
              <w:rPr>
                <w:sz w:val="15"/>
              </w:rPr>
              <w:t>P3</w:t>
            </w:r>
          </w:p>
        </w:tc>
        <w:tc>
          <w:tcPr>
            <w:tcW w:type="dxa" w:w="648"/>
          </w:tcPr>
          <w:p>
            <w:r/>
            <w:r>
              <w:rPr>
                <w:sz w:val="15"/>
              </w:rPr>
              <w:t>3.5</w:t>
            </w:r>
          </w:p>
        </w:tc>
        <w:tc>
          <w:tcPr>
            <w:tcW w:type="dxa" w:w="1008"/>
          </w:tcPr>
          <w:p>
            <w:r/>
            <w:r>
              <w:rPr>
                <w:sz w:val="15"/>
              </w:rPr>
              <w:t>Alta</w:t>
            </w:r>
          </w:p>
        </w:tc>
        <w:tc>
          <w:tcPr>
            <w:tcW w:type="dxa" w:w="1368"/>
          </w:tcPr>
          <w:p>
            <w:r/>
            <w:r>
              <w:rPr>
                <w:sz w:val="15"/>
              </w:rPr>
              <w:t>Pulir</w:t>
            </w:r>
          </w:p>
        </w:tc>
        <w:tc>
          <w:tcPr>
            <w:tcW w:type="dxa" w:w="2304"/>
          </w:tcPr>
          <w:p>
            <w:r/>
            <w:r>
              <w:rPr>
                <w:sz w:val="15"/>
              </w:rPr>
              <w:t>MP-24, MP-26</w:t>
            </w:r>
          </w:p>
        </w:tc>
      </w:tr>
      <w:tr>
        <w:tc>
          <w:tcPr>
            <w:tcW w:type="dxa" w:w="792"/>
          </w:tcPr>
          <w:p>
            <w:r/>
            <w:r>
              <w:rPr>
                <w:sz w:val="15"/>
              </w:rPr>
              <w:t>MP-28</w:t>
            </w:r>
          </w:p>
        </w:tc>
        <w:tc>
          <w:tcPr>
            <w:tcW w:type="dxa" w:w="5040"/>
          </w:tcPr>
          <w:p>
            <w:r/>
            <w:r>
              <w:rPr>
                <w:sz w:val="15"/>
              </w:rPr>
              <w:t>SGSI de prevención del fraude por dominio (alertas tipificadas, falsos positivos, cadena de custodia) y protección de datos</w:t>
            </w:r>
          </w:p>
        </w:tc>
        <w:tc>
          <w:tcPr>
            <w:tcW w:type="dxa" w:w="864"/>
          </w:tcPr>
          <w:p>
            <w:r/>
            <w:r>
              <w:rPr>
                <w:sz w:val="15"/>
              </w:rPr>
              <w:t>Fase 3</w:t>
            </w:r>
          </w:p>
        </w:tc>
        <w:tc>
          <w:tcPr>
            <w:tcW w:type="dxa" w:w="648"/>
          </w:tcPr>
          <w:p>
            <w:r/>
            <w:r>
              <w:rPr>
                <w:sz w:val="15"/>
              </w:rPr>
              <w:t>P3</w:t>
            </w:r>
          </w:p>
        </w:tc>
        <w:tc>
          <w:tcPr>
            <w:tcW w:type="dxa" w:w="648"/>
          </w:tcPr>
          <w:p>
            <w:r/>
            <w:r>
              <w:rPr>
                <w:sz w:val="15"/>
              </w:rPr>
              <w:t>4.5</w:t>
            </w:r>
          </w:p>
        </w:tc>
        <w:tc>
          <w:tcPr>
            <w:tcW w:type="dxa" w:w="1008"/>
          </w:tcPr>
          <w:p>
            <w:r/>
            <w:r>
              <w:rPr>
                <w:sz w:val="15"/>
              </w:rPr>
              <w:t>Alta</w:t>
            </w:r>
          </w:p>
        </w:tc>
        <w:tc>
          <w:tcPr>
            <w:tcW w:type="dxa" w:w="1368"/>
          </w:tcPr>
          <w:p>
            <w:r/>
            <w:r>
              <w:rPr>
                <w:sz w:val="15"/>
              </w:rPr>
              <w:t>Pulir</w:t>
            </w:r>
          </w:p>
        </w:tc>
        <w:tc>
          <w:tcPr>
            <w:tcW w:type="dxa" w:w="2304"/>
          </w:tcPr>
          <w:p>
            <w:r/>
            <w:r>
              <w:rPr>
                <w:sz w:val="15"/>
              </w:rPr>
              <w:t>MP-24, MP-34</w:t>
            </w:r>
          </w:p>
        </w:tc>
      </w:tr>
      <w:tr>
        <w:tc>
          <w:tcPr>
            <w:tcW w:type="dxa" w:w="792"/>
          </w:tcPr>
          <w:p>
            <w:r/>
            <w:r>
              <w:rPr>
                <w:sz w:val="15"/>
              </w:rPr>
              <w:t>MP-29</w:t>
            </w:r>
          </w:p>
        </w:tc>
        <w:tc>
          <w:tcPr>
            <w:tcW w:type="dxa" w:w="5040"/>
          </w:tcPr>
          <w:p>
            <w:r/>
            <w:r>
              <w:rPr>
                <w:sz w:val="15"/>
              </w:rPr>
              <w:t>Posventa: garantías, cambios, devoluciones, retracto y reversión del pago con ajuste integral</w:t>
            </w:r>
          </w:p>
        </w:tc>
        <w:tc>
          <w:tcPr>
            <w:tcW w:type="dxa" w:w="864"/>
          </w:tcPr>
          <w:p>
            <w:r/>
            <w:r>
              <w:rPr>
                <w:sz w:val="15"/>
              </w:rPr>
              <w:t>Fase 3</w:t>
            </w:r>
          </w:p>
        </w:tc>
        <w:tc>
          <w:tcPr>
            <w:tcW w:type="dxa" w:w="648"/>
          </w:tcPr>
          <w:p>
            <w:r/>
            <w:r>
              <w:rPr>
                <w:sz w:val="15"/>
              </w:rPr>
              <w:t>P3</w:t>
            </w:r>
          </w:p>
        </w:tc>
        <w:tc>
          <w:tcPr>
            <w:tcW w:type="dxa" w:w="648"/>
          </w:tcPr>
          <w:p>
            <w:r/>
            <w:r>
              <w:rPr>
                <w:sz w:val="15"/>
              </w:rPr>
              <w:t>3.5</w:t>
            </w:r>
          </w:p>
        </w:tc>
        <w:tc>
          <w:tcPr>
            <w:tcW w:type="dxa" w:w="1008"/>
          </w:tcPr>
          <w:p>
            <w:r/>
            <w:r>
              <w:rPr>
                <w:sz w:val="15"/>
              </w:rPr>
              <w:t>Alta</w:t>
            </w:r>
          </w:p>
        </w:tc>
        <w:tc>
          <w:tcPr>
            <w:tcW w:type="dxa" w:w="1368"/>
          </w:tcPr>
          <w:p>
            <w:r/>
            <w:r>
              <w:rPr>
                <w:sz w:val="15"/>
              </w:rPr>
              <w:t>Pulir</w:t>
            </w:r>
          </w:p>
        </w:tc>
        <w:tc>
          <w:tcPr>
            <w:tcW w:type="dxa" w:w="2304"/>
          </w:tcPr>
          <w:p>
            <w:r/>
            <w:r>
              <w:rPr>
                <w:sz w:val="15"/>
              </w:rPr>
              <w:t>MP-13, MP-30</w:t>
            </w:r>
          </w:p>
        </w:tc>
      </w:tr>
      <w:tr>
        <w:tc>
          <w:tcPr>
            <w:tcW w:type="dxa" w:w="792"/>
          </w:tcPr>
          <w:p>
            <w:r/>
            <w:r>
              <w:rPr>
                <w:sz w:val="15"/>
              </w:rPr>
              <w:t>MP-30</w:t>
            </w:r>
          </w:p>
        </w:tc>
        <w:tc>
          <w:tcPr>
            <w:tcW w:type="dxa" w:w="5040"/>
          </w:tcPr>
          <w:p>
            <w:r/>
            <w:r>
              <w:rPr>
                <w:sz w:val="15"/>
              </w:rPr>
              <w:t>Motor transversal de anulaciones, devoluciones, reversos y ajustes económicos</w:t>
            </w:r>
          </w:p>
        </w:tc>
        <w:tc>
          <w:tcPr>
            <w:tcW w:type="dxa" w:w="864"/>
          </w:tcPr>
          <w:p>
            <w:r/>
            <w:r>
              <w:rPr>
                <w:sz w:val="15"/>
              </w:rPr>
              <w:t>Fase 3</w:t>
            </w:r>
          </w:p>
        </w:tc>
        <w:tc>
          <w:tcPr>
            <w:tcW w:type="dxa" w:w="648"/>
          </w:tcPr>
          <w:p>
            <w:r/>
            <w:r>
              <w:rPr>
                <w:sz w:val="15"/>
              </w:rPr>
              <w:t>P3</w:t>
            </w:r>
          </w:p>
        </w:tc>
        <w:tc>
          <w:tcPr>
            <w:tcW w:type="dxa" w:w="648"/>
          </w:tcPr>
          <w:p>
            <w:r/>
            <w:r>
              <w:rPr>
                <w:sz w:val="15"/>
              </w:rPr>
              <w:t>3</w:t>
            </w:r>
          </w:p>
        </w:tc>
        <w:tc>
          <w:tcPr>
            <w:tcW w:type="dxa" w:w="1008"/>
          </w:tcPr>
          <w:p>
            <w:r/>
            <w:r>
              <w:rPr>
                <w:sz w:val="15"/>
              </w:rPr>
              <w:t>Alta</w:t>
            </w:r>
          </w:p>
        </w:tc>
        <w:tc>
          <w:tcPr>
            <w:tcW w:type="dxa" w:w="1368"/>
          </w:tcPr>
          <w:p>
            <w:r/>
            <w:r>
              <w:rPr>
                <w:sz w:val="15"/>
              </w:rPr>
              <w:t>Pulir</w:t>
            </w:r>
          </w:p>
        </w:tc>
        <w:tc>
          <w:tcPr>
            <w:tcW w:type="dxa" w:w="2304"/>
          </w:tcPr>
          <w:p>
            <w:r/>
            <w:r>
              <w:rPr>
                <w:sz w:val="15"/>
              </w:rPr>
              <w:t>MP-05, MP-06, MP-07, MP-12, MP-17</w:t>
            </w:r>
          </w:p>
        </w:tc>
      </w:tr>
      <w:tr>
        <w:tc>
          <w:tcPr>
            <w:tcW w:type="dxa" w:w="792"/>
          </w:tcPr>
          <w:p>
            <w:r/>
            <w:r>
              <w:rPr>
                <w:sz w:val="15"/>
              </w:rPr>
              <w:t>MP-31</w:t>
            </w:r>
          </w:p>
        </w:tc>
        <w:tc>
          <w:tcPr>
            <w:tcW w:type="dxa" w:w="5040"/>
          </w:tcPr>
          <w:p>
            <w:r/>
            <w:r>
              <w:rPr>
                <w:sz w:val="15"/>
              </w:rPr>
              <w:t>Métricas del empresario: ordinarias, económicas/dispersión, campañas/patrocinios/posventa, marcas de IA</w:t>
            </w:r>
          </w:p>
        </w:tc>
        <w:tc>
          <w:tcPr>
            <w:tcW w:type="dxa" w:w="864"/>
          </w:tcPr>
          <w:p>
            <w:r/>
            <w:r>
              <w:rPr>
                <w:sz w:val="15"/>
              </w:rPr>
              <w:t>Fase 3</w:t>
            </w:r>
          </w:p>
        </w:tc>
        <w:tc>
          <w:tcPr>
            <w:tcW w:type="dxa" w:w="648"/>
          </w:tcPr>
          <w:p>
            <w:r/>
            <w:r>
              <w:rPr>
                <w:sz w:val="15"/>
              </w:rPr>
              <w:t>P3</w:t>
            </w:r>
          </w:p>
        </w:tc>
        <w:tc>
          <w:tcPr>
            <w:tcW w:type="dxa" w:w="648"/>
          </w:tcPr>
          <w:p>
            <w:r/>
            <w:r>
              <w:rPr>
                <w:sz w:val="15"/>
              </w:rPr>
              <w:t>3.5</w:t>
            </w:r>
          </w:p>
        </w:tc>
        <w:tc>
          <w:tcPr>
            <w:tcW w:type="dxa" w:w="1008"/>
          </w:tcPr>
          <w:p>
            <w:r/>
            <w:r>
              <w:rPr>
                <w:sz w:val="15"/>
              </w:rPr>
              <w:t>Media</w:t>
            </w:r>
          </w:p>
        </w:tc>
        <w:tc>
          <w:tcPr>
            <w:tcW w:type="dxa" w:w="1368"/>
          </w:tcPr>
          <w:p>
            <w:r/>
            <w:r>
              <w:rPr>
                <w:sz w:val="15"/>
              </w:rPr>
              <w:t>Pulir</w:t>
            </w:r>
          </w:p>
        </w:tc>
        <w:tc>
          <w:tcPr>
            <w:tcW w:type="dxa" w:w="2304"/>
          </w:tcPr>
          <w:p>
            <w:r/>
            <w:r>
              <w:rPr>
                <w:sz w:val="15"/>
              </w:rPr>
              <w:t>MP-05, MP-06, MP-07, MP-16, MP-22</w:t>
            </w:r>
          </w:p>
        </w:tc>
      </w:tr>
      <w:tr>
        <w:tc>
          <w:tcPr>
            <w:tcW w:type="dxa" w:w="792"/>
          </w:tcPr>
          <w:p>
            <w:r/>
            <w:r>
              <w:rPr>
                <w:sz w:val="15"/>
              </w:rPr>
              <w:t>MP-32</w:t>
            </w:r>
          </w:p>
        </w:tc>
        <w:tc>
          <w:tcPr>
            <w:tcW w:type="dxa" w:w="5040"/>
          </w:tcPr>
          <w:p>
            <w:r/>
            <w:r>
              <w:rPr>
                <w:sz w:val="15"/>
              </w:rPr>
              <w:t>Motor central de reglas parametrizables, versionamiento contractual y jerarquía documental</w:t>
            </w:r>
          </w:p>
        </w:tc>
        <w:tc>
          <w:tcPr>
            <w:tcW w:type="dxa" w:w="864"/>
          </w:tcPr>
          <w:p>
            <w:r/>
            <w:r>
              <w:rPr>
                <w:sz w:val="15"/>
              </w:rPr>
              <w:t>Fase 3</w:t>
            </w:r>
          </w:p>
        </w:tc>
        <w:tc>
          <w:tcPr>
            <w:tcW w:type="dxa" w:w="648"/>
          </w:tcPr>
          <w:p>
            <w:r/>
            <w:r>
              <w:rPr>
                <w:sz w:val="15"/>
              </w:rPr>
              <w:t>P3</w:t>
            </w:r>
          </w:p>
        </w:tc>
        <w:tc>
          <w:tcPr>
            <w:tcW w:type="dxa" w:w="648"/>
          </w:tcPr>
          <w:p>
            <w:r/>
            <w:r>
              <w:rPr>
                <w:sz w:val="15"/>
              </w:rPr>
              <w:t>3.5</w:t>
            </w:r>
          </w:p>
        </w:tc>
        <w:tc>
          <w:tcPr>
            <w:tcW w:type="dxa" w:w="1008"/>
          </w:tcPr>
          <w:p>
            <w:r/>
            <w:r>
              <w:rPr>
                <w:sz w:val="15"/>
              </w:rPr>
              <w:t>Alta</w:t>
            </w:r>
          </w:p>
        </w:tc>
        <w:tc>
          <w:tcPr>
            <w:tcW w:type="dxa" w:w="1368"/>
          </w:tcPr>
          <w:p>
            <w:r/>
            <w:r>
              <w:rPr>
                <w:sz w:val="15"/>
              </w:rPr>
              <w:t>Pulir</w:t>
            </w:r>
          </w:p>
        </w:tc>
        <w:tc>
          <w:tcPr>
            <w:tcW w:type="dxa" w:w="2304"/>
          </w:tcPr>
          <w:p>
            <w:r/>
            <w:r>
              <w:rPr>
                <w:sz w:val="15"/>
              </w:rPr>
              <w:t>—</w:t>
            </w:r>
          </w:p>
        </w:tc>
      </w:tr>
      <w:tr>
        <w:tc>
          <w:tcPr>
            <w:tcW w:type="dxa" w:w="792"/>
          </w:tcPr>
          <w:p>
            <w:r/>
            <w:r>
              <w:rPr>
                <w:sz w:val="15"/>
              </w:rPr>
              <w:t>MP-33</w:t>
            </w:r>
          </w:p>
        </w:tc>
        <w:tc>
          <w:tcPr>
            <w:tcW w:type="dxa" w:w="5040"/>
          </w:tcPr>
          <w:p>
            <w:r/>
            <w:r>
              <w:rPr>
                <w:sz w:val="15"/>
              </w:rPr>
              <w:t>Consentimiento electrónico, gestión documental contractual y Evidencia Digital</w:t>
            </w:r>
          </w:p>
        </w:tc>
        <w:tc>
          <w:tcPr>
            <w:tcW w:type="dxa" w:w="864"/>
          </w:tcPr>
          <w:p>
            <w:r/>
            <w:r>
              <w:rPr>
                <w:sz w:val="15"/>
              </w:rPr>
              <w:t>Fase 3</w:t>
            </w:r>
          </w:p>
        </w:tc>
        <w:tc>
          <w:tcPr>
            <w:tcW w:type="dxa" w:w="648"/>
          </w:tcPr>
          <w:p>
            <w:r/>
            <w:r>
              <w:rPr>
                <w:sz w:val="15"/>
              </w:rPr>
              <w:t>P3</w:t>
            </w:r>
          </w:p>
        </w:tc>
        <w:tc>
          <w:tcPr>
            <w:tcW w:type="dxa" w:w="648"/>
          </w:tcPr>
          <w:p>
            <w:r/>
            <w:r>
              <w:rPr>
                <w:sz w:val="15"/>
              </w:rPr>
              <w:t>2.5</w:t>
            </w:r>
          </w:p>
        </w:tc>
        <w:tc>
          <w:tcPr>
            <w:tcW w:type="dxa" w:w="1008"/>
          </w:tcPr>
          <w:p>
            <w:r/>
            <w:r>
              <w:rPr>
                <w:sz w:val="15"/>
              </w:rPr>
              <w:t>Media</w:t>
            </w:r>
          </w:p>
        </w:tc>
        <w:tc>
          <w:tcPr>
            <w:tcW w:type="dxa" w:w="1368"/>
          </w:tcPr>
          <w:p>
            <w:r/>
            <w:r>
              <w:rPr>
                <w:sz w:val="15"/>
              </w:rPr>
              <w:t>Pulir</w:t>
            </w:r>
          </w:p>
        </w:tc>
        <w:tc>
          <w:tcPr>
            <w:tcW w:type="dxa" w:w="2304"/>
          </w:tcPr>
          <w:p>
            <w:r/>
            <w:r>
              <w:rPr>
                <w:sz w:val="15"/>
              </w:rPr>
              <w:t>MP-32</w:t>
            </w:r>
          </w:p>
        </w:tc>
      </w:tr>
      <w:tr>
        <w:tc>
          <w:tcPr>
            <w:tcW w:type="dxa" w:w="792"/>
          </w:tcPr>
          <w:p>
            <w:r/>
            <w:r>
              <w:rPr>
                <w:sz w:val="15"/>
              </w:rPr>
              <w:t>MP-34</w:t>
            </w:r>
          </w:p>
        </w:tc>
        <w:tc>
          <w:tcPr>
            <w:tcW w:type="dxa" w:w="5040"/>
          </w:tcPr>
          <w:p>
            <w:r/>
            <w:r>
              <w:rPr>
                <w:sz w:val="15"/>
              </w:rPr>
              <w:t>Trazabilidad transversal, idempotencia y auditoría integral (controles transversales de la guía)</w:t>
            </w:r>
          </w:p>
        </w:tc>
        <w:tc>
          <w:tcPr>
            <w:tcW w:type="dxa" w:w="864"/>
          </w:tcPr>
          <w:p>
            <w:r/>
            <w:r>
              <w:rPr>
                <w:sz w:val="15"/>
              </w:rPr>
              <w:t>Fase 1</w:t>
            </w:r>
          </w:p>
        </w:tc>
        <w:tc>
          <w:tcPr>
            <w:tcW w:type="dxa" w:w="648"/>
          </w:tcPr>
          <w:p>
            <w:r/>
            <w:r>
              <w:rPr>
                <w:sz w:val="15"/>
              </w:rPr>
              <w:t>P1</w:t>
            </w:r>
          </w:p>
        </w:tc>
        <w:tc>
          <w:tcPr>
            <w:tcW w:type="dxa" w:w="648"/>
          </w:tcPr>
          <w:p>
            <w:r/>
            <w:r>
              <w:rPr>
                <w:sz w:val="15"/>
              </w:rPr>
              <w:t>3</w:t>
            </w:r>
          </w:p>
        </w:tc>
        <w:tc>
          <w:tcPr>
            <w:tcW w:type="dxa" w:w="1008"/>
          </w:tcPr>
          <w:p>
            <w:r/>
            <w:r>
              <w:rPr>
                <w:sz w:val="15"/>
              </w:rPr>
              <w:t>Alta</w:t>
            </w:r>
          </w:p>
        </w:tc>
        <w:tc>
          <w:tcPr>
            <w:tcW w:type="dxa" w:w="1368"/>
          </w:tcPr>
          <w:p>
            <w:r/>
            <w:r>
              <w:rPr>
                <w:sz w:val="15"/>
              </w:rPr>
              <w:t>Pulir</w:t>
            </w:r>
          </w:p>
        </w:tc>
        <w:tc>
          <w:tcPr>
            <w:tcW w:type="dxa" w:w="2304"/>
          </w:tcPr>
          <w:p>
            <w:r/>
            <w:r>
              <w:rPr>
                <w:sz w:val="15"/>
              </w:rPr>
              <w:t>—</w:t>
            </w:r>
          </w:p>
        </w:tc>
      </w:tr>
      <w:tr>
        <w:tc>
          <w:tcPr>
            <w:tcW w:type="dxa" w:w="792"/>
          </w:tcPr>
          <w:p>
            <w:r/>
            <w:r>
              <w:rPr>
                <w:sz w:val="15"/>
              </w:rPr>
              <w:t>MP-35</w:t>
            </w:r>
          </w:p>
        </w:tc>
        <w:tc>
          <w:tcPr>
            <w:tcW w:type="dxa" w:w="5040"/>
          </w:tcPr>
          <w:p>
            <w:r/>
            <w:r>
              <w:rPr>
                <w:sz w:val="15"/>
              </w:rPr>
              <w:t>Comunicaciones multicanal y registro central (web como fuente oficial + WhatsApp/SMS/email)</w:t>
            </w:r>
          </w:p>
        </w:tc>
        <w:tc>
          <w:tcPr>
            <w:tcW w:type="dxa" w:w="864"/>
          </w:tcPr>
          <w:p>
            <w:r/>
            <w:r>
              <w:rPr>
                <w:sz w:val="15"/>
              </w:rPr>
              <w:t>Fase 3</w:t>
            </w:r>
          </w:p>
        </w:tc>
        <w:tc>
          <w:tcPr>
            <w:tcW w:type="dxa" w:w="648"/>
          </w:tcPr>
          <w:p>
            <w:r/>
            <w:r>
              <w:rPr>
                <w:sz w:val="15"/>
              </w:rPr>
              <w:t>P3</w:t>
            </w:r>
          </w:p>
        </w:tc>
        <w:tc>
          <w:tcPr>
            <w:tcW w:type="dxa" w:w="648"/>
          </w:tcPr>
          <w:p>
            <w:r/>
            <w:r>
              <w:rPr>
                <w:sz w:val="15"/>
              </w:rPr>
              <w:t>2.5</w:t>
            </w:r>
          </w:p>
        </w:tc>
        <w:tc>
          <w:tcPr>
            <w:tcW w:type="dxa" w:w="1008"/>
          </w:tcPr>
          <w:p>
            <w:r/>
            <w:r>
              <w:rPr>
                <w:sz w:val="15"/>
              </w:rPr>
              <w:t>Media</w:t>
            </w:r>
          </w:p>
        </w:tc>
        <w:tc>
          <w:tcPr>
            <w:tcW w:type="dxa" w:w="1368"/>
          </w:tcPr>
          <w:p>
            <w:r/>
            <w:r>
              <w:rPr>
                <w:sz w:val="15"/>
              </w:rPr>
              <w:t>Pulir</w:t>
            </w:r>
          </w:p>
        </w:tc>
        <w:tc>
          <w:tcPr>
            <w:tcW w:type="dxa" w:w="2304"/>
          </w:tcPr>
          <w:p>
            <w:r/>
            <w:r>
              <w:rPr>
                <w:sz w:val="15"/>
              </w:rPr>
              <w:t>MP-34</w:t>
            </w:r>
          </w:p>
        </w:tc>
      </w:tr>
      <w:tr>
        <w:tc>
          <w:tcPr>
            <w:tcW w:type="dxa" w:w="792"/>
          </w:tcPr>
          <w:p>
            <w:r/>
            <w:r>
              <w:rPr>
                <w:sz w:val="15"/>
              </w:rPr>
              <w:t>MP-36</w:t>
            </w:r>
          </w:p>
        </w:tc>
        <w:tc>
          <w:tcPr>
            <w:tcW w:type="dxa" w:w="5040"/>
          </w:tcPr>
          <w:p>
            <w:r/>
            <w:r>
              <w:rPr>
                <w:sz w:val="15"/>
              </w:rPr>
              <w:t>Régimen de Aliados Estratégicos (telecom/conectividad/streaming) — contratos independientes</w:t>
            </w:r>
          </w:p>
        </w:tc>
        <w:tc>
          <w:tcPr>
            <w:tcW w:type="dxa" w:w="864"/>
          </w:tcPr>
          <w:p>
            <w:r/>
            <w:r>
              <w:rPr>
                <w:sz w:val="15"/>
              </w:rPr>
              <w:t>Fase 3</w:t>
            </w:r>
          </w:p>
        </w:tc>
        <w:tc>
          <w:tcPr>
            <w:tcW w:type="dxa" w:w="648"/>
          </w:tcPr>
          <w:p>
            <w:r/>
            <w:r>
              <w:rPr>
                <w:sz w:val="15"/>
              </w:rPr>
              <w:t>P3</w:t>
            </w:r>
          </w:p>
        </w:tc>
        <w:tc>
          <w:tcPr>
            <w:tcW w:type="dxa" w:w="648"/>
          </w:tcPr>
          <w:p>
            <w:r/>
            <w:r>
              <w:rPr>
                <w:sz w:val="15"/>
              </w:rPr>
              <w:t>3</w:t>
            </w:r>
          </w:p>
        </w:tc>
        <w:tc>
          <w:tcPr>
            <w:tcW w:type="dxa" w:w="1008"/>
          </w:tcPr>
          <w:p>
            <w:r/>
            <w:r>
              <w:rPr>
                <w:sz w:val="15"/>
              </w:rPr>
              <w:t>Alta</w:t>
            </w:r>
          </w:p>
        </w:tc>
        <w:tc>
          <w:tcPr>
            <w:tcW w:type="dxa" w:w="1368"/>
          </w:tcPr>
          <w:p>
            <w:r/>
            <w:r>
              <w:rPr>
                <w:sz w:val="15"/>
              </w:rPr>
              <w:t>Nuevo</w:t>
            </w:r>
          </w:p>
        </w:tc>
        <w:tc>
          <w:tcPr>
            <w:tcW w:type="dxa" w:w="2304"/>
          </w:tcPr>
          <w:p>
            <w:r/>
            <w:r>
              <w:rPr>
                <w:sz w:val="15"/>
              </w:rPr>
              <w:t>MP-06, MP-07, MP-08</w:t>
            </w:r>
          </w:p>
        </w:tc>
      </w:tr>
      <w:tr>
        <w:tc>
          <w:tcPr>
            <w:tcW w:type="dxa" w:w="792"/>
          </w:tcPr>
          <w:p>
            <w:r/>
            <w:r>
              <w:rPr>
                <w:sz w:val="15"/>
              </w:rPr>
              <w:t>MP-37</w:t>
            </w:r>
          </w:p>
        </w:tc>
        <w:tc>
          <w:tcPr>
            <w:tcW w:type="dxa" w:w="5040"/>
          </w:tcPr>
          <w:p>
            <w:r/>
            <w:r>
              <w:rPr>
                <w:sz w:val="15"/>
              </w:rPr>
              <w:t>Motor de Consentimiento Electrónico y Versionamiento Contractual del Usuario (Consumidor)</w:t>
            </w:r>
          </w:p>
        </w:tc>
        <w:tc>
          <w:tcPr>
            <w:tcW w:type="dxa" w:w="864"/>
          </w:tcPr>
          <w:p>
            <w:r/>
            <w:r>
              <w:rPr>
                <w:sz w:val="15"/>
              </w:rPr>
              <w:t>Fase 1</w:t>
            </w:r>
          </w:p>
        </w:tc>
        <w:tc>
          <w:tcPr>
            <w:tcW w:type="dxa" w:w="648"/>
          </w:tcPr>
          <w:p>
            <w:r/>
            <w:r>
              <w:rPr>
                <w:sz w:val="15"/>
              </w:rPr>
              <w:t>P1</w:t>
            </w:r>
          </w:p>
        </w:tc>
        <w:tc>
          <w:tcPr>
            <w:tcW w:type="dxa" w:w="648"/>
          </w:tcPr>
          <w:p>
            <w:r/>
            <w:r>
              <w:rPr>
                <w:sz w:val="15"/>
              </w:rPr>
              <w:t>3.5</w:t>
            </w:r>
          </w:p>
        </w:tc>
        <w:tc>
          <w:tcPr>
            <w:tcW w:type="dxa" w:w="1008"/>
          </w:tcPr>
          <w:p>
            <w:r/>
            <w:r>
              <w:rPr>
                <w:sz w:val="15"/>
              </w:rPr>
              <w:t>Alta</w:t>
            </w:r>
          </w:p>
        </w:tc>
        <w:tc>
          <w:tcPr>
            <w:tcW w:type="dxa" w:w="1368"/>
          </w:tcPr>
          <w:p>
            <w:r/>
            <w:r>
              <w:rPr>
                <w:sz w:val="15"/>
              </w:rPr>
              <w:t>Pulir/Nuevo</w:t>
            </w:r>
          </w:p>
        </w:tc>
        <w:tc>
          <w:tcPr>
            <w:tcW w:type="dxa" w:w="2304"/>
          </w:tcPr>
          <w:p>
            <w:r/>
            <w:r>
              <w:rPr>
                <w:sz w:val="15"/>
              </w:rPr>
              <w:t>MP-33</w:t>
            </w:r>
          </w:p>
        </w:tc>
      </w:tr>
      <w:tr>
        <w:tc>
          <w:tcPr>
            <w:tcW w:type="dxa" w:w="792"/>
          </w:tcPr>
          <w:p>
            <w:r/>
            <w:r>
              <w:rPr>
                <w:sz w:val="15"/>
              </w:rPr>
              <w:t>MP-38</w:t>
            </w:r>
          </w:p>
        </w:tc>
        <w:tc>
          <w:tcPr>
            <w:tcW w:type="dxa" w:w="5040"/>
          </w:tcPr>
          <w:p>
            <w:r/>
            <w:r>
              <w:rPr>
                <w:sz w:val="15"/>
              </w:rPr>
              <w:t>Registro, Cuenta Única y Mayoría de Edad del Usuario (Consumidor)</w:t>
            </w:r>
          </w:p>
        </w:tc>
        <w:tc>
          <w:tcPr>
            <w:tcW w:type="dxa" w:w="864"/>
          </w:tcPr>
          <w:p>
            <w:r/>
            <w:r>
              <w:rPr>
                <w:sz w:val="15"/>
              </w:rPr>
              <w:t>Fase 1</w:t>
            </w:r>
          </w:p>
        </w:tc>
        <w:tc>
          <w:tcPr>
            <w:tcW w:type="dxa" w:w="648"/>
          </w:tcPr>
          <w:p>
            <w:r/>
            <w:r>
              <w:rPr>
                <w:sz w:val="15"/>
              </w:rPr>
              <w:t>P1</w:t>
            </w:r>
          </w:p>
        </w:tc>
        <w:tc>
          <w:tcPr>
            <w:tcW w:type="dxa" w:w="648"/>
          </w:tcPr>
          <w:p>
            <w:r/>
            <w:r>
              <w:rPr>
                <w:sz w:val="15"/>
              </w:rPr>
              <w:t>2.5</w:t>
            </w:r>
          </w:p>
        </w:tc>
        <w:tc>
          <w:tcPr>
            <w:tcW w:type="dxa" w:w="1008"/>
          </w:tcPr>
          <w:p>
            <w:r/>
            <w:r>
              <w:rPr>
                <w:sz w:val="15"/>
              </w:rPr>
              <w:t>Media</w:t>
            </w:r>
          </w:p>
        </w:tc>
        <w:tc>
          <w:tcPr>
            <w:tcW w:type="dxa" w:w="1368"/>
          </w:tcPr>
          <w:p>
            <w:r/>
            <w:r>
              <w:rPr>
                <w:sz w:val="15"/>
              </w:rPr>
              <w:t>Pulir</w:t>
            </w:r>
          </w:p>
        </w:tc>
        <w:tc>
          <w:tcPr>
            <w:tcW w:type="dxa" w:w="2304"/>
          </w:tcPr>
          <w:p>
            <w:r/>
            <w:r>
              <w:rPr>
                <w:sz w:val="15"/>
              </w:rPr>
              <w:t>—</w:t>
            </w:r>
          </w:p>
        </w:tc>
      </w:tr>
      <w:tr>
        <w:tc>
          <w:tcPr>
            <w:tcW w:type="dxa" w:w="792"/>
          </w:tcPr>
          <w:p>
            <w:r/>
            <w:r>
              <w:rPr>
                <w:sz w:val="15"/>
              </w:rPr>
              <w:t>MP-39</w:t>
            </w:r>
          </w:p>
        </w:tc>
        <w:tc>
          <w:tcPr>
            <w:tcW w:type="dxa" w:w="5040"/>
          </w:tcPr>
          <w:p>
            <w:r/>
            <w:r>
              <w:rPr>
                <w:sz w:val="15"/>
              </w:rPr>
              <w:t>Seguridad de la Cuenta del Usuario: Autenticación, Dispositivos, Recuperación y Alertas</w:t>
            </w:r>
          </w:p>
        </w:tc>
        <w:tc>
          <w:tcPr>
            <w:tcW w:type="dxa" w:w="864"/>
          </w:tcPr>
          <w:p>
            <w:r/>
            <w:r>
              <w:rPr>
                <w:sz w:val="15"/>
              </w:rPr>
              <w:t>Fase 2</w:t>
            </w:r>
          </w:p>
        </w:tc>
        <w:tc>
          <w:tcPr>
            <w:tcW w:type="dxa" w:w="648"/>
          </w:tcPr>
          <w:p>
            <w:r/>
            <w:r>
              <w:rPr>
                <w:sz w:val="15"/>
              </w:rPr>
              <w:t>P2</w:t>
            </w:r>
          </w:p>
        </w:tc>
        <w:tc>
          <w:tcPr>
            <w:tcW w:type="dxa" w:w="648"/>
          </w:tcPr>
          <w:p>
            <w:r/>
            <w:r>
              <w:rPr>
                <w:sz w:val="15"/>
              </w:rPr>
              <w:t>3</w:t>
            </w:r>
          </w:p>
        </w:tc>
        <w:tc>
          <w:tcPr>
            <w:tcW w:type="dxa" w:w="1008"/>
          </w:tcPr>
          <w:p>
            <w:r/>
            <w:r>
              <w:rPr>
                <w:sz w:val="15"/>
              </w:rPr>
              <w:t>Alta</w:t>
            </w:r>
          </w:p>
        </w:tc>
        <w:tc>
          <w:tcPr>
            <w:tcW w:type="dxa" w:w="1368"/>
          </w:tcPr>
          <w:p>
            <w:r/>
            <w:r>
              <w:rPr>
                <w:sz w:val="15"/>
              </w:rPr>
              <w:t>Pulir</w:t>
            </w:r>
          </w:p>
        </w:tc>
        <w:tc>
          <w:tcPr>
            <w:tcW w:type="dxa" w:w="2304"/>
          </w:tcPr>
          <w:p>
            <w:r/>
            <w:r>
              <w:rPr>
                <w:sz w:val="15"/>
              </w:rPr>
              <w:t>MP-28, MP-38</w:t>
            </w:r>
          </w:p>
        </w:tc>
      </w:tr>
      <w:tr>
        <w:tc>
          <w:tcPr>
            <w:tcW w:type="dxa" w:w="792"/>
          </w:tcPr>
          <w:p>
            <w:r/>
            <w:r>
              <w:rPr>
                <w:sz w:val="15"/>
              </w:rPr>
              <w:t>MP-40</w:t>
            </w:r>
          </w:p>
        </w:tc>
        <w:tc>
          <w:tcPr>
            <w:tcW w:type="dxa" w:w="5040"/>
          </w:tcPr>
          <w:p>
            <w:r/>
            <w:r>
              <w:rPr>
                <w:sz w:val="15"/>
              </w:rPr>
              <w:t>Mascota Virtual y Asistente Inteligente VERYGANA: Plan de Cuidado, Clínica y Salvaguardas Legales</w:t>
            </w:r>
          </w:p>
        </w:tc>
        <w:tc>
          <w:tcPr>
            <w:tcW w:type="dxa" w:w="864"/>
          </w:tcPr>
          <w:p>
            <w:r/>
            <w:r>
              <w:rPr>
                <w:sz w:val="15"/>
              </w:rPr>
              <w:t>Fase 2</w:t>
            </w:r>
          </w:p>
        </w:tc>
        <w:tc>
          <w:tcPr>
            <w:tcW w:type="dxa" w:w="648"/>
          </w:tcPr>
          <w:p>
            <w:r/>
            <w:r>
              <w:rPr>
                <w:sz w:val="15"/>
              </w:rPr>
              <w:t>P2</w:t>
            </w:r>
          </w:p>
        </w:tc>
        <w:tc>
          <w:tcPr>
            <w:tcW w:type="dxa" w:w="648"/>
          </w:tcPr>
          <w:p>
            <w:r/>
            <w:r>
              <w:rPr>
                <w:sz w:val="15"/>
              </w:rPr>
              <w:t>3</w:t>
            </w:r>
          </w:p>
        </w:tc>
        <w:tc>
          <w:tcPr>
            <w:tcW w:type="dxa" w:w="1008"/>
          </w:tcPr>
          <w:p>
            <w:r/>
            <w:r>
              <w:rPr>
                <w:sz w:val="15"/>
              </w:rPr>
              <w:t>Media</w:t>
            </w:r>
          </w:p>
        </w:tc>
        <w:tc>
          <w:tcPr>
            <w:tcW w:type="dxa" w:w="1368"/>
          </w:tcPr>
          <w:p>
            <w:r/>
            <w:r>
              <w:rPr>
                <w:sz w:val="15"/>
              </w:rPr>
              <w:t>Pulir</w:t>
            </w:r>
          </w:p>
        </w:tc>
        <w:tc>
          <w:tcPr>
            <w:tcW w:type="dxa" w:w="2304"/>
          </w:tcPr>
          <w:p>
            <w:r/>
            <w:r>
              <w:rPr>
                <w:sz w:val="15"/>
              </w:rPr>
              <w:t>MP-12, MP-41, MP-22</w:t>
            </w:r>
          </w:p>
        </w:tc>
      </w:tr>
      <w:tr>
        <w:tc>
          <w:tcPr>
            <w:tcW w:type="dxa" w:w="792"/>
          </w:tcPr>
          <w:p>
            <w:r/>
            <w:r>
              <w:rPr>
                <w:sz w:val="15"/>
              </w:rPr>
              <w:t>MP-41</w:t>
            </w:r>
          </w:p>
        </w:tc>
        <w:tc>
          <w:tcPr>
            <w:tcW w:type="dxa" w:w="5040"/>
          </w:tcPr>
          <w:p>
            <w:r/>
            <w:r>
              <w:rPr>
                <w:sz w:val="15"/>
              </w:rPr>
              <w:t>Naturaleza y Libro Mayor de Llaves del Usuario: Estados, Vigencia Mensual y Prioridad de Vencimiento</w:t>
            </w:r>
          </w:p>
        </w:tc>
        <w:tc>
          <w:tcPr>
            <w:tcW w:type="dxa" w:w="864"/>
          </w:tcPr>
          <w:p>
            <w:r/>
            <w:r>
              <w:rPr>
                <w:sz w:val="15"/>
              </w:rPr>
              <w:t>Fase 1</w:t>
            </w:r>
          </w:p>
        </w:tc>
        <w:tc>
          <w:tcPr>
            <w:tcW w:type="dxa" w:w="648"/>
          </w:tcPr>
          <w:p>
            <w:r/>
            <w:r>
              <w:rPr>
                <w:sz w:val="15"/>
              </w:rPr>
              <w:t>P1</w:t>
            </w:r>
          </w:p>
        </w:tc>
        <w:tc>
          <w:tcPr>
            <w:tcW w:type="dxa" w:w="648"/>
          </w:tcPr>
          <w:p>
            <w:r/>
            <w:r>
              <w:rPr>
                <w:sz w:val="15"/>
              </w:rPr>
              <w:t>3.5</w:t>
            </w:r>
          </w:p>
        </w:tc>
        <w:tc>
          <w:tcPr>
            <w:tcW w:type="dxa" w:w="1008"/>
          </w:tcPr>
          <w:p>
            <w:r/>
            <w:r>
              <w:rPr>
                <w:sz w:val="15"/>
              </w:rPr>
              <w:t>Alta</w:t>
            </w:r>
          </w:p>
        </w:tc>
        <w:tc>
          <w:tcPr>
            <w:tcW w:type="dxa" w:w="1368"/>
          </w:tcPr>
          <w:p>
            <w:r/>
            <w:r>
              <w:rPr>
                <w:sz w:val="15"/>
              </w:rPr>
              <w:t>Pulir</w:t>
            </w:r>
          </w:p>
        </w:tc>
        <w:tc>
          <w:tcPr>
            <w:tcW w:type="dxa" w:w="2304"/>
          </w:tcPr>
          <w:p>
            <w:r/>
            <w:r>
              <w:rPr>
                <w:sz w:val="15"/>
              </w:rPr>
              <w:t>MP-12</w:t>
            </w:r>
          </w:p>
        </w:tc>
      </w:tr>
      <w:tr>
        <w:tc>
          <w:tcPr>
            <w:tcW w:type="dxa" w:w="792"/>
          </w:tcPr>
          <w:p>
            <w:r/>
            <w:r>
              <w:rPr>
                <w:sz w:val="15"/>
              </w:rPr>
              <w:t>MP-42</w:t>
            </w:r>
          </w:p>
        </w:tc>
        <w:tc>
          <w:tcPr>
            <w:tcW w:type="dxa" w:w="5040"/>
          </w:tcPr>
          <w:p>
            <w:r/>
            <w:r>
              <w:rPr>
                <w:sz w:val="15"/>
              </w:rPr>
              <w:t>Motor de Causación de Llaves: Actividad Válida, Tiempo Efectivo y Reconocimiento Condicionado</w:t>
            </w:r>
          </w:p>
        </w:tc>
        <w:tc>
          <w:tcPr>
            <w:tcW w:type="dxa" w:w="864"/>
          </w:tcPr>
          <w:p>
            <w:r/>
            <w:r>
              <w:rPr>
                <w:sz w:val="15"/>
              </w:rPr>
              <w:t>Fase 1</w:t>
            </w:r>
          </w:p>
        </w:tc>
        <w:tc>
          <w:tcPr>
            <w:tcW w:type="dxa" w:w="648"/>
          </w:tcPr>
          <w:p>
            <w:r/>
            <w:r>
              <w:rPr>
                <w:sz w:val="15"/>
              </w:rPr>
              <w:t>P1</w:t>
            </w:r>
          </w:p>
        </w:tc>
        <w:tc>
          <w:tcPr>
            <w:tcW w:type="dxa" w:w="648"/>
          </w:tcPr>
          <w:p>
            <w:r/>
            <w:r>
              <w:rPr>
                <w:sz w:val="15"/>
              </w:rPr>
              <w:t>3</w:t>
            </w:r>
          </w:p>
        </w:tc>
        <w:tc>
          <w:tcPr>
            <w:tcW w:type="dxa" w:w="1008"/>
          </w:tcPr>
          <w:p>
            <w:r/>
            <w:r>
              <w:rPr>
                <w:sz w:val="15"/>
              </w:rPr>
              <w:t>Alta</w:t>
            </w:r>
          </w:p>
        </w:tc>
        <w:tc>
          <w:tcPr>
            <w:tcW w:type="dxa" w:w="1368"/>
          </w:tcPr>
          <w:p>
            <w:r/>
            <w:r>
              <w:rPr>
                <w:sz w:val="15"/>
              </w:rPr>
              <w:t>Pulir</w:t>
            </w:r>
          </w:p>
        </w:tc>
        <w:tc>
          <w:tcPr>
            <w:tcW w:type="dxa" w:w="2304"/>
          </w:tcPr>
          <w:p>
            <w:r/>
            <w:r>
              <w:rPr>
                <w:sz w:val="15"/>
              </w:rPr>
              <w:t>MP-09, MP-17, MP-18, MP-41</w:t>
            </w:r>
          </w:p>
        </w:tc>
      </w:tr>
      <w:tr>
        <w:tc>
          <w:tcPr>
            <w:tcW w:type="dxa" w:w="792"/>
          </w:tcPr>
          <w:p>
            <w:r/>
            <w:r>
              <w:rPr>
                <w:sz w:val="15"/>
              </w:rPr>
              <w:t>MP-43</w:t>
            </w:r>
          </w:p>
        </w:tc>
        <w:tc>
          <w:tcPr>
            <w:tcW w:type="dxa" w:w="5040"/>
          </w:tcPr>
          <w:p>
            <w:r/>
            <w:r>
              <w:rPr>
                <w:sz w:val="15"/>
              </w:rPr>
              <w:t>Utilización de Llaves: Confirmación, Reserva, Simulación y Prevención de Doble Gasto</w:t>
            </w:r>
          </w:p>
        </w:tc>
        <w:tc>
          <w:tcPr>
            <w:tcW w:type="dxa" w:w="864"/>
          </w:tcPr>
          <w:p>
            <w:r/>
            <w:r>
              <w:rPr>
                <w:sz w:val="15"/>
              </w:rPr>
              <w:t>Fase 2</w:t>
            </w:r>
          </w:p>
        </w:tc>
        <w:tc>
          <w:tcPr>
            <w:tcW w:type="dxa" w:w="648"/>
          </w:tcPr>
          <w:p>
            <w:r/>
            <w:r>
              <w:rPr>
                <w:sz w:val="15"/>
              </w:rPr>
              <w:t>P2</w:t>
            </w:r>
          </w:p>
        </w:tc>
        <w:tc>
          <w:tcPr>
            <w:tcW w:type="dxa" w:w="648"/>
          </w:tcPr>
          <w:p>
            <w:r/>
            <w:r>
              <w:rPr>
                <w:sz w:val="15"/>
              </w:rPr>
              <w:t>2.5</w:t>
            </w:r>
          </w:p>
        </w:tc>
        <w:tc>
          <w:tcPr>
            <w:tcW w:type="dxa" w:w="1008"/>
          </w:tcPr>
          <w:p>
            <w:r/>
            <w:r>
              <w:rPr>
                <w:sz w:val="15"/>
              </w:rPr>
              <w:t>Media</w:t>
            </w:r>
          </w:p>
        </w:tc>
        <w:tc>
          <w:tcPr>
            <w:tcW w:type="dxa" w:w="1368"/>
          </w:tcPr>
          <w:p>
            <w:r/>
            <w:r>
              <w:rPr>
                <w:sz w:val="15"/>
              </w:rPr>
              <w:t>Pulir</w:t>
            </w:r>
          </w:p>
        </w:tc>
        <w:tc>
          <w:tcPr>
            <w:tcW w:type="dxa" w:w="2304"/>
          </w:tcPr>
          <w:p>
            <w:r/>
            <w:r>
              <w:rPr>
                <w:sz w:val="15"/>
              </w:rPr>
              <w:t>MP-12, MP-41</w:t>
            </w:r>
          </w:p>
        </w:tc>
      </w:tr>
      <w:tr>
        <w:tc>
          <w:tcPr>
            <w:tcW w:type="dxa" w:w="792"/>
          </w:tcPr>
          <w:p>
            <w:r/>
            <w:r>
              <w:rPr>
                <w:sz w:val="15"/>
              </w:rPr>
              <w:t>MP-44</w:t>
            </w:r>
          </w:p>
        </w:tc>
        <w:tc>
          <w:tcPr>
            <w:tcW w:type="dxa" w:w="5040"/>
          </w:tcPr>
          <w:p>
            <w:r/>
            <w:r>
              <w:rPr>
                <w:sz w:val="15"/>
              </w:rPr>
              <w:t>Copago y Porción en Llaves: Límite 50 % Ordinario y Fórmula de Combinación</w:t>
            </w:r>
          </w:p>
        </w:tc>
        <w:tc>
          <w:tcPr>
            <w:tcW w:type="dxa" w:w="864"/>
          </w:tcPr>
          <w:p>
            <w:r/>
            <w:r>
              <w:rPr>
                <w:sz w:val="15"/>
              </w:rPr>
              <w:t>Fase 2</w:t>
            </w:r>
          </w:p>
        </w:tc>
        <w:tc>
          <w:tcPr>
            <w:tcW w:type="dxa" w:w="648"/>
          </w:tcPr>
          <w:p>
            <w:r/>
            <w:r>
              <w:rPr>
                <w:sz w:val="15"/>
              </w:rPr>
              <w:t>P2</w:t>
            </w:r>
          </w:p>
        </w:tc>
        <w:tc>
          <w:tcPr>
            <w:tcW w:type="dxa" w:w="648"/>
          </w:tcPr>
          <w:p>
            <w:r/>
            <w:r>
              <w:rPr>
                <w:sz w:val="15"/>
              </w:rPr>
              <w:t>1.5</w:t>
            </w:r>
          </w:p>
        </w:tc>
        <w:tc>
          <w:tcPr>
            <w:tcW w:type="dxa" w:w="1008"/>
          </w:tcPr>
          <w:p>
            <w:r/>
            <w:r>
              <w:rPr>
                <w:sz w:val="15"/>
              </w:rPr>
              <w:t>Media</w:t>
            </w:r>
          </w:p>
        </w:tc>
        <w:tc>
          <w:tcPr>
            <w:tcW w:type="dxa" w:w="1368"/>
          </w:tcPr>
          <w:p>
            <w:r/>
            <w:r>
              <w:rPr>
                <w:sz w:val="15"/>
              </w:rPr>
              <w:t>Pulir</w:t>
            </w:r>
          </w:p>
        </w:tc>
        <w:tc>
          <w:tcPr>
            <w:tcW w:type="dxa" w:w="2304"/>
          </w:tcPr>
          <w:p>
            <w:r/>
            <w:r>
              <w:rPr>
                <w:sz w:val="15"/>
              </w:rPr>
              <w:t>MP-12, MP-43</w:t>
            </w:r>
          </w:p>
        </w:tc>
      </w:tr>
      <w:tr>
        <w:tc>
          <w:tcPr>
            <w:tcW w:type="dxa" w:w="792"/>
          </w:tcPr>
          <w:p>
            <w:r/>
            <w:r>
              <w:rPr>
                <w:sz w:val="15"/>
              </w:rPr>
              <w:t>MP-45</w:t>
            </w:r>
          </w:p>
        </w:tc>
        <w:tc>
          <w:tcPr>
            <w:tcW w:type="dxa" w:w="5040"/>
          </w:tcPr>
          <w:p>
            <w:r/>
            <w:r>
              <w:rPr>
                <w:sz w:val="15"/>
              </w:rPr>
              <w:t>Separación de Ledgers por Naturaleza de Beneficio (Llaves/Puntos/Excelencia/Oportunidades/Participaciones/Dinero)</w:t>
            </w:r>
          </w:p>
        </w:tc>
        <w:tc>
          <w:tcPr>
            <w:tcW w:type="dxa" w:w="864"/>
          </w:tcPr>
          <w:p>
            <w:r/>
            <w:r>
              <w:rPr>
                <w:sz w:val="15"/>
              </w:rPr>
              <w:t>Fase 1</w:t>
            </w:r>
          </w:p>
        </w:tc>
        <w:tc>
          <w:tcPr>
            <w:tcW w:type="dxa" w:w="648"/>
          </w:tcPr>
          <w:p>
            <w:r/>
            <w:r>
              <w:rPr>
                <w:sz w:val="15"/>
              </w:rPr>
              <w:t>P1</w:t>
            </w:r>
          </w:p>
        </w:tc>
        <w:tc>
          <w:tcPr>
            <w:tcW w:type="dxa" w:w="648"/>
          </w:tcPr>
          <w:p>
            <w:r/>
            <w:r>
              <w:rPr>
                <w:sz w:val="15"/>
              </w:rPr>
              <w:t>3</w:t>
            </w:r>
          </w:p>
        </w:tc>
        <w:tc>
          <w:tcPr>
            <w:tcW w:type="dxa" w:w="1008"/>
          </w:tcPr>
          <w:p>
            <w:r/>
            <w:r>
              <w:rPr>
                <w:sz w:val="15"/>
              </w:rPr>
              <w:t>Alta</w:t>
            </w:r>
          </w:p>
        </w:tc>
        <w:tc>
          <w:tcPr>
            <w:tcW w:type="dxa" w:w="1368"/>
          </w:tcPr>
          <w:p>
            <w:r/>
            <w:r>
              <w:rPr>
                <w:sz w:val="15"/>
              </w:rPr>
              <w:t>Nuevo</w:t>
            </w:r>
          </w:p>
        </w:tc>
        <w:tc>
          <w:tcPr>
            <w:tcW w:type="dxa" w:w="2304"/>
          </w:tcPr>
          <w:p>
            <w:r/>
            <w:r>
              <w:rPr>
                <w:sz w:val="15"/>
              </w:rPr>
              <w:t>MP-17, MP-41</w:t>
            </w:r>
          </w:p>
        </w:tc>
      </w:tr>
      <w:tr>
        <w:tc>
          <w:tcPr>
            <w:tcW w:type="dxa" w:w="792"/>
          </w:tcPr>
          <w:p>
            <w:r/>
            <w:r>
              <w:rPr>
                <w:sz w:val="15"/>
              </w:rPr>
              <w:t>MP-46</w:t>
            </w:r>
          </w:p>
        </w:tc>
        <w:tc>
          <w:tcPr>
            <w:tcW w:type="dxa" w:w="5040"/>
          </w:tcPr>
          <w:p>
            <w:r/>
            <w:r>
              <w:rPr>
                <w:sz w:val="15"/>
              </w:rPr>
              <w:t>Diferenciación Legal de Juego Promocional, Juego de Entretenimiento y Actividad Sometida al Azar</w:t>
            </w:r>
          </w:p>
        </w:tc>
        <w:tc>
          <w:tcPr>
            <w:tcW w:type="dxa" w:w="864"/>
          </w:tcPr>
          <w:p>
            <w:r/>
            <w:r>
              <w:rPr>
                <w:sz w:val="15"/>
              </w:rPr>
              <w:t>Fase 2</w:t>
            </w:r>
          </w:p>
        </w:tc>
        <w:tc>
          <w:tcPr>
            <w:tcW w:type="dxa" w:w="648"/>
          </w:tcPr>
          <w:p>
            <w:r/>
            <w:r>
              <w:rPr>
                <w:sz w:val="15"/>
              </w:rPr>
              <w:t>P2</w:t>
            </w:r>
          </w:p>
        </w:tc>
        <w:tc>
          <w:tcPr>
            <w:tcW w:type="dxa" w:w="648"/>
          </w:tcPr>
          <w:p>
            <w:r/>
            <w:r>
              <w:rPr>
                <w:sz w:val="15"/>
              </w:rPr>
              <w:t>2</w:t>
            </w:r>
          </w:p>
        </w:tc>
        <w:tc>
          <w:tcPr>
            <w:tcW w:type="dxa" w:w="1008"/>
          </w:tcPr>
          <w:p>
            <w:r/>
            <w:r>
              <w:rPr>
                <w:sz w:val="15"/>
              </w:rPr>
              <w:t>Media</w:t>
            </w:r>
          </w:p>
        </w:tc>
        <w:tc>
          <w:tcPr>
            <w:tcW w:type="dxa" w:w="1368"/>
          </w:tcPr>
          <w:p>
            <w:r/>
            <w:r>
              <w:rPr>
                <w:sz w:val="15"/>
              </w:rPr>
              <w:t>Pulir</w:t>
            </w:r>
          </w:p>
        </w:tc>
        <w:tc>
          <w:tcPr>
            <w:tcW w:type="dxa" w:w="2304"/>
          </w:tcPr>
          <w:p>
            <w:r/>
            <w:r>
              <w:rPr>
                <w:sz w:val="15"/>
              </w:rPr>
              <w:t>MP-16, MP-20</w:t>
            </w:r>
          </w:p>
        </w:tc>
      </w:tr>
      <w:tr>
        <w:tc>
          <w:tcPr>
            <w:tcW w:type="dxa" w:w="792"/>
          </w:tcPr>
          <w:p>
            <w:r/>
            <w:r>
              <w:rPr>
                <w:sz w:val="15"/>
              </w:rPr>
              <w:t>MP-47</w:t>
            </w:r>
          </w:p>
        </w:tc>
        <w:tc>
          <w:tcPr>
            <w:tcW w:type="dxa" w:w="5040"/>
          </w:tcPr>
          <w:p>
            <w:r/>
            <w:r>
              <w:rPr>
                <w:sz w:val="15"/>
              </w:rPr>
              <w:t>Registro de Funciones y Motor de Responsabilidad según Función Real Desempeñada</w:t>
            </w:r>
          </w:p>
        </w:tc>
        <w:tc>
          <w:tcPr>
            <w:tcW w:type="dxa" w:w="864"/>
          </w:tcPr>
          <w:p>
            <w:r/>
            <w:r>
              <w:rPr>
                <w:sz w:val="15"/>
              </w:rPr>
              <w:t>Fase 3</w:t>
            </w:r>
          </w:p>
        </w:tc>
        <w:tc>
          <w:tcPr>
            <w:tcW w:type="dxa" w:w="648"/>
          </w:tcPr>
          <w:p>
            <w:r/>
            <w:r>
              <w:rPr>
                <w:sz w:val="15"/>
              </w:rPr>
              <w:t>P3</w:t>
            </w:r>
          </w:p>
        </w:tc>
        <w:tc>
          <w:tcPr>
            <w:tcW w:type="dxa" w:w="648"/>
          </w:tcPr>
          <w:p>
            <w:r/>
            <w:r>
              <w:rPr>
                <w:sz w:val="15"/>
              </w:rPr>
              <w:t>2.5</w:t>
            </w:r>
          </w:p>
        </w:tc>
        <w:tc>
          <w:tcPr>
            <w:tcW w:type="dxa" w:w="1008"/>
          </w:tcPr>
          <w:p>
            <w:r/>
            <w:r>
              <w:rPr>
                <w:sz w:val="15"/>
              </w:rPr>
              <w:t>Media</w:t>
            </w:r>
          </w:p>
        </w:tc>
        <w:tc>
          <w:tcPr>
            <w:tcW w:type="dxa" w:w="1368"/>
          </w:tcPr>
          <w:p>
            <w:r/>
            <w:r>
              <w:rPr>
                <w:sz w:val="15"/>
              </w:rPr>
              <w:t>Nuevo</w:t>
            </w:r>
          </w:p>
        </w:tc>
        <w:tc>
          <w:tcPr>
            <w:tcW w:type="dxa" w:w="2304"/>
          </w:tcPr>
          <w:p>
            <w:r/>
            <w:r>
              <w:rPr>
                <w:sz w:val="15"/>
              </w:rPr>
              <w:t>MP-32</w:t>
            </w:r>
          </w:p>
        </w:tc>
      </w:tr>
      <w:tr>
        <w:tc>
          <w:tcPr>
            <w:tcW w:type="dxa" w:w="792"/>
          </w:tcPr>
          <w:p>
            <w:r/>
            <w:r>
              <w:rPr>
                <w:sz w:val="15"/>
              </w:rPr>
              <w:t>MP-48</w:t>
            </w:r>
          </w:p>
        </w:tc>
        <w:tc>
          <w:tcPr>
            <w:tcW w:type="dxa" w:w="5040"/>
          </w:tcPr>
          <w:p>
            <w:r/>
            <w:r>
              <w:rPr>
                <w:sz w:val="15"/>
              </w:rPr>
              <w:t>Fortalecimiento del Programa de Recomendación de Usuarios: CUV, Atribución y Prevención de Esquemas Piramidales</w:t>
            </w:r>
          </w:p>
        </w:tc>
        <w:tc>
          <w:tcPr>
            <w:tcW w:type="dxa" w:w="864"/>
          </w:tcPr>
          <w:p>
            <w:r/>
            <w:r>
              <w:rPr>
                <w:sz w:val="15"/>
              </w:rPr>
              <w:t>Fase 2</w:t>
            </w:r>
          </w:p>
        </w:tc>
        <w:tc>
          <w:tcPr>
            <w:tcW w:type="dxa" w:w="648"/>
          </w:tcPr>
          <w:p>
            <w:r/>
            <w:r>
              <w:rPr>
                <w:sz w:val="15"/>
              </w:rPr>
              <w:t>P2</w:t>
            </w:r>
          </w:p>
        </w:tc>
        <w:tc>
          <w:tcPr>
            <w:tcW w:type="dxa" w:w="648"/>
          </w:tcPr>
          <w:p>
            <w:r/>
            <w:r>
              <w:rPr>
                <w:sz w:val="15"/>
              </w:rPr>
              <w:t>2</w:t>
            </w:r>
          </w:p>
        </w:tc>
        <w:tc>
          <w:tcPr>
            <w:tcW w:type="dxa" w:w="1008"/>
          </w:tcPr>
          <w:p>
            <w:r/>
            <w:r>
              <w:rPr>
                <w:sz w:val="15"/>
              </w:rPr>
              <w:t>Media</w:t>
            </w:r>
          </w:p>
        </w:tc>
        <w:tc>
          <w:tcPr>
            <w:tcW w:type="dxa" w:w="1368"/>
          </w:tcPr>
          <w:p>
            <w:r/>
            <w:r>
              <w:rPr>
                <w:sz w:val="15"/>
              </w:rPr>
              <w:t>Pulir</w:t>
            </w:r>
          </w:p>
        </w:tc>
        <w:tc>
          <w:tcPr>
            <w:tcW w:type="dxa" w:w="2304"/>
          </w:tcPr>
          <w:p>
            <w:r/>
            <w:r>
              <w:rPr>
                <w:sz w:val="15"/>
              </w:rPr>
              <w:t>MP-23</w:t>
            </w:r>
          </w:p>
        </w:tc>
      </w:tr>
      <w:tr>
        <w:tc>
          <w:tcPr>
            <w:tcW w:type="dxa" w:w="792"/>
          </w:tcPr>
          <w:p>
            <w:r/>
            <w:r>
              <w:rPr>
                <w:sz w:val="15"/>
              </w:rPr>
              <w:t>MP-49</w:t>
            </w:r>
          </w:p>
        </w:tc>
        <w:tc>
          <w:tcPr>
            <w:tcW w:type="dxa" w:w="5040"/>
          </w:tcPr>
          <w:p>
            <w:r/>
            <w:r>
              <w:rPr>
                <w:sz w:val="15"/>
              </w:rPr>
              <w:t>Beneficios de Conectividad del Usuario: Ciclo Diario, Conectividad Dual y Nuevo Usuario Beneficiario</w:t>
            </w:r>
          </w:p>
        </w:tc>
        <w:tc>
          <w:tcPr>
            <w:tcW w:type="dxa" w:w="864"/>
          </w:tcPr>
          <w:p>
            <w:r/>
            <w:r>
              <w:rPr>
                <w:sz w:val="15"/>
              </w:rPr>
              <w:t>Fase 2</w:t>
            </w:r>
          </w:p>
        </w:tc>
        <w:tc>
          <w:tcPr>
            <w:tcW w:type="dxa" w:w="648"/>
          </w:tcPr>
          <w:p>
            <w:r/>
            <w:r>
              <w:rPr>
                <w:sz w:val="15"/>
              </w:rPr>
              <w:t>P2</w:t>
            </w:r>
          </w:p>
        </w:tc>
        <w:tc>
          <w:tcPr>
            <w:tcW w:type="dxa" w:w="648"/>
          </w:tcPr>
          <w:p>
            <w:r/>
            <w:r>
              <w:rPr>
                <w:sz w:val="15"/>
              </w:rPr>
              <w:t>4</w:t>
            </w:r>
          </w:p>
        </w:tc>
        <w:tc>
          <w:tcPr>
            <w:tcW w:type="dxa" w:w="1008"/>
          </w:tcPr>
          <w:p>
            <w:r/>
            <w:r>
              <w:rPr>
                <w:sz w:val="15"/>
              </w:rPr>
              <w:t>Alta</w:t>
            </w:r>
          </w:p>
        </w:tc>
        <w:tc>
          <w:tcPr>
            <w:tcW w:type="dxa" w:w="1368"/>
          </w:tcPr>
          <w:p>
            <w:r/>
            <w:r>
              <w:rPr>
                <w:sz w:val="15"/>
              </w:rPr>
              <w:t>Nuevo</w:t>
            </w:r>
          </w:p>
        </w:tc>
        <w:tc>
          <w:tcPr>
            <w:tcW w:type="dxa" w:w="2304"/>
          </w:tcPr>
          <w:p>
            <w:r/>
            <w:r>
              <w:rPr>
                <w:sz w:val="15"/>
              </w:rPr>
              <w:t>MP-08, MP-12, MP-36</w:t>
            </w:r>
          </w:p>
        </w:tc>
      </w:tr>
      <w:tr>
        <w:tc>
          <w:tcPr>
            <w:tcW w:type="dxa" w:w="1530"/>
          </w:tcPr>
          <w:p>
            <w:pPr/>
            <w:r>
              <w:t>MP-50</w:t>
            </w:r>
          </w:p>
        </w:tc>
        <w:tc>
          <w:tcPr>
            <w:tcW w:type="dxa" w:w="1530"/>
          </w:tcPr>
          <w:p>
            <w:pPr/>
            <w:r>
              <w:t>Motor de Suscripción Mensual y Renovación de EMPRESA TIPO A (BASIC): activación, vigencia, vencimiento y estado Inactivo por Falta de Renovación Mensual</w:t>
            </w:r>
          </w:p>
        </w:tc>
        <w:tc>
          <w:tcPr>
            <w:tcW w:type="dxa" w:w="1530"/>
          </w:tcPr>
          <w:p>
            <w:pPr/>
            <w:r>
              <w:t>Fase 1</w:t>
            </w:r>
          </w:p>
        </w:tc>
        <w:tc>
          <w:tcPr>
            <w:tcW w:type="dxa" w:w="1530"/>
          </w:tcPr>
          <w:p>
            <w:pPr/>
            <w:r>
              <w:t>P1</w:t>
            </w:r>
          </w:p>
        </w:tc>
        <w:tc>
          <w:tcPr>
            <w:tcW w:type="dxa" w:w="1530"/>
          </w:tcPr>
          <w:p>
            <w:pPr/>
            <w:r>
              <w:t>4</w:t>
            </w:r>
          </w:p>
        </w:tc>
        <w:tc>
          <w:tcPr>
            <w:tcW w:type="dxa" w:w="1530"/>
          </w:tcPr>
          <w:p>
            <w:pPr/>
            <w:r>
              <w:t>Alta</w:t>
            </w:r>
          </w:p>
        </w:tc>
        <w:tc>
          <w:tcPr>
            <w:tcW w:type="dxa" w:w="1530"/>
          </w:tcPr>
          <w:p>
            <w:pPr/>
            <w:r>
              <w:t>Pulir/Nuevo</w:t>
            </w:r>
          </w:p>
        </w:tc>
        <w:tc>
          <w:tcPr>
            <w:tcW w:type="dxa" w:w="1530"/>
          </w:tcPr>
          <w:p>
            <w:pPr/>
            <w:r>
              <w:t>MP-01, MP-24</w:t>
            </w:r>
          </w:p>
        </w:tc>
      </w:tr>
      <w:tr>
        <w:tc>
          <w:tcPr>
            <w:tcW w:type="dxa" w:w="1530"/>
          </w:tcPr>
          <w:p>
            <w:pPr/>
            <w:r>
              <w:t>MP-51</w:t>
            </w:r>
          </w:p>
        </w:tc>
        <w:tc>
          <w:tcPr>
            <w:tcW w:type="dxa" w:w="1530"/>
          </w:tcPr>
          <w:p>
            <w:pPr/>
            <w:r>
              <w:t>Vocación Empresarial Principal aplicada a EMPRESA TIPO A, sin efecto tarifario</w:t>
            </w:r>
          </w:p>
        </w:tc>
        <w:tc>
          <w:tcPr>
            <w:tcW w:type="dxa" w:w="1530"/>
          </w:tcPr>
          <w:p>
            <w:pPr/>
            <w:r>
              <w:t>Fase 1</w:t>
            </w:r>
          </w:p>
        </w:tc>
        <w:tc>
          <w:tcPr>
            <w:tcW w:type="dxa" w:w="1530"/>
          </w:tcPr>
          <w:p>
            <w:pPr/>
            <w:r>
              <w:t>P1</w:t>
            </w:r>
          </w:p>
        </w:tc>
        <w:tc>
          <w:tcPr>
            <w:tcW w:type="dxa" w:w="1530"/>
          </w:tcPr>
          <w:p>
            <w:pPr/>
            <w:r>
              <w:t>1.5</w:t>
            </w:r>
          </w:p>
        </w:tc>
        <w:tc>
          <w:tcPr>
            <w:tcW w:type="dxa" w:w="1530"/>
          </w:tcPr>
          <w:p>
            <w:pPr/>
            <w:r>
              <w:t>Media</w:t>
            </w:r>
          </w:p>
        </w:tc>
        <w:tc>
          <w:tcPr>
            <w:tcW w:type="dxa" w:w="1530"/>
          </w:tcPr>
          <w:p>
            <w:pPr/>
            <w:r>
              <w:t>Nuevo</w:t>
            </w:r>
          </w:p>
        </w:tc>
        <w:tc>
          <w:tcPr>
            <w:tcW w:type="dxa" w:w="1530"/>
          </w:tcPr>
          <w:p>
            <w:pPr/>
            <w:r>
              <w:t>MP-02</w:t>
            </w:r>
          </w:p>
        </w:tc>
      </w:tr>
      <w:tr>
        <w:tc>
          <w:tcPr>
            <w:tcW w:type="dxa" w:w="1530"/>
          </w:tcPr>
          <w:p>
            <w:pPr/>
            <w:r>
              <w:t>MP-52</w:t>
            </w:r>
          </w:p>
        </w:tc>
        <w:tc>
          <w:tcPr>
            <w:tcW w:type="dxa" w:w="1530"/>
          </w:tcPr>
          <w:p>
            <w:pPr/>
            <w:r>
              <w:t>Patrocinios de Empresas Premium a EMPRESA TIPO A: restricción del patrocinador por plan y tope del 10 % de la Oferta</w:t>
            </w:r>
          </w:p>
        </w:tc>
        <w:tc>
          <w:tcPr>
            <w:tcW w:type="dxa" w:w="1530"/>
          </w:tcPr>
          <w:p>
            <w:pPr/>
            <w:r>
              <w:t>Fase 2</w:t>
            </w:r>
          </w:p>
        </w:tc>
        <w:tc>
          <w:tcPr>
            <w:tcW w:type="dxa" w:w="1530"/>
          </w:tcPr>
          <w:p>
            <w:pPr/>
            <w:r>
              <w:t>P2</w:t>
            </w:r>
          </w:p>
        </w:tc>
        <w:tc>
          <w:tcPr>
            <w:tcW w:type="dxa" w:w="1530"/>
          </w:tcPr>
          <w:p>
            <w:pPr/>
            <w:r>
              <w:t>3</w:t>
            </w:r>
          </w:p>
        </w:tc>
        <w:tc>
          <w:tcPr>
            <w:tcW w:type="dxa" w:w="1530"/>
          </w:tcPr>
          <w:p>
            <w:pPr/>
            <w:r>
              <w:t>Alta</w:t>
            </w:r>
          </w:p>
        </w:tc>
        <w:tc>
          <w:tcPr>
            <w:tcW w:type="dxa" w:w="1530"/>
          </w:tcPr>
          <w:p>
            <w:pPr/>
            <w:r>
              <w:t>Pulir/Nuevo</w:t>
            </w:r>
          </w:p>
        </w:tc>
        <w:tc>
          <w:tcPr>
            <w:tcW w:type="dxa" w:w="1530"/>
          </w:tcPr>
          <w:p>
            <w:pPr/>
            <w:r>
              <w:t>MP-22, MP-10</w:t>
            </w:r>
          </w:p>
        </w:tc>
      </w:tr>
      <w:tr>
        <w:tc>
          <w:tcPr>
            <w:tcW w:type="dxa" w:w="1530"/>
          </w:tcPr>
          <w:p>
            <w:pPr/>
            <w:r>
              <w:t>MP-53</w:t>
            </w:r>
          </w:p>
        </w:tc>
        <w:tc>
          <w:tcPr>
            <w:tcW w:type="dxa" w:w="1530"/>
          </w:tcPr>
          <w:p>
            <w:pPr/>
            <w:r>
              <w:t>Compromiso Precontractual de Confidencialidad del aspirante, independiente del contrato y previo al acceso a información reservada</w:t>
            </w:r>
          </w:p>
        </w:tc>
        <w:tc>
          <w:tcPr>
            <w:tcW w:type="dxa" w:w="1530"/>
          </w:tcPr>
          <w:p>
            <w:pPr/>
            <w:r>
              <w:t>Fase 3</w:t>
            </w:r>
          </w:p>
        </w:tc>
        <w:tc>
          <w:tcPr>
            <w:tcW w:type="dxa" w:w="1530"/>
          </w:tcPr>
          <w:p>
            <w:pPr/>
            <w:r>
              <w:t>P3</w:t>
            </w:r>
          </w:p>
        </w:tc>
        <w:tc>
          <w:tcPr>
            <w:tcW w:type="dxa" w:w="1530"/>
          </w:tcPr>
          <w:p>
            <w:pPr/>
            <w:r>
              <w:t>2</w:t>
            </w:r>
          </w:p>
        </w:tc>
        <w:tc>
          <w:tcPr>
            <w:tcW w:type="dxa" w:w="1530"/>
          </w:tcPr>
          <w:p>
            <w:pPr/>
            <w:r>
              <w:t>Media</w:t>
            </w:r>
          </w:p>
        </w:tc>
        <w:tc>
          <w:tcPr>
            <w:tcW w:type="dxa" w:w="1530"/>
          </w:tcPr>
          <w:p>
            <w:pPr/>
            <w:r>
              <w:t>Nuevo</w:t>
            </w:r>
          </w:p>
        </w:tc>
        <w:tc>
          <w:tcPr>
            <w:tcW w:type="dxa" w:w="1530"/>
          </w:tcPr>
          <w:p>
            <w:pPr/>
            <w:r>
              <w:t>MP-32, MP-33</w:t>
            </w:r>
          </w:p>
        </w:tc>
      </w:tr>
      <w:tr>
        <w:tc>
          <w:tcPr>
            <w:tcW w:type="dxa" w:w="1530"/>
          </w:tcPr>
          <w:p>
            <w:pPr/>
            <w:r>
              <w:t>MP-54</w:t>
            </w:r>
          </w:p>
        </w:tc>
        <w:tc>
          <w:tcPr>
            <w:tcW w:type="dxa" w:w="1530"/>
          </w:tcPr>
          <w:p>
            <w:pPr/>
            <w:r>
              <w:t>Material físico de referido (tarjetas/QR por establecimiento), mensajería autorizada y prevención de promesas prohibidas de conectividad</w:t>
            </w:r>
          </w:p>
        </w:tc>
        <w:tc>
          <w:tcPr>
            <w:tcW w:type="dxa" w:w="1530"/>
          </w:tcPr>
          <w:p>
            <w:pPr/>
            <w:r>
              <w:t>Fase 2</w:t>
            </w:r>
          </w:p>
        </w:tc>
        <w:tc>
          <w:tcPr>
            <w:tcW w:type="dxa" w:w="1530"/>
          </w:tcPr>
          <w:p>
            <w:pPr/>
            <w:r>
              <w:t>P2</w:t>
            </w:r>
          </w:p>
        </w:tc>
        <w:tc>
          <w:tcPr>
            <w:tcW w:type="dxa" w:w="1530"/>
          </w:tcPr>
          <w:p>
            <w:pPr/>
            <w:r>
              <w:t>2.5</w:t>
            </w:r>
          </w:p>
        </w:tc>
        <w:tc>
          <w:tcPr>
            <w:tcW w:type="dxa" w:w="1530"/>
          </w:tcPr>
          <w:p>
            <w:pPr/>
            <w:r>
              <w:t>Media</w:t>
            </w:r>
          </w:p>
        </w:tc>
        <w:tc>
          <w:tcPr>
            <w:tcW w:type="dxa" w:w="1530"/>
          </w:tcPr>
          <w:p>
            <w:pPr/>
            <w:r>
              <w:t>Pulir</w:t>
            </w:r>
          </w:p>
        </w:tc>
        <w:tc>
          <w:tcPr>
            <w:tcW w:type="dxa" w:w="1530"/>
          </w:tcPr>
          <w:p>
            <w:pPr/>
            <w:r>
              <w:t>MP-23</w:t>
            </w:r>
          </w:p>
        </w:tc>
      </w:tr>
    </w:tbl>
    <w:p/>
    <w:p>
      <w:r>
        <w:rPr>
          <w:b/>
          <w:i w:val="0"/>
        </w:rPr>
        <w:t>Esfuerzo total estimado: ≈ 175 semanas‑desarrollador.</w:t>
      </w:r>
    </w:p>
    <w:p>
      <w:r>
        <w:rPr>
          <w:b w:val="0"/>
          <w:i w:val="0"/>
          <w:sz w:val="19"/>
        </w:rPr>
        <w:t>Con 4 desarrolladores trabajando en paralelo y respetando las dependencias (Fase 1 primero), el calendario realista es de aproximadamente 10 a 13 meses hasta cubrir el Contrato B, los Términos y Condiciones del Usuario y el Contrato A (EMPRESA TIPO A / BASIC). La Fase 1 (núcleo económico + transversales del Usuario, incluida la suscripción mensual de BASIC) es la ruta crítica: conviene concentrar 2–3 seniors ahí durante los primeros 3,5–4 meses.</w:t>
      </w:r>
    </w:p>
    <w:p>
      <w:pPr>
        <w:sectPr>
          <w:pgSz w:w="15840" w:h="12240" w:orient="landscape"/>
          <w:pgMar w:top="1440" w:right="1800" w:bottom="1440" w:left="1800" w:header="720" w:footer="720" w:gutter="0"/>
          <w:cols w:space="720"/>
          <w:docGrid w:linePitch="360"/>
        </w:sectPr>
      </w:pPr>
    </w:p>
    <w:p>
      <w:pPr>
        <w:pStyle w:val="Heading1"/>
      </w:pPr>
      <w:r>
        <w:t>3. Detalle de cada macroproceso</w:t>
      </w:r>
    </w:p>
    <w:p>
      <w:r>
        <w:br w:type="page"/>
      </w:r>
    </w:p>
    <w:p>
      <w:pPr>
        <w:pStyle w:val="Heading2"/>
      </w:pPr>
      <w:r>
        <w:t>MP-01 · Registro, identidad y expediente único del empresario Tipo B</w:t>
      </w:r>
    </w:p>
    <w:p>
      <w:r>
        <w:rPr>
          <w:b/>
          <w:i w:val="0"/>
          <w:sz w:val="19"/>
        </w:rPr>
        <w:t>Fase 1 · Prioridad P1 · Complejidad Media · Estado actual: Pulir · Estimación: 3 semanas‑desarrollador (1 persona, 4 h/día)</w:t>
      </w:r>
    </w:p>
    <w:p>
      <w:r>
        <w:rPr>
          <w:b w:val="0"/>
          <w:i w:val="0"/>
          <w:sz w:val="18"/>
        </w:rPr>
        <w:t>Numerales cubiertos: Contrato 1.1–1.18 (pág. 1) y 4.2–4.5, 4.8, 4.12, 4.26 (pág. 50); GUÍA 1.1–1.18, 2.4</w:t>
      </w:r>
    </w:p>
    <w:p>
      <w:r>
        <w:rPr>
          <w:b w:val="0"/>
          <w:i w:val="0"/>
          <w:sz w:val="18"/>
        </w:rPr>
        <w:t>Dependencias: —</w:t>
      </w:r>
    </w:p>
    <w:p>
      <w:pPr>
        <w:pStyle w:val="Heading3"/>
      </w:pPr>
      <w:r>
        <w:t>Objetivo</w:t>
      </w:r>
    </w:p>
    <w:p>
      <w:r>
        <w:rPr>
          <w:b w:val="0"/>
          <w:i w:val="0"/>
        </w:rPr>
        <w:t>El expediente del empresario es único, permanente e íntegro: identidad, representación, establecimientos, datos bancarios, documentos y versión; cambios de contacto/representante crean versión del dato, no una identidad nueva.</w:t>
      </w:r>
    </w:p>
    <w:p>
      <w:pPr>
        <w:pStyle w:val="Heading3"/>
      </w:pPr>
      <w:r>
        <w:t>Qué existe hoy</w:t>
      </w:r>
    </w:p>
    <w:p>
      <w:r>
        <w:rPr>
          <w:b w:val="0"/>
          <w:i w:val="0"/>
        </w:rPr>
        <w:t>Existe y funciona razonablemente: CommercialOnboarding + OnboardingStep (12 pasos), CommercialDetails (companyName, nit único, ciiuCode, mercantileRegistration, legalRep*, pep, annualIncomeRange, municipio), ESignatureServiceImpl + ZapSign, CommercialContract con estados de revisión. Compliance previo (KYC/screening/background check).</w:t>
      </w:r>
    </w:p>
    <w:p>
      <w:pPr>
        <w:pStyle w:val="Heading3"/>
      </w:pPr>
      <w:r>
        <w:t>Entregables</w:t>
      </w:r>
    </w:p>
    <w:p>
      <w:pPr>
        <w:pStyle w:val="ListBullet"/>
      </w:pPr>
      <w:r>
        <w:t>Sub-estados de validación independientes para identidad y representación (hoy sólo hay OnboardingStep global). Estados exigidos (GUÍA 1.2): INCOMPLETA / PENDIENTE_DE_VALIDACIÓN / EN_VALIDACIÓN / INFORMACIÓN_ADICIONAL_REQUERIDA / VALIDADA / OBSERVADA / RECHAZADA.</w:t>
      </w:r>
    </w:p>
    <w:p>
      <w:pPr>
        <w:pStyle w:val="ListBullet"/>
      </w:pPr>
      <w:r>
        <w:t>Campo “disponibilidad de WhatsApp” en el expediente.</w:t>
      </w:r>
    </w:p>
    <w:p>
      <w:pPr>
        <w:pStyle w:val="ListBullet"/>
      </w:pPr>
      <w:r>
        <w:t>Versionado del dato: teléfono/correo/dirección/representante/cuenta bancaria → nueva versión, nunca nueva identidad; diferenciar “modificar información” de “transferir titularidad” (esto último a MP-25).</w:t>
      </w:r>
    </w:p>
    <w:p>
      <w:pPr>
        <w:pStyle w:val="ListBullet"/>
      </w:pPr>
      <w:r>
        <w:t>Detección de duplicidad de NIT/matrícula/teléfono/correo/medio bancario con validación reforzada, sin declarar fraude por una coincidencia aislada.</w:t>
      </w:r>
    </w:p>
    <w:p>
      <w:pPr>
        <w:pStyle w:val="ListBullet"/>
      </w:pPr>
      <w:r>
        <w:t>Historial íntegro de modificaciones consultable y reconstrucción cronológica del expediente.</w:t>
      </w:r>
    </w:p>
    <w:p>
      <w:pPr>
        <w:pStyle w:val="Heading3"/>
      </w:pPr>
      <w:r>
        <w:t>Criterios de aceptación (pruebas mínimas)</w:t>
      </w:r>
    </w:p>
    <w:p>
      <w:r>
        <w:rPr>
          <w:b w:val="0"/>
          <w:i w:val="0"/>
          <w:sz w:val="19"/>
        </w:rPr>
        <w:t>Persona natural comerciante; persona jurídica; NIT duplicado (rechazo); cambio de teléfono sin crear empresa; cambio de representante conservando ID_EMPRESARIO; aceptación sin activación automática; actuación por rol sin permisos; doble envío de la misma solicitud (idempotencia); recuperación completa del historial.</w:t>
      </w:r>
    </w:p>
    <w:p>
      <w:pPr>
        <w:pStyle w:val="Heading3"/>
      </w:pPr>
      <w:r>
        <w:t>Rol sugerido</w:t>
      </w:r>
    </w:p>
    <w:p>
      <w:r>
        <w:rPr>
          <w:b w:val="0"/>
          <w:i w:val="0"/>
          <w:sz w:val="19"/>
        </w:rPr>
        <w:t>Backend semi-senior. Toca módulo commercial + compliance.</w:t>
      </w:r>
    </w:p>
    <w:p>
      <w:r>
        <w:br w:type="page"/>
      </w:r>
    </w:p>
    <w:p>
      <w:pPr>
        <w:pStyle w:val="Heading2"/>
      </w:pPr>
      <w:r>
        <w:t>MP-02 · Vocación Empresarial Principal y clasificación comercial de operaciones</w:t>
      </w:r>
    </w:p>
    <w:p>
      <w:r>
        <w:rPr>
          <w:b/>
          <w:i w:val="0"/>
          <w:sz w:val="19"/>
        </w:rPr>
        <w:t>Fase 1 · Prioridad P1 · Complejidad Alta · Estado actual: Nuevo · Estimación: 3 semanas‑desarrollador (1 persona, 4 h/día)</w:t>
      </w:r>
    </w:p>
    <w:p>
      <w:r>
        <w:rPr>
          <w:b w:val="0"/>
          <w:i w:val="0"/>
          <w:sz w:val="18"/>
        </w:rPr>
        <w:t>Numerales cubiertos: Contrato 1.4–1.5 (pág. 1), 2.5–2.8 (pág. 16), 4.6 (pág. 53), 5.15 (pág. 87), 11.2–11.10 (pág. 235); GUÍA 2.5–2.8, Parágrafos 2º y 3º de la Cláusula 2ª</w:t>
      </w:r>
    </w:p>
    <w:p>
      <w:r>
        <w:rPr>
          <w:b w:val="0"/>
          <w:i w:val="0"/>
          <w:sz w:val="18"/>
        </w:rPr>
        <w:t>Dependencias: MP-01</w:t>
      </w:r>
    </w:p>
    <w:p>
      <w:pPr>
        <w:pStyle w:val="Heading3"/>
      </w:pPr>
      <w:r>
        <w:t>Objetivo</w:t>
      </w:r>
    </w:p>
    <w:p>
      <w:r>
        <w:rPr>
          <w:b w:val="0"/>
          <w:i w:val="0"/>
        </w:rPr>
        <w:t>Todo empresario Tipo B tiene una y sólo una Vocación Empresarial Principal (PRODUCTOS | SERVICIOS), asignada en caracterización, con fundamento y versión; cada operación hereda esa vocación como Clasificación Comercial (campo no editable). La Clasificación Tributaria por componente vive en un modelo separado.</w:t>
      </w:r>
    </w:p>
    <w:p>
      <w:pPr>
        <w:pStyle w:val="Heading3"/>
      </w:pPr>
      <w:r>
        <w:t>Qué existe hoy</w:t>
      </w:r>
    </w:p>
    <w:p>
      <w:r>
        <w:rPr>
          <w:b w:val="0"/>
          <w:i w:val="0"/>
        </w:rPr>
        <w:t>No existe. CommercialDetails no tiene vocación. PurchaseServiceImpl.calculateCommissionPct usa plan.getSaleCommissionPct() plano (STANDARD=10). Product no registra régimen tributario.</w:t>
      </w:r>
    </w:p>
    <w:p>
      <w:pPr>
        <w:pStyle w:val="Heading3"/>
      </w:pPr>
      <w:r>
        <w:t>Entregables</w:t>
      </w:r>
    </w:p>
    <w:p>
      <w:pPr>
        <w:pStyle w:val="ListBullet"/>
      </w:pPr>
      <w:r>
        <w:t>Enum VocacionEmpresarial {PRODUCTOS, SERVICIOS} + campo en CommercialDetails con fecha efectiva, fundamento y versión; cambio sólo prospectivo con nueva caracterización (Contrato 4.6, 5.15).</w:t>
      </w:r>
    </w:p>
    <w:p>
      <w:pPr>
        <w:pStyle w:val="ListBullet"/>
      </w:pPr>
      <w:r>
        <w:t>Reglas de determinación asistida por CIIU/RUT/RNT + envío a revisión humana de casos dudosos; bloqueo de selección orientada a menor comisión (GUÍA 2.5).</w:t>
      </w:r>
    </w:p>
    <w:p>
      <w:pPr>
        <w:pStyle w:val="ListBullet"/>
      </w:pPr>
      <w:r>
        <w:t>Regla: gastronómicos (restaurantes, cafeterías, panaderías, heladerías, comidas rápidas…), hoteles, operadores turísticos → SERVICIOS obligatorio, aunque vendan bienes materiales (Contrato 2.7, 11.6–11.8).</w:t>
      </w:r>
    </w:p>
    <w:p>
      <w:pPr>
        <w:pStyle w:val="ListBullet"/>
      </w:pPr>
      <w:r>
        <w:t>ClasificacionComercialOperacion = VocacionVigente, sellada por versión en cada operación; campo no editable manualmente.</w:t>
      </w:r>
    </w:p>
    <w:p>
      <w:pPr>
        <w:pStyle w:val="ListBullet"/>
      </w:pPr>
      <w:r>
        <w:t>Modelo ClasificacionTributariaOperacion separado (gravado/exento/excluido/no sujeto, tarifa IVA, INC, retenciones) por componente; nunca modifica la vocación (Contrato 2.9, Parágrafo 2º).</w:t>
      </w:r>
    </w:p>
    <w:p>
      <w:pPr>
        <w:pStyle w:val="ListBullet"/>
      </w:pPr>
      <w:r>
        <w:t>Detección de fragmentación/reclasificación artificial → ALERTA_POSIBLE_FRAGMENTACIÓN (Parágrafo 3º; alimenta MP-28).</w:t>
      </w:r>
    </w:p>
    <w:p>
      <w:pPr>
        <w:pStyle w:val="Heading3"/>
      </w:pPr>
      <w:r>
        <w:t>Criterios de aceptación (pruebas mínimas)</w:t>
      </w:r>
    </w:p>
    <w:p>
      <w:r>
        <w:rPr>
          <w:b w:val="0"/>
          <w:i w:val="0"/>
          <w:sz w:val="19"/>
        </w:rPr>
        <w:t>Clasificación PRODUCTOS; SERVICIOS; actividad dudosa a revisión; intento de vocación mixta (rechazo); reclasificación prospectiva sin efecto retroactivo; herencia de clasificación en operación; operación histórica inalterada; distintos impuestos con misma vocación → comisión inalterada; intento de fragmentar un paquete SERVICIOS.</w:t>
      </w:r>
    </w:p>
    <w:p>
      <w:pPr>
        <w:pStyle w:val="Heading3"/>
      </w:pPr>
      <w:r>
        <w:t>Rol sugerido</w:t>
      </w:r>
    </w:p>
    <w:p>
      <w:r>
        <w:rPr>
          <w:b w:val="0"/>
          <w:i w:val="0"/>
          <w:sz w:val="19"/>
        </w:rPr>
        <w:t>Backend senior (impacta el motor de comisión). Coordinar con MP-06/MP-07.</w:t>
      </w:r>
    </w:p>
    <w:p>
      <w:r>
        <w:br w:type="page"/>
      </w:r>
    </w:p>
    <w:p>
      <w:pPr>
        <w:pStyle w:val="Heading2"/>
      </w:pPr>
      <w:r>
        <w:t>MP-03 · Caracterización tributaria y alertas de crecimiento (UVT)</w:t>
      </w:r>
    </w:p>
    <w:p>
      <w:r>
        <w:rPr>
          <w:b/>
          <w:i w:val="0"/>
          <w:sz w:val="19"/>
        </w:rPr>
        <w:t>Fase 1 · Prioridad P1 · Complejidad Media · Estado actual: Nuevo · Estimación: 2.5 semanas‑desarrollador (1 persona, 4 h/día)</w:t>
      </w:r>
    </w:p>
    <w:p>
      <w:r>
        <w:rPr>
          <w:b w:val="0"/>
          <w:i w:val="0"/>
          <w:sz w:val="18"/>
        </w:rPr>
        <w:t>Numerales cubiertos: Contrato 1.6–1.7 (pág. 1), 4.7 (pág. 53), 5.18–5.24 (pág. 92); GUÍA 1.6–1.7, 2.9</w:t>
      </w:r>
    </w:p>
    <w:p>
      <w:r>
        <w:rPr>
          <w:b w:val="0"/>
          <w:i w:val="0"/>
          <w:sz w:val="18"/>
        </w:rPr>
        <w:t>Dependencias: MP-01</w:t>
      </w:r>
    </w:p>
    <w:p>
      <w:pPr>
        <w:pStyle w:val="Heading3"/>
      </w:pPr>
      <w:r>
        <w:t>Objetivo</w:t>
      </w:r>
    </w:p>
    <w:p>
      <w:r>
        <w:rPr>
          <w:b w:val="0"/>
          <w:i w:val="0"/>
        </w:rPr>
        <w:t>El empresario declara y mantiene su situación tributaria (RUT, responsabilidades, IVA, INC, facturador electrónico); responde la pregunta expresa de formalización; el sistema emite alertas informativas al acercarse a los límites legales.</w:t>
      </w:r>
    </w:p>
    <w:p>
      <w:pPr>
        <w:pStyle w:val="Heading3"/>
      </w:pPr>
      <w:r>
        <w:t>Qué existe hoy</w:t>
      </w:r>
    </w:p>
    <w:p>
      <w:r>
        <w:rPr>
          <w:b w:val="0"/>
          <w:i w:val="0"/>
        </w:rPr>
        <w:t>No existe. annualIncomeRange es el único dato cercano. Sin RUT, sin condición IVA, sin alertas.</w:t>
      </w:r>
    </w:p>
    <w:p>
      <w:pPr>
        <w:pStyle w:val="Heading3"/>
      </w:pPr>
      <w:r>
        <w:t>Entregables</w:t>
      </w:r>
    </w:p>
    <w:p>
      <w:pPr>
        <w:pStyle w:val="ListBullet"/>
      </w:pPr>
      <w:r>
        <w:t>Bloque tributario en el expediente: número y fecha de RUT, responsabilidades tributarias, condición frente a IVA, condición frente a INC, habilitación de facturación electrónica, régimen, disponibilidad de contador (Contrato 4.7, 5.21).</w:t>
      </w:r>
    </w:p>
    <w:p>
      <w:pPr>
        <w:pStyle w:val="ListBullet"/>
      </w:pPr>
      <w:r>
        <w:t>Casilla no premarcada de disposición a la formalización (1.7) + pregunta expresa del 4.7/5.18 con respuestas Sí/No y sus efectos (No → recomendar otra modalidad / restringir).</w:t>
      </w:r>
    </w:p>
    <w:p>
      <w:pPr>
        <w:pStyle w:val="ListBullet"/>
      </w:pPr>
      <w:r>
        <w:t>Parámetro en UVT parametrizable (2026: 3.500 UVT ≈ $183.309.000; UVT $52.374) y motor de alertas al 70 %, 85 %, 95 % y 100 % sobre ventas registradas, con texto preventivo y descargo de que no es asesoría (Contrato 5.19, 5.22).</w:t>
      </w:r>
    </w:p>
    <w:p>
      <w:pPr>
        <w:pStyle w:val="ListBullet"/>
      </w:pPr>
      <w:r>
        <w:t>Solicitud periódica de RUT actualizado y bloqueo proporcional de nuevas operaciones si la información está vencida/incoherente (5.21).</w:t>
      </w:r>
    </w:p>
    <w:p>
      <w:pPr>
        <w:pStyle w:val="Heading3"/>
      </w:pPr>
      <w:r>
        <w:t>Criterios de aceptación (pruebas mínimas)</w:t>
      </w:r>
    </w:p>
    <w:p>
      <w:r>
        <w:rPr>
          <w:b w:val="0"/>
          <w:i w:val="0"/>
          <w:sz w:val="19"/>
        </w:rPr>
        <w:t>Declaración completa; respuesta negativa a formalización → flujo alterno; alerta al 70/85/95/100 %; ausencia de alerta no exime al empresario; RUT vencido → restricción proporcional.</w:t>
      </w:r>
    </w:p>
    <w:p>
      <w:pPr>
        <w:pStyle w:val="Heading3"/>
      </w:pPr>
      <w:r>
        <w:t>Rol sugerido</w:t>
      </w:r>
    </w:p>
    <w:p>
      <w:r>
        <w:rPr>
          <w:b w:val="0"/>
          <w:i w:val="0"/>
          <w:sz w:val="19"/>
        </w:rPr>
        <w:t>Backend semi-senior + apoyo de negocio para los textos legales.</w:t>
      </w:r>
    </w:p>
    <w:p>
      <w:r>
        <w:br w:type="page"/>
      </w:r>
    </w:p>
    <w:p>
      <w:pPr>
        <w:pStyle w:val="Heading2"/>
      </w:pPr>
      <w:r>
        <w:t>MP-04 · Inversión Computable, Período de Inversión y Matriz Económica (distribución funcional)</w:t>
      </w:r>
    </w:p>
    <w:p>
      <w:r>
        <w:rPr>
          <w:b/>
          <w:i w:val="0"/>
          <w:sz w:val="19"/>
        </w:rPr>
        <w:t>Fase 1 · Prioridad P1 · Complejidad Alta · Estado actual: Pulir/Nuevo · Estimación: 4 semanas‑desarrollador (1 persona, 4 h/día)</w:t>
      </w:r>
    </w:p>
    <w:p>
      <w:r>
        <w:rPr>
          <w:b w:val="0"/>
          <w:i w:val="0"/>
          <w:sz w:val="18"/>
        </w:rPr>
        <w:t>Numerales cubiertos: Contrato 2.28–2.30 (pág. 20), 5.1–5.5.2 (pág. 76), 6.1, 6.22.1–6.22.4, 6.22.13–6.22.15 (pág. 122); GUÍA 2.28–2.30</w:t>
      </w:r>
    </w:p>
    <w:p>
      <w:r>
        <w:rPr>
          <w:b w:val="0"/>
          <w:i w:val="0"/>
          <w:sz w:val="18"/>
        </w:rPr>
        <w:t>Dependencias: MP-01</w:t>
      </w:r>
    </w:p>
    <w:p>
      <w:pPr>
        <w:pStyle w:val="Heading3"/>
      </w:pPr>
      <w:r>
        <w:t>Objetivo</w:t>
      </w:r>
    </w:p>
    <w:p>
      <w:r>
        <w:rPr>
          <w:b w:val="0"/>
          <w:i w:val="0"/>
        </w:rPr>
        <w:t>Cada pago del empresario se separa en valor neto (Inversión Computable), IVA y otros tributos; se asocia a un Período Ordinario semanal (America/Bogota); se distribuye automáticamente según una Matriz Económica versionada que se muestra ANTES del pago y suma 100 %.</w:t>
      </w:r>
    </w:p>
    <w:p>
      <w:pPr>
        <w:pStyle w:val="Heading3"/>
      </w:pPr>
      <w:r>
        <w:t>Qué existe hoy</w:t>
      </w:r>
    </w:p>
    <w:p>
      <w:r>
        <w:rPr>
          <w:b w:val="0"/>
          <w:i w:val="0"/>
        </w:rPr>
        <w:t>Investment.depositAmountCents (sin desglosar IVA). Distribución fija en TreasuryConfig: 60 % KEYS_RESERVE / 10 % FORTIFICATION / 30 % OPERATIONS (valida que sumen 100). No hay período semanal ni versión de matriz ni bolsa de Conectividad.</w:t>
      </w:r>
    </w:p>
    <w:p>
      <w:pPr>
        <w:pStyle w:val="Heading3"/>
      </w:pPr>
      <w:r>
        <w:t>Entregables</w:t>
      </w:r>
    </w:p>
    <w:p>
      <w:pPr>
        <w:pStyle w:val="ListBullet"/>
      </w:pPr>
      <w:r>
        <w:t>En Investment: valorNetoCents (= Inversión Computable), ivaCents, otrosTributosCents, referenciaPago, estado de conciliación, idPeriodo. Reconocer como computable sólo cuando esté conciliado; las retenciones a VERYGANA cuentan como pago del neto (Contrato 5.1, 5.3).</w:t>
      </w:r>
    </w:p>
    <w:p>
      <w:pPr>
        <w:pStyle w:val="ListBullet"/>
      </w:pPr>
      <w:r>
        <w:t>Entidad PeriodoOrdinarioInversion (semanal, zona horaria oficial) con apertura/cierre e historial (Contrato 2.29).</w:t>
      </w:r>
    </w:p>
    <w:p>
      <w:pPr>
        <w:pStyle w:val="ListBullet"/>
      </w:pPr>
      <w:r>
        <w:t>Entidad MatrizEconomica versionada: componentes {promocionales generales, Programa de Conectividad, Programa de Fortalecimiento, licenciamiento/infraestructura/soporte (remuneración VERYGANA)} en % que suman 100; aplicada sólo al neto; cambio sólo prospectivo (Contrato 5.5.1, 6.22.1).</w:t>
      </w:r>
    </w:p>
    <w:p>
      <w:pPr>
        <w:pStyle w:val="ListBullet"/>
      </w:pPr>
      <w:r>
        <w:t>Resumen precontractual: valor bruto, tributos excluidos, Inversión Computable, matriz aplicable y su versión, Umbral que generará, herramientas incluidas (Contrato 4.13, 5.2, 6.22.14).</w:t>
      </w:r>
    </w:p>
    <w:p>
      <w:pPr>
        <w:pStyle w:val="ListBullet"/>
      </w:pPr>
      <w:r>
        <w:t>Cálculo de juegos habilitables = ENTERO(InversiónComputable / 1.000.000) × 2 (Contrato 2.30, 5.4) — entregado a MP-16.</w:t>
      </w:r>
    </w:p>
    <w:p>
      <w:pPr>
        <w:pStyle w:val="ListBullet"/>
      </w:pPr>
      <w:r>
        <w:t>Sustituir la constante 60/10/30 por la Matriz Económica versionada y ampliarla a 4+ bolsas (a MP-08).</w:t>
      </w:r>
    </w:p>
    <w:p>
      <w:pPr>
        <w:pStyle w:val="Heading3"/>
      </w:pPr>
      <w:r>
        <w:t>Criterios de aceptación (pruebas mínimas)</w:t>
      </w:r>
    </w:p>
    <w:p>
      <w:r>
        <w:rPr>
          <w:b w:val="0"/>
          <w:i w:val="0"/>
          <w:sz w:val="19"/>
        </w:rPr>
        <w:t>Pago mínimo $1.000.000; máximo $9.999.999; IVA no entra en Inversión Computable; pago pendiente/rechazado no se reconoce; idempotencia; apertura/cierre de período; matriz suma 100 %; cambio de matriz no afecta períodos pagados.</w:t>
      </w:r>
    </w:p>
    <w:p>
      <w:pPr>
        <w:pStyle w:val="Heading3"/>
      </w:pPr>
      <w:r>
        <w:t>Rol sugerido</w:t>
      </w:r>
    </w:p>
    <w:p>
      <w:r>
        <w:rPr>
          <w:b w:val="0"/>
          <w:i w:val="0"/>
          <w:sz w:val="19"/>
        </w:rPr>
        <w:t>Backend senior. Ruta crítica de Fase 1.</w:t>
      </w:r>
    </w:p>
    <w:p>
      <w:r>
        <w:br w:type="page"/>
      </w:r>
    </w:p>
    <w:p>
      <w:pPr>
        <w:pStyle w:val="Heading2"/>
      </w:pPr>
      <w:r>
        <w:t>MP-05 · Motor de Prosperidad: Umbral, Saldo y Libro Mayor Económico</w:t>
      </w:r>
    </w:p>
    <w:p>
      <w:r>
        <w:rPr>
          <w:b/>
          <w:i w:val="0"/>
          <w:sz w:val="19"/>
        </w:rPr>
        <w:t>Fase 1 · Prioridad P1 · Complejidad Muy alta · Estado actual: Nuevo · Estimación: 6 semanas‑desarrollador (1 persona, 4 h/día)</w:t>
      </w:r>
    </w:p>
    <w:p>
      <w:r>
        <w:rPr>
          <w:b w:val="0"/>
          <w:i w:val="0"/>
          <w:sz w:val="18"/>
        </w:rPr>
        <w:t>Numerales cubiertos: Contrato 2.31–2.32 (pág. 21), 5.7–5.8 (pág. 81), 10.1–10.7, 10.20–10.27 (pág. 216); GUÍA 2.31–2.32, 5.7–5.8, 10.x</w:t>
      </w:r>
    </w:p>
    <w:p>
      <w:r>
        <w:rPr>
          <w:b w:val="0"/>
          <w:i w:val="0"/>
          <w:sz w:val="18"/>
        </w:rPr>
        <w:t>Dependencias: MP-04</w:t>
      </w:r>
    </w:p>
    <w:p>
      <w:pPr>
        <w:pStyle w:val="Heading3"/>
      </w:pPr>
      <w:r>
        <w:t>Objetivo</w:t>
      </w:r>
    </w:p>
    <w:p>
      <w:r>
        <w:rPr>
          <w:b w:val="0"/>
          <w:i w:val="0"/>
        </w:rPr>
        <w:t>Por cada Inversión Computable validada se genera un Umbral de Prosperidad = neto × 4, acumulativo, con origen individual; el Saldo de Prosperidad se lleva en un Libro Mayor Económico append-only por empresario (por NIT), movimiento a movimiento con saldo_antes / saldo_después.</w:t>
      </w:r>
    </w:p>
    <w:p>
      <w:pPr>
        <w:pStyle w:val="Heading3"/>
      </w:pPr>
      <w:r>
        <w:t>Qué existe hoy</w:t>
      </w:r>
    </w:p>
    <w:p>
      <w:r>
        <w:rPr>
          <w:b w:val="0"/>
          <w:i w:val="0"/>
        </w:rPr>
        <w:t>No existe ningún Libro Mayor de Prosperidad. Lo más parecido: TreasuryMovement (libro de VERYGANA, no del empresario), BudgetTransaction (presupuesto publicitario), KeyTransaction (llaves de usuario). Ninguno sirve.</w:t>
      </w:r>
    </w:p>
    <w:p>
      <w:pPr>
        <w:pStyle w:val="Heading3"/>
      </w:pPr>
      <w:r>
        <w:t>Entregables</w:t>
      </w:r>
    </w:p>
    <w:p>
      <w:pPr>
        <w:pStyle w:val="ListBullet"/>
      </w:pPr>
      <w:r>
        <w:t>Entidad UmbralProsperidad (inversión de origen, multiplicador=4, umbral generado, versión, fecha) — 1 por inversión (Contrato 5.7, 10.3).</w:t>
      </w:r>
    </w:p>
    <w:p>
      <w:pPr>
        <w:pStyle w:val="ListBullet"/>
      </w:pPr>
      <w:r>
        <w:t>Entidad ProsperityLedger / LibroMayorEconomico por CommercialDetails: movimientos append-only {concepto, operación de origen, valor, saldo_antes, saldo_después, fecha/hora efectiva de validación, regla+versión, estado provisional/definitivo, soporte} (Contrato 10.5).</w:t>
      </w:r>
    </w:p>
    <w:p>
      <w:pPr>
        <w:pStyle w:val="ListBullet"/>
      </w:pPr>
      <w:r>
        <w:t>Reglas: SALDO_DISPONIBLE = SALDO_ANTERIOR + UMBRAL_VALIDADO + REINTEGROS − VENTAS_ABSORBIDAS; conservar origen individual de cada Umbral y saldo agregado (no inventar FIFO/LIFO) (GUÍA 5.8).</w:t>
      </w:r>
    </w:p>
    <w:p>
      <w:pPr>
        <w:pStyle w:val="ListBullet"/>
      </w:pPr>
      <w:r>
        <w:t>Idempotencia por evento de inversión; prohibición de alterar el orden cronológico para aplicar una inversión posterior a ventas ya comisionadas (Contrato 10.5).</w:t>
      </w:r>
    </w:p>
    <w:p>
      <w:pPr>
        <w:pStyle w:val="ListBullet"/>
      </w:pPr>
      <w:r>
        <w:t>Reversión de Inversión Computable ya usada: identificar el Umbral de origen, la porción usada, bloquear el resto, registrar ajuste (Contrato 10.20) — coordinado con MP-30.</w:t>
      </w:r>
    </w:p>
    <w:p>
      <w:pPr>
        <w:pStyle w:val="ListBullet"/>
      </w:pPr>
      <w:r>
        <w:t>Aislamiento estricto por NIT/persona; libro mayor consolidado por empresario aunque se muestre por establecimiento (Contrato 10.21).</w:t>
      </w:r>
    </w:p>
    <w:p>
      <w:pPr>
        <w:pStyle w:val="ListBullet"/>
      </w:pPr>
      <w:r>
        <w:t>Correcciones sólo por asientos de ajuste vinculados, nunca UPDATE/DELETE (Contrato 1.17, 10.27).</w:t>
      </w:r>
    </w:p>
    <w:p>
      <w:pPr>
        <w:pStyle w:val="Heading3"/>
      </w:pPr>
      <w:r>
        <w:t>Criterios de aceptación (pruebas mínimas)</w:t>
      </w:r>
    </w:p>
    <w:p>
      <w:r>
        <w:rPr>
          <w:b w:val="0"/>
          <w:i w:val="0"/>
          <w:sz w:val="19"/>
        </w:rPr>
        <w:t>Primera inversión; inversión sucesiva (acumula); doble evento (idempotente); reverso de inversión; conciliación del libro mayor; consumo parcial; agotamiento exacto; venta superior al saldo; intento de reinicio del historial.</w:t>
      </w:r>
    </w:p>
    <w:p>
      <w:pPr>
        <w:pStyle w:val="Heading3"/>
      </w:pPr>
      <w:r>
        <w:t>Rol sugerido</w:t>
      </w:r>
    </w:p>
    <w:p>
      <w:r>
        <w:rPr>
          <w:b w:val="0"/>
          <w:i w:val="0"/>
          <w:sz w:val="19"/>
        </w:rPr>
        <w:t>Backend senior/arquitecto. Es el MP más delicado: definir bien el modelo del ledger antes de codificar. Considerar dividir en 5a (Umbral+ledger) y 5b (reversos+conciliación).</w:t>
      </w:r>
    </w:p>
    <w:p>
      <w:r>
        <w:br w:type="page"/>
      </w:r>
    </w:p>
    <w:p>
      <w:pPr>
        <w:pStyle w:val="Heading2"/>
      </w:pPr>
      <w:r>
        <w:t>MP-06 · Reconocimiento económico de operaciones: Venta Computable y Base Comisionable</w:t>
      </w:r>
    </w:p>
    <w:p>
      <w:r>
        <w:rPr>
          <w:b/>
          <w:i w:val="0"/>
          <w:sz w:val="19"/>
        </w:rPr>
        <w:t>Fase 1 · Prioridad P1 · Complejidad Alta · Estado actual: Nuevo · Estimación: 4 semanas‑desarrollador (1 persona, 4 h/día)</w:t>
      </w:r>
    </w:p>
    <w:p>
      <w:r>
        <w:rPr>
          <w:b w:val="0"/>
          <w:i w:val="0"/>
          <w:sz w:val="18"/>
        </w:rPr>
        <w:t>Numerales cubiertos: Contrato 2.33–2.34 (pág. 22), 5.9–5.10, 5.17 (pág. 82), 10.7–10.16, 7.19.1 (pág. 165); GUÍA 2.33–2.34</w:t>
      </w:r>
    </w:p>
    <w:p>
      <w:r>
        <w:rPr>
          <w:b w:val="0"/>
          <w:i w:val="0"/>
          <w:sz w:val="18"/>
        </w:rPr>
        <w:t>Dependencias: MP-05, MP-02, MP-12</w:t>
      </w:r>
    </w:p>
    <w:p>
      <w:pPr>
        <w:pStyle w:val="Heading3"/>
      </w:pPr>
      <w:r>
        <w:t>Objetivo</w:t>
      </w:r>
    </w:p>
    <w:p>
      <w:r>
        <w:rPr>
          <w:b w:val="0"/>
          <w:i w:val="0"/>
        </w:rPr>
        <w:t>Cada compra válida produce una única Venta Computable (precio final total, con IVA de la venta incluido; las llaves con respaldo reconocido NO la reducen); el Saldo de Prosperidad absorbe lo que puede; el excedente es la Base Comisionable.</w:t>
      </w:r>
    </w:p>
    <w:p>
      <w:pPr>
        <w:pStyle w:val="Heading3"/>
      </w:pPr>
      <w:r>
        <w:t>Qué existe hoy</w:t>
      </w:r>
    </w:p>
    <w:p>
      <w:r>
        <w:rPr>
          <w:b w:val="0"/>
          <w:i w:val="0"/>
        </w:rPr>
        <w:t>Purchase.totalCents y PurchaseItem existen, pero se comisiona el 100 % de cada venta de inmediato. No hay Venta Computable frente a un saldo, ni Base Comisionable, ni causación provisional.</w:t>
      </w:r>
    </w:p>
    <w:p>
      <w:pPr>
        <w:pStyle w:val="Heading3"/>
      </w:pPr>
      <w:r>
        <w:t>Entregables</w:t>
      </w:r>
    </w:p>
    <w:p>
      <w:pPr>
        <w:pStyle w:val="ListBullet"/>
      </w:pPr>
      <w:r>
        <w:t>Motor VentaComputable: VENTA_COMPUTABLE = PRECIO_FINAL_TOTAL_RECONOCIDO_A_EL_EMPRESARIO; incorpora Porción Monetaria + valor económico respaldado de Llaves + aportes de terceros/Premium/Programa que completen el precio; excluye propinas y transporte de terceros realmente independiente (Contrato 5.9, 10.7).</w:t>
      </w:r>
    </w:p>
    <w:p>
      <w:pPr>
        <w:pStyle w:val="ListBullet"/>
      </w:pPr>
      <w:r>
        <w:t>Motor BaseComisionable: PORCIÓN_ABSORBIDA = MIN(VENTA_COMPUTABLE, SALDO_DISPONIBLE); BASE_COMISIONABLE = VENTA_COMPUTABLE − PORCIÓN_ABSORBIDA (nunca negativa) (Contrato 5.10, 10.10).</w:t>
      </w:r>
    </w:p>
    <w:p>
      <w:pPr>
        <w:pStyle w:val="ListBullet"/>
      </w:pPr>
      <w:r>
        <w:t>Estado VENTA_COMPUTABLE_PROVISIONAL vs. VENTA_COMPUTABLE_VALIDADA según entrega/prestación/redención/conciliación/revisión de fraude (Contrato 10.9).</w:t>
      </w:r>
    </w:p>
    <w:p>
      <w:pPr>
        <w:pStyle w:val="ListBullet"/>
      </w:pPr>
      <w:r>
        <w:t>Separación contable cuando una venta atraviesa el saldo (porción absorbida + excedente) sin dividir comercialmente la compra (Contrato 5.17, 7.19.1).</w:t>
      </w:r>
    </w:p>
    <w:p>
      <w:pPr>
        <w:pStyle w:val="ListBullet"/>
      </w:pPr>
      <w:r>
        <w:t>No doble contabilización cuando el pago sale del Programa de Fortalecimiento (atributo de fuente, no componente sumable) (Contrato 5.9).</w:t>
      </w:r>
    </w:p>
    <w:p>
      <w:pPr>
        <w:pStyle w:val="Heading3"/>
      </w:pPr>
      <w:r>
        <w:t>Criterios de aceptación (pruebas mínimas)</w:t>
      </w:r>
    </w:p>
    <w:p>
      <w:r>
        <w:rPr>
          <w:b w:val="0"/>
          <w:i w:val="0"/>
          <w:sz w:val="19"/>
        </w:rPr>
        <w:t>Pago sólo en dinero; dinero + llaves; dinero + patrocinio; compra VERYGANA/PFE; bono comercial; bono de desbloqueo; operación anulada; devolución parcial; venta que agota el saldo exacto; venta &gt; saldo → Base = excedente.</w:t>
      </w:r>
    </w:p>
    <w:p>
      <w:pPr>
        <w:pStyle w:val="Heading3"/>
      </w:pPr>
      <w:r>
        <w:t>Rol sugerido</w:t>
      </w:r>
    </w:p>
    <w:p>
      <w:r>
        <w:rPr>
          <w:b w:val="0"/>
          <w:i w:val="0"/>
          <w:sz w:val="19"/>
        </w:rPr>
        <w:t>Backend senior. Trabaja pegado a MP-05 y MP-07.</w:t>
      </w:r>
    </w:p>
    <w:p>
      <w:r>
        <w:br w:type="page"/>
      </w:r>
    </w:p>
    <w:p>
      <w:pPr>
        <w:pStyle w:val="Heading2"/>
      </w:pPr>
      <w:r>
        <w:t>MP-07 · Causación, facturación electrónica y dispersión de comisiones</w:t>
      </w:r>
    </w:p>
    <w:p>
      <w:r>
        <w:rPr>
          <w:b/>
          <w:i w:val="0"/>
          <w:sz w:val="19"/>
        </w:rPr>
        <w:t>Fase 1 · Prioridad P1 · Complejidad Muy alta · Estado actual: Divergente · Estimación: 5 semanas‑desarrollador (1 persona, 4 h/día)</w:t>
      </w:r>
    </w:p>
    <w:p>
      <w:r>
        <w:rPr>
          <w:b w:val="0"/>
          <w:i w:val="0"/>
          <w:sz w:val="18"/>
        </w:rPr>
        <w:t>Numerales cubiertos: Contrato 2.35 (pág. 22), 5.11–5.16 (pág. 85), 10.11–10.18 (pág. 223), 11.1–11.30 (pág. 235); GUÍA 2.35, 11.x</w:t>
      </w:r>
    </w:p>
    <w:p>
      <w:r>
        <w:rPr>
          <w:b w:val="0"/>
          <w:i w:val="0"/>
          <w:sz w:val="18"/>
        </w:rPr>
        <w:t>Dependencias: MP-06</w:t>
      </w:r>
    </w:p>
    <w:p>
      <w:pPr>
        <w:pStyle w:val="Heading3"/>
      </w:pPr>
      <w:r>
        <w:t>Objetivo</w:t>
      </w:r>
    </w:p>
    <w:p>
      <w:r>
        <w:rPr>
          <w:b w:val="0"/>
          <w:i w:val="0"/>
        </w:rPr>
        <w:t>Sobre la Base Comisionable se causa la comisión (10 % PRODUCTOS / 15 % SERVICIOS, IVA incluido); se discrimina el IVA interno; se emite factura electrónica de VERYGANA; se descuenta y se dispersa el valor neto al empresario.</w:t>
      </w:r>
    </w:p>
    <w:p>
      <w:pPr>
        <w:pStyle w:val="Heading3"/>
      </w:pPr>
      <w:r>
        <w:t>Qué existe hoy</w:t>
      </w:r>
    </w:p>
    <w:p>
      <w:r>
        <w:rPr>
          <w:b w:val="0"/>
          <w:i w:val="0"/>
        </w:rPr>
        <w:t>PurchaseItem.commissionPctApplied/commissionCents/netToCommercialCents; TreasuryService.retainCommission → COMMISSION_RETENTION; PayoutService + PayoutScheduler (cron America/Bogota, Wompi Pagos a Terceros); PurchaseItemRefundServiceImpl revierte comisión. Falta: 15 % servicios, causación provisional/definitiva, discriminación de IVA, factura electrónica, reverso post-dispersión.</w:t>
      </w:r>
    </w:p>
    <w:p>
      <w:pPr>
        <w:pStyle w:val="Heading3"/>
      </w:pPr>
      <w:r>
        <w:t>Entregables</w:t>
      </w:r>
    </w:p>
    <w:p>
      <w:pPr>
        <w:pStyle w:val="ListBullet"/>
      </w:pPr>
      <w:r>
        <w:t>Tarifa por Vocación: 10 % / 15 %, IVA incluido; sin IVA adicional sobre la comisión (Contrato 5.11–5.12, 11.2, 11.15).</w:t>
      </w:r>
    </w:p>
    <w:p>
      <w:pPr>
        <w:pStyle w:val="ListBullet"/>
      </w:pPr>
      <w:r>
        <w:t>Discriminación: VALOR_SERVICIO_ANTES_DE_IVA = COMISIÓN_TOTAL / (1 + TARIFA_IVA); IVA_INCLUIDO = COMISIÓN_TOTAL − ese valor; conservar decimales y regla de redondeo (Contrato 10.12).</w:t>
      </w:r>
    </w:p>
    <w:p>
      <w:pPr>
        <w:pStyle w:val="ListBullet"/>
      </w:pPr>
      <w:r>
        <w:t>Estados de comisión PROVISIONAL / CAUSADA / FACTURADA / AJUSTADA / REVERSADA; causación diferida hasta validar el cumplimiento (Contrato 5.16, 11.13).</w:t>
      </w:r>
    </w:p>
    <w:p>
      <w:pPr>
        <w:pStyle w:val="ListBullet"/>
      </w:pPr>
      <w:r>
        <w:t>Integración con proveedor de facturación electrónica (DIAN): factura de VERYGANA por su servicio discriminando valor neto, IVA, % aplicado, Base Comisionable, operación y período (Contrato 5.16, 11.19). — subtarea grande, considerar proveedor externo.</w:t>
      </w:r>
    </w:p>
    <w:p>
      <w:pPr>
        <w:pStyle w:val="ListBullet"/>
      </w:pPr>
      <w:r>
        <w:t>Reglas de clasificación gastronómica/hotelera/turística y anti-fragmentación aplicadas en la causación (Contrato 11.6–11.9).</w:t>
      </w:r>
    </w:p>
    <w:p>
      <w:pPr>
        <w:pStyle w:val="ListBullet"/>
      </w:pPr>
      <w:r>
        <w:t>Liquidación pre-dispersión: VALOR_NETO = VALOR_PAGADERO − COMISIÓN − RETENCIONES − COSTOS_AUTORIZADOS + AJUSTES (Contrato 10.17, 11.18).</w:t>
      </w:r>
    </w:p>
    <w:p>
      <w:pPr>
        <w:pStyle w:val="ListBullet"/>
      </w:pPr>
      <w:r>
        <w:t>Procedimiento para operaciones reversadas después de la dispersión: nota crédito / cuenta por cobrar / compensación, sin borrar movimientos (Contrato 11.23).</w:t>
      </w:r>
    </w:p>
    <w:p>
      <w:pPr>
        <w:pStyle w:val="Heading3"/>
      </w:pPr>
      <w:r>
        <w:t>Criterios de aceptación (pruebas mínimas)</w:t>
      </w:r>
    </w:p>
    <w:p>
      <w:r>
        <w:rPr>
          <w:b w:val="0"/>
          <w:i w:val="0"/>
          <w:sz w:val="19"/>
        </w:rPr>
        <w:t>Comisión PRODUCTOS 10 %; SERVICIOS 15 %; sobre Base (no sobre total); saldo positivo → comisión $0; IVA discriminado sin cobro adicional; factura emitida; retención practicada por el empresario no reduce el valor contractual; reverso antes y después de la dispersión.</w:t>
      </w:r>
    </w:p>
    <w:p>
      <w:pPr>
        <w:pStyle w:val="Heading3"/>
      </w:pPr>
      <w:r>
        <w:t>Rol sugerido</w:t>
      </w:r>
    </w:p>
    <w:p>
      <w:r>
        <w:rPr>
          <w:b w:val="0"/>
          <w:i w:val="0"/>
          <w:sz w:val="19"/>
        </w:rPr>
        <w:t>Backend senior + integración con proveedor de facturación electrónica. Muy alta: valorar separar la facturación electrónica como MP propio si el proveedor tarda.</w:t>
      </w:r>
    </w:p>
    <w:p>
      <w:r>
        <w:br w:type="page"/>
      </w:r>
    </w:p>
    <w:p>
      <w:pPr>
        <w:pStyle w:val="Heading2"/>
      </w:pPr>
      <w:r>
        <w:t>MP-08 · Bolsas económicas, Programa de Conectividad y Programa de Fortalecimiento Empresarial</w:t>
      </w:r>
    </w:p>
    <w:p>
      <w:r>
        <w:rPr>
          <w:b/>
          <w:i w:val="0"/>
          <w:sz w:val="19"/>
        </w:rPr>
        <w:t>Fase 1 · Prioridad P1 · Complejidad Alta · Estado actual: Pulir/Nuevo · Estimación: 4 semanas‑desarrollador (1 persona, 4 h/día)</w:t>
      </w:r>
    </w:p>
    <w:p>
      <w:r>
        <w:rPr>
          <w:b w:val="0"/>
          <w:i w:val="0"/>
          <w:sz w:val="18"/>
        </w:rPr>
        <w:t>Numerales cubiertos: Contrato 2.36 (pág. 22), 5.5.1 (pág. 79), 6.22.2–6.22.12 (pág. 123); GUÍA 2.36</w:t>
      </w:r>
    </w:p>
    <w:p>
      <w:r>
        <w:rPr>
          <w:b w:val="0"/>
          <w:i w:val="0"/>
          <w:sz w:val="18"/>
        </w:rPr>
        <w:t>Dependencias: MP-04</w:t>
      </w:r>
    </w:p>
    <w:p>
      <w:pPr>
        <w:pStyle w:val="Heading3"/>
      </w:pPr>
      <w:r>
        <w:t>Objetivo</w:t>
      </w:r>
    </w:p>
    <w:p>
      <w:r>
        <w:rPr>
          <w:b w:val="0"/>
          <w:i w:val="0"/>
        </w:rPr>
        <w:t>La Inversión Computable distribuida alimenta bolsas económicas separadas contable/presupuestal/tecnológicamente: promocionales generales, Programa de Conectividad y Programa de Fortalecimiento Empresarial (con subcuentas), más el registro de remuneración de VERYGANA.</w:t>
      </w:r>
    </w:p>
    <w:p>
      <w:pPr>
        <w:pStyle w:val="Heading3"/>
      </w:pPr>
      <w:r>
        <w:t>Qué existe hoy</w:t>
      </w:r>
    </w:p>
    <w:p>
      <w:r>
        <w:rPr>
          <w:b w:val="0"/>
          <w:i w:val="0"/>
        </w:rPr>
        <w:t>TreasuryAccountCode: KEYS_RESERVE (60 %), FORTIFICATION (10 %), OPERATIONS (30 %), PAYOUTS_PENDING, EXTERNAL_INCOME. KeyExpiryService manda llaves vencidas a FORTIFICATION. No hay bolsa de Conectividad ni subcuentas del Programa de Fortalecimiento.</w:t>
      </w:r>
    </w:p>
    <w:p>
      <w:pPr>
        <w:pStyle w:val="Heading3"/>
      </w:pPr>
      <w:r>
        <w:t>Entregables</w:t>
      </w:r>
    </w:p>
    <w:p>
      <w:pPr>
        <w:pStyle w:val="ListBullet"/>
      </w:pPr>
      <w:r>
        <w:t>Registro transitorio de recaudo/conciliación + bolsa promocional general + bolsa Programa de Conectividad + bolsa Programa de Fortalecimiento (5 subcuentas: activación inmediata; fortalecimiento/recuperación; reconocimientos por mérito/progreso/excelencia; actividades excepcionales; administración/sostenibilidad) + registro de remuneración de VERYGANA (Contrato 6.22.2).</w:t>
      </w:r>
    </w:p>
    <w:p>
      <w:pPr>
        <w:pStyle w:val="ListBullet"/>
      </w:pPr>
      <w:r>
        <w:t>Distribución automática al confirmar y conciliar el pago, con versión de matriz, impedir duplicidad, sólo habilitar recursos causados (Contrato 6.22.3).</w:t>
      </w:r>
    </w:p>
    <w:p>
      <w:pPr>
        <w:pStyle w:val="ListBullet"/>
      </w:pPr>
      <w:r>
        <w:t>Programa de Conectividad: recursos identificados, aplicados, vencidos, respaldo liberado; el empresario NO decide usuarios/líneas/operadores; VERYGANA es facilitador, el operador conserva las obligaciones sectoriales (Contrato 6.22.5). Reglas por usuario (causación/vencimiento de llaves de conectividad) → coordinar con MP-12; integración de operador → MP-36.</w:t>
      </w:r>
    </w:p>
    <w:p>
      <w:pPr>
        <w:pStyle w:val="ListBullet"/>
      </w:pPr>
      <w:r>
        <w:t>Vencimiento de Llaves: liberar respaldo y reasignar a la subcuenta correcta del Programa de Fortalecimiento con movimiento identificado (categoría/origen/destino/fecha/regla/versión) (Contrato 6.22.7).</w:t>
      </w:r>
    </w:p>
    <w:p>
      <w:pPr>
        <w:pStyle w:val="ListBullet"/>
      </w:pPr>
      <w:r>
        <w:t>Conciliación, agotamiento, ampliación y cierre de recursos por pieza/campaña; recursos no consumidos ≠ dinero retirable (Contrato 6.22.15).</w:t>
      </w:r>
    </w:p>
    <w:p>
      <w:pPr>
        <w:pStyle w:val="Heading3"/>
      </w:pPr>
      <w:r>
        <w:t>Criterios de aceptación (pruebas mínimas)</w:t>
      </w:r>
    </w:p>
    <w:p>
      <w:r>
        <w:rPr>
          <w:b w:val="0"/>
          <w:i w:val="0"/>
          <w:sz w:val="19"/>
        </w:rPr>
        <w:t>Distribución de un pago; recurso pendiente de conciliación no disponible; contracargo reversa proporcionalmente; llave vencida libera respaldo a la subcuenta correcta; agotamiento cesa causación de nuevas llaves; conciliación de las bolsas.</w:t>
      </w:r>
    </w:p>
    <w:p>
      <w:pPr>
        <w:pStyle w:val="Heading3"/>
      </w:pPr>
      <w:r>
        <w:t>Rol sugerido</w:t>
      </w:r>
    </w:p>
    <w:p>
      <w:r>
        <w:rPr>
          <w:b w:val="0"/>
          <w:i w:val="0"/>
          <w:sz w:val="19"/>
        </w:rPr>
        <w:t>Backend senior con criterio contable. Depende de MP-04.</w:t>
      </w:r>
    </w:p>
    <w:p>
      <w:r>
        <w:br w:type="page"/>
      </w:r>
    </w:p>
    <w:p>
      <w:pPr>
        <w:pStyle w:val="Heading2"/>
      </w:pPr>
      <w:r>
        <w:t>MP-09 · Compra institucional de VERYGANA y reconocimientos por mérito</w:t>
      </w:r>
    </w:p>
    <w:p>
      <w:r>
        <w:rPr>
          <w:b/>
          <w:i w:val="0"/>
          <w:sz w:val="19"/>
        </w:rPr>
        <w:t>Fase 1 · Prioridad P1 · Complejidad Alta · Estado actual: Nuevo · Estimación: 3.5 semanas‑desarrollador (1 persona, 4 h/día)</w:t>
      </w:r>
    </w:p>
    <w:p>
      <w:r>
        <w:rPr>
          <w:b w:val="0"/>
          <w:i w:val="0"/>
          <w:sz w:val="18"/>
        </w:rPr>
        <w:t>Numerales cubiertos: Contrato 2.24 (pág. 20), 2.37 (pág. 23), 3.14 (pág. 45), 6.22.9 (pág. 124), 7.9.3 (pág. 156), 10.16 (pág. 222); GUÍA 2.24, 2.37</w:t>
      </w:r>
    </w:p>
    <w:p>
      <w:r>
        <w:rPr>
          <w:b w:val="0"/>
          <w:i w:val="0"/>
          <w:sz w:val="18"/>
        </w:rPr>
        <w:t>Dependencias: MP-06, MP-08, MP-11</w:t>
      </w:r>
    </w:p>
    <w:p>
      <w:pPr>
        <w:pStyle w:val="Heading3"/>
      </w:pPr>
      <w:r>
        <w:t>Objetivo</w:t>
      </w:r>
    </w:p>
    <w:p>
      <w:r>
        <w:rPr>
          <w:b w:val="0"/>
          <w:i w:val="0"/>
        </w:rPr>
        <w:t>VERYGANA compra productos/servicios/bonos al empresario con recursos del Programa de Fortalecimiento para entregarlos gratis a un beneficiario elegido por criterios objetivos (sin azar). El empresario factura a VERYGANA; aplica el régimen económico ordinario; la entrega posterior no genera segunda venta ni segunda comisión.</w:t>
      </w:r>
    </w:p>
    <w:p>
      <w:pPr>
        <w:pStyle w:val="Heading3"/>
      </w:pPr>
      <w:r>
        <w:t>Qué existe hoy</w:t>
      </w:r>
    </w:p>
    <w:p>
      <w:r>
        <w:rPr>
          <w:b w:val="0"/>
          <w:i w:val="0"/>
        </w:rPr>
        <w:t>Sólo el concepto MovementConcept.FORTIFICATION_PURCHASE, sin flujo. No hay motor de reconocimiento por mérito.</w:t>
      </w:r>
    </w:p>
    <w:p>
      <w:pPr>
        <w:pStyle w:val="Heading3"/>
      </w:pPr>
      <w:r>
        <w:t>Entregables</w:t>
      </w:r>
    </w:p>
    <w:p>
      <w:pPr>
        <w:pStyle w:val="ListBullet"/>
      </w:pPr>
      <w:r>
        <w:t>Flujo Compra Institucional: orden de compra, rol COMPRADOR de VERYGANA en esa operación, pago desde la subcuenta del Programa, una sola Venta Computable, factura del empresario a VERYGANA, entrega/redención al beneficiario con trazabilidad separada (Contrato 2.37, 3.14, 10.16).</w:t>
      </w:r>
    </w:p>
    <w:p>
      <w:pPr>
        <w:pStyle w:val="ListBullet"/>
      </w:pPr>
      <w:r>
        <w:t>Motor de Reconocimiento por Mérito: criterios previos, verificables e inmutables durante la evaluación; cálculo; validación; asignación; evidencia; regla objetiva de desempate; PROHIBIDO azar/ruleta/sorteo/aleatorio (Contrato 2.24, 6.22.9, 7.9.3).</w:t>
      </w:r>
    </w:p>
    <w:p>
      <w:pPr>
        <w:pStyle w:val="ListBullet"/>
      </w:pPr>
      <w:r>
        <w:t>Instrumento de entrega (bono digital / código / QR) que identifica beneficiario, proveedor, valor comercial, vigencia, estado de redención.</w:t>
      </w:r>
    </w:p>
    <w:p>
      <w:pPr>
        <w:pStyle w:val="ListBullet"/>
      </w:pPr>
      <w:r>
        <w:t>Mensajería correcta al usuario (“VERYGANA adquirió para ti…; no pagas dinero ni usas Llaves”) — nunca “ganaste” si hay copago (Contrato 7.9.3, Parágrafo 2º de la Cláusula 7ª).</w:t>
      </w:r>
    </w:p>
    <w:p>
      <w:pPr>
        <w:pStyle w:val="Heading3"/>
      </w:pPr>
      <w:r>
        <w:t>Criterios de aceptación (pruebas mínimas)</w:t>
      </w:r>
    </w:p>
    <w:p>
      <w:r>
        <w:rPr>
          <w:b w:val="0"/>
          <w:i w:val="0"/>
          <w:sz w:val="19"/>
        </w:rPr>
        <w:t>Compra institucional con factura; una sola comisión; entrega gratuita al beneficiario; anulación → recursos vuelven a la subcuenta de origen (no a llaves del usuario); ganador por criterio objetivo; empate; intento de aleatoriedad (bloqueado).</w:t>
      </w:r>
    </w:p>
    <w:p>
      <w:pPr>
        <w:pStyle w:val="Heading3"/>
      </w:pPr>
      <w:r>
        <w:t>Rol sugerido</w:t>
      </w:r>
    </w:p>
    <w:p>
      <w:r>
        <w:rPr>
          <w:b w:val="0"/>
          <w:i w:val="0"/>
          <w:sz w:val="19"/>
        </w:rPr>
        <w:t>Backend semi-senior. Depende de MP-06, MP-08, MP-11.</w:t>
      </w:r>
    </w:p>
    <w:p>
      <w:r>
        <w:br w:type="page"/>
      </w:r>
    </w:p>
    <w:p>
      <w:pPr>
        <w:pStyle w:val="Heading2"/>
      </w:pPr>
      <w:r>
        <w:t>MP-10 · Cupo de Ofertas y catálogo unificado (producto, servicio, paquete, experiencia)</w:t>
      </w:r>
    </w:p>
    <w:p>
      <w:r>
        <w:rPr>
          <w:b/>
          <w:i w:val="0"/>
          <w:sz w:val="19"/>
        </w:rPr>
        <w:t>Fase 2 · Prioridad P2 · Complejidad Media · Estado actual: Pulir/Nuevo · Estimación: 3.5 semanas‑desarrollador (1 persona, 4 h/día)</w:t>
      </w:r>
    </w:p>
    <w:p>
      <w:r>
        <w:rPr>
          <w:b w:val="0"/>
          <w:i w:val="0"/>
          <w:sz w:val="18"/>
        </w:rPr>
        <w:t>Numerales cubiertos: Contrato 2.11–2.15 (pág. 17), 3.5–3.8 (pág. 32), 7.1–7.5, 7.4.1–7.4.2 (pág. 133); GUÍA 2.11–2.15</w:t>
      </w:r>
    </w:p>
    <w:p>
      <w:r>
        <w:rPr>
          <w:b w:val="0"/>
          <w:i w:val="0"/>
          <w:sz w:val="18"/>
        </w:rPr>
        <w:t>Dependencias: MP-02</w:t>
      </w:r>
    </w:p>
    <w:p>
      <w:pPr>
        <w:pStyle w:val="Heading3"/>
      </w:pPr>
      <w:r>
        <w:t>Objetivo</w:t>
      </w:r>
    </w:p>
    <w:p>
      <w:r>
        <w:rPr>
          <w:b w:val="0"/>
          <w:i w:val="0"/>
        </w:rPr>
        <w:t>El empresario administra entre 3 y 10 ofertas activas (parametrizable), de tipos producto / servicio / paquete / combo / mercado / experiencia / pasadía / reserva / bono, con composición determinada y ciclo de vida BORRADOR → EN_REVISIÓN → APROBADA → PUBLICADA → SUSPENDIDA/AGOTADA/VENCIDA/CERRADA.</w:t>
      </w:r>
    </w:p>
    <w:p>
      <w:pPr>
        <w:pStyle w:val="Heading3"/>
      </w:pPr>
      <w:r>
        <w:t>Qué existe hoy</w:t>
      </w:r>
    </w:p>
    <w:p>
      <w:r>
        <w:rPr>
          <w:b w:val="0"/>
          <w:i w:val="0"/>
        </w:rPr>
        <w:t>marketplace: Product genérico, ProductStock, categorías, reviews. PlanFeature MAX_PRODUCTS=50 para STANDARD. No hay tipos de oferta, ni composición de paquetes, ni el concepto unificado de “cupo de ofertas”.</w:t>
      </w:r>
    </w:p>
    <w:p>
      <w:pPr>
        <w:pStyle w:val="Heading3"/>
      </w:pPr>
      <w:r>
        <w:t>Entregables</w:t>
      </w:r>
    </w:p>
    <w:p>
      <w:pPr>
        <w:pStyle w:val="ListBullet"/>
      </w:pPr>
      <w:r>
        <w:t>Concepto CupoDeOfertas: 3–10 parametrizable, con posible límite por categoría; contar producto+servicio+paquete+bono dentro del mismo cupo; CUPO_DISPONIBLE = CUPO_AUTORIZADO − OFERTAS_ACTIVAS; al menos 1 puede ser bono comercial (Contrato 2.12, 7.4.2). Reemplaza MAX_PRODUCTS=50.</w:t>
      </w:r>
    </w:p>
    <w:p>
      <w:pPr>
        <w:pStyle w:val="ListBullet"/>
      </w:pPr>
      <w:r>
        <w:t>Tipo de oferta + composición determinada para paquetes/experiencias/pasadías/reservas: componentes, cantidades, incluidos/excluidos, precio total único, tratado como una sola operación de SERVICIOS si lo publica un empresario de servicios (Contrato 2.15, 7.4.1, 7.5).</w:t>
      </w:r>
    </w:p>
    <w:p>
      <w:pPr>
        <w:pStyle w:val="ListBullet"/>
      </w:pPr>
      <w:r>
        <w:t>Ciclo de vida y versión de la oferta; no publicar con campos esenciales incompletos; no modificar silenciosamente una oferta ya aceptada; operaciones confirmadas conservan la versión aceptada (Contrato 7.5.1, 2.11).</w:t>
      </w:r>
    </w:p>
    <w:p>
      <w:pPr>
        <w:pStyle w:val="ListBullet"/>
      </w:pPr>
      <w:r>
        <w:t>Información obligatoria por tipo (producto 7.3, servicio 7.4, alojamiento/turismo 7.4) y términos y condiciones completos dentro de la publicación (Contrato 7.5.1).</w:t>
      </w:r>
    </w:p>
    <w:p>
      <w:pPr>
        <w:pStyle w:val="Heading3"/>
      </w:pPr>
      <w:r>
        <w:t>Criterios de aceptación (pruebas mínimas)</w:t>
      </w:r>
    </w:p>
    <w:p>
      <w:r>
        <w:rPr>
          <w:b w:val="0"/>
          <w:i w:val="0"/>
          <w:sz w:val="19"/>
        </w:rPr>
        <w:t>Cupo mínimo/máximo; cupo agotado; liberación al cerrar una oferta; publicación simultánea (concurrencia); paquete con componente agotado; distintos impuestos por componente; intento de fragmentación; nueva versión de oferta sin afectar operaciones históricas.</w:t>
      </w:r>
    </w:p>
    <w:p>
      <w:pPr>
        <w:pStyle w:val="Heading3"/>
      </w:pPr>
      <w:r>
        <w:t>Rol sugerido</w:t>
      </w:r>
    </w:p>
    <w:p>
      <w:r>
        <w:rPr>
          <w:b w:val="0"/>
          <w:i w:val="0"/>
          <w:sz w:val="19"/>
        </w:rPr>
        <w:t>Backend semi-senior. Depende de MP-02.</w:t>
      </w:r>
    </w:p>
    <w:p>
      <w:r>
        <w:br w:type="page"/>
      </w:r>
    </w:p>
    <w:p>
      <w:pPr>
        <w:pStyle w:val="Heading2"/>
      </w:pPr>
      <w:r>
        <w:t>MP-11 · Bonos Comerciales y Bonos de Desbloqueo</w:t>
      </w:r>
    </w:p>
    <w:p>
      <w:r>
        <w:rPr>
          <w:b/>
          <w:i w:val="0"/>
          <w:sz w:val="19"/>
        </w:rPr>
        <w:t>Fase 2 · Prioridad P2 · Complejidad Alta · Estado actual: Nuevo · Estimación: 4.5 semanas‑desarrollador (1 persona, 4 h/día)</w:t>
      </w:r>
    </w:p>
    <w:p>
      <w:r>
        <w:rPr>
          <w:b w:val="0"/>
          <w:i w:val="0"/>
          <w:sz w:val="18"/>
        </w:rPr>
        <w:t>Numerales cubiertos: Contrato 2.16–2.17 (pág. 18), 3.13 (pág. 44), 6.17.2 (pág. 121), 7.4.2 (pág. 137), 7.9.1 (pág. 154); GUÍA 2.16–2.17</w:t>
      </w:r>
    </w:p>
    <w:p>
      <w:r>
        <w:rPr>
          <w:b w:val="0"/>
          <w:i w:val="0"/>
          <w:sz w:val="18"/>
        </w:rPr>
        <w:t>Dependencias: MP-10, MP-12</w:t>
      </w:r>
    </w:p>
    <w:p>
      <w:pPr>
        <w:pStyle w:val="Heading3"/>
      </w:pPr>
      <w:r>
        <w:t>Objetivo</w:t>
      </w:r>
    </w:p>
    <w:p>
      <w:r>
        <w:rPr>
          <w:b w:val="0"/>
          <w:i w:val="0"/>
        </w:rPr>
        <w:t>Los Bonos Comerciales (valor nominal ≥ $50.000, código único, acumulables, redención total o parcial) y los Bonos de Desbloqueo (habilitan una condición de compra, no son dinero) existen como instrumentos separados con su ciclo de estados completo.</w:t>
      </w:r>
    </w:p>
    <w:p>
      <w:pPr>
        <w:pStyle w:val="Heading3"/>
      </w:pPr>
      <w:r>
        <w:t>Qué existe hoy</w:t>
      </w:r>
    </w:p>
    <w:p>
      <w:r>
        <w:rPr>
          <w:b w:val="0"/>
          <w:i w:val="0"/>
        </w:rPr>
        <w:t>No existe ninguna entidad de bono / voucher / gift-card en el dominio.</w:t>
      </w:r>
    </w:p>
    <w:p>
      <w:pPr>
        <w:pStyle w:val="Heading3"/>
      </w:pPr>
      <w:r>
        <w:t>Entregables</w:t>
      </w:r>
    </w:p>
    <w:p>
      <w:pPr>
        <w:pStyle w:val="ListBullet"/>
      </w:pPr>
      <w:r>
        <w:t>Entidad BonoComercial: código único verificable, valor nominal parametrizable ($50.000, $100.000…), adquirente, beneficiario, empresario, vigencia, establecimientos, restricciones; estados creado / pendiente de aprobación / publicado / reservado / adquirido por usuario / adquirido por VERYGANA / asignado al beneficiario / parcialmente redimido / redimido / vencido / cancelado / bloqueado / reversado (Contrato 7.4.2).</w:t>
      </w:r>
    </w:p>
    <w:p>
      <w:pPr>
        <w:pStyle w:val="ListBullet"/>
      </w:pPr>
      <w:r>
        <w:t>Acumulación validada (varios bonos en una operación: vigentes, mismo empresario/compatibles, no usados, acumulables) — ej. 4×$50.000 = $200.000 (Contrato 2.16, 7.4.2).</w:t>
      </w:r>
    </w:p>
    <w:p>
      <w:pPr>
        <w:pStyle w:val="ListBullet"/>
      </w:pPr>
      <w:r>
        <w:t>Redención parcial con manejo de saldo cuando la oferta lo permita; control de doble redención y de código duplicado.</w:t>
      </w:r>
    </w:p>
    <w:p>
      <w:pPr>
        <w:pStyle w:val="ListBullet"/>
      </w:pPr>
      <w:r>
        <w:t>Entidad BonoDesbloqueo separada: sin valor nominal, no medio de pago, no sustituye Llaves; sólo habilita cobertura hasta X % con Llaves; mensajería “Desbloqueaste la posibilidad de cubrir hasta el 50 %…”, nunca “ganaste” (Contrato 2.17, 7.9.1, 6.17.2).</w:t>
      </w:r>
    </w:p>
    <w:p>
      <w:pPr>
        <w:pStyle w:val="ListBullet"/>
      </w:pPr>
      <w:r>
        <w:t>Compra de bono por usuario con cobertura en Llaves (a MP-12); componente Premium dentro del bono (a MP-22).</w:t>
      </w:r>
    </w:p>
    <w:p>
      <w:pPr>
        <w:pStyle w:val="ListBullet"/>
      </w:pPr>
      <w:r>
        <w:t>Diferenciación en UI y datos: bono comercial / bono de desbloqueo / reconocimiento gratuito (Contrato 6.17.2).</w:t>
      </w:r>
    </w:p>
    <w:p>
      <w:pPr>
        <w:pStyle w:val="Heading3"/>
      </w:pPr>
      <w:r>
        <w:t>Criterios de aceptación (pruebas mínimas)</w:t>
      </w:r>
    </w:p>
    <w:p>
      <w:r>
        <w:rPr>
          <w:b w:val="0"/>
          <w:i w:val="0"/>
          <w:sz w:val="19"/>
        </w:rPr>
        <w:t>Emisión; acumulación; redención total; redención parcial con saldo; vencimiento; doble redención (bloqueada); denominación parametrizada; bono de desbloqueo: emisión, desbloqueo, vencimiento, doble uso, intento de conversión a dinero.</w:t>
      </w:r>
    </w:p>
    <w:p>
      <w:pPr>
        <w:pStyle w:val="Heading3"/>
      </w:pPr>
      <w:r>
        <w:t>Rol sugerido</w:t>
      </w:r>
    </w:p>
    <w:p>
      <w:r>
        <w:rPr>
          <w:b w:val="0"/>
          <w:i w:val="0"/>
          <w:sz w:val="19"/>
        </w:rPr>
        <w:t>Backend semi-senior/senior. Depende de MP-10 y MP-12.</w:t>
      </w:r>
    </w:p>
    <w:p>
      <w:r>
        <w:br w:type="page"/>
      </w:r>
    </w:p>
    <w:p>
      <w:pPr>
        <w:pStyle w:val="Heading2"/>
      </w:pPr>
      <w:r>
        <w:t>MP-12 · Llaves Promocionales: Libro Mayor, porción en llaves 50/70 % y porción monetaria</w:t>
      </w:r>
    </w:p>
    <w:p>
      <w:r>
        <w:rPr>
          <w:b/>
          <w:i w:val="0"/>
          <w:sz w:val="19"/>
        </w:rPr>
        <w:t>Fase 2 · Prioridad P2 · Complejidad Alta · Estado actual: Divergente · Estimación: 3.5 semanas‑desarrollador (1 persona, 4 h/día)</w:t>
      </w:r>
    </w:p>
    <w:p>
      <w:r>
        <w:rPr>
          <w:b w:val="0"/>
          <w:i w:val="0"/>
          <w:sz w:val="18"/>
        </w:rPr>
        <w:t>Numerales cubiertos: Contrato 2.25–2.27 (pág. 20), 3.12 (pág. 43), 6.22.7–6.22.8 (pág. 125), 7.9–7.10 (pág. 153); GUÍA 2.25–2.27</w:t>
      </w:r>
    </w:p>
    <w:p>
      <w:r>
        <w:rPr>
          <w:b w:val="0"/>
          <w:i w:val="0"/>
          <w:sz w:val="18"/>
        </w:rPr>
        <w:t>Dependencias: MP-04</w:t>
      </w:r>
    </w:p>
    <w:p>
      <w:pPr>
        <w:pStyle w:val="Heading3"/>
      </w:pPr>
      <w:r>
        <w:t>Objetivo</w:t>
      </w:r>
    </w:p>
    <w:p>
      <w:r>
        <w:rPr>
          <w:b w:val="0"/>
          <w:i w:val="0"/>
        </w:rPr>
        <w:t>Las Llaves Promocionales se llevan en un Libro Mayor inmutable por usuario (origen, movimiento, saldo, vigencia, operación, reverso); cubren hasta el 50 % ordinario / 70 % en promoción especial autorizada del valor habilitado; la Porción Monetaria es el resto.</w:t>
      </w:r>
    </w:p>
    <w:p>
      <w:pPr>
        <w:pStyle w:val="Heading3"/>
      </w:pPr>
      <w:r>
        <w:t>Qué existe hoy</w:t>
      </w:r>
    </w:p>
    <w:p>
      <w:r>
        <w:rPr>
          <w:b w:val="0"/>
          <w:i w:val="0"/>
        </w:rPr>
        <w:t>KeyWallet (purchaseKeysCents + connectivityKeysCents, en centavos = valor fijo 1 llave = $10), KeyTransaction, KeyExpiryService/Scheduler, Copayment (keysUsed + cashAmountCents). El tope de llaves sale de plan.maxKeysPct (20/35/50).</w:t>
      </w:r>
    </w:p>
    <w:p>
      <w:pPr>
        <w:pStyle w:val="Heading3"/>
      </w:pPr>
      <w:r>
        <w:t>Entregables</w:t>
      </w:r>
    </w:p>
    <w:p>
      <w:pPr>
        <w:pStyle w:val="ListBullet"/>
      </w:pPr>
      <w:r>
        <w:t>Cobertura como “hasta X %” (no valor fijo por plan): 50 % ordinario, hasta 70 % sólo en promoción especial previamente autorizada/financiada/parametrizada (Contrato 2.25, 6.22.8, 7.9, 7.9.2).</w:t>
      </w:r>
    </w:p>
    <w:p>
      <w:pPr>
        <w:pStyle w:val="ListBullet"/>
      </w:pPr>
      <w:r>
        <w:t>PORCIÓN_EN_LLAVES = MIN(SALDO_DISPONIBLE, LÍMITE_EN_LLAVES_HABILITADO); PORCIÓN_MONETARIA = VALOR_TOTAL − PORCIÓN_EN_LLAVES; permitir usar menos y pagar el resto o seguir acumulando (Contrato 2.26–2.27).</w:t>
      </w:r>
    </w:p>
    <w:p>
      <w:pPr>
        <w:pStyle w:val="ListBullet"/>
      </w:pPr>
      <w:r>
        <w:t>El valor económico reconocido por las Llaves en cada operación NO es una constante universal: es el respaldo de esa operación (contradice el 1 llave = $10 fijo de Copayment) (Contrato 2.25, 7.10).</w:t>
      </w:r>
    </w:p>
    <w:p>
      <w:pPr>
        <w:pStyle w:val="ListBullet"/>
      </w:pPr>
      <w:r>
        <w:t>Libro Mayor de Llaves append-only con idempotencia: SALDO_POSTERIOR = SALDO_ANTERIOR + ENTRADAS + REVERSOS − UTILIZACIONES − VENCIMIENTOS (Contrato 2.25).</w:t>
      </w:r>
    </w:p>
    <w:p>
      <w:pPr>
        <w:pStyle w:val="ListBullet"/>
      </w:pPr>
      <w:r>
        <w:t>Separación estricta Llaves ≠ Puntos de Progreso ≠ participaciones de ruleta; una compra no compra participaciones de ruleta (Contrato 6.4).</w:t>
      </w:r>
    </w:p>
    <w:p>
      <w:pPr>
        <w:pStyle w:val="Heading3"/>
      </w:pPr>
      <w:r>
        <w:t>Criterios de aceptación (pruebas mínimas)</w:t>
      </w:r>
    </w:p>
    <w:p>
      <w:r>
        <w:rPr>
          <w:b w:val="0"/>
          <w:i w:val="0"/>
          <w:sz w:val="19"/>
        </w:rPr>
        <w:t>Emisión; uso; vencimiento; reverso; saldo insuficiente; doble aplicación (idempotente); 50 %; 70 % autorizado; uso parcial; el máximo no obliga a usarlo completo.</w:t>
      </w:r>
    </w:p>
    <w:p>
      <w:pPr>
        <w:pStyle w:val="Heading3"/>
      </w:pPr>
      <w:r>
        <w:t>Rol sugerido</w:t>
      </w:r>
    </w:p>
    <w:p>
      <w:r>
        <w:rPr>
          <w:b w:val="0"/>
          <w:i w:val="0"/>
          <w:sz w:val="19"/>
        </w:rPr>
        <w:t>Backend semi-senior. Depende de MP-04.</w:t>
      </w:r>
    </w:p>
    <w:p>
      <w:r>
        <w:br w:type="page"/>
      </w:r>
    </w:p>
    <w:p>
      <w:pPr>
        <w:pStyle w:val="Heading2"/>
      </w:pPr>
      <w:r>
        <w:t>MP-13 · Compra Válida, estados de operación (orden/pago/cumplimiento/reclamación) y trazabilidad transaccional</w:t>
      </w:r>
    </w:p>
    <w:p>
      <w:r>
        <w:rPr>
          <w:b/>
          <w:i w:val="0"/>
          <w:sz w:val="19"/>
        </w:rPr>
        <w:t>Fase 2 · Prioridad P2 · Complejidad Alta · Estado actual: Pulir · Estimación: 4 semanas‑desarrollador (1 persona, 4 h/día)</w:t>
      </w:r>
    </w:p>
    <w:p>
      <w:r>
        <w:rPr>
          <w:b w:val="0"/>
          <w:i w:val="0"/>
          <w:sz w:val="18"/>
        </w:rPr>
        <w:t>Numerales cubiertos: Contrato 2.42–2.47 (pág. 24), 7.11–7.16, 7.25 (pág. 158); GUÍA 2.42–2.47</w:t>
      </w:r>
    </w:p>
    <w:p>
      <w:r>
        <w:rPr>
          <w:b w:val="0"/>
          <w:i w:val="0"/>
          <w:sz w:val="18"/>
        </w:rPr>
        <w:t>Dependencias: MP-06, MP-12</w:t>
      </w:r>
    </w:p>
    <w:p>
      <w:pPr>
        <w:pStyle w:val="Heading3"/>
      </w:pPr>
      <w:r>
        <w:t>Objetivo</w:t>
      </w:r>
    </w:p>
    <w:p>
      <w:r>
        <w:rPr>
          <w:b w:val="0"/>
          <w:i w:val="0"/>
        </w:rPr>
        <w:t>Toda operación tiene un identificador único y cuatro máquinas de estado independientes (orden / pago / cumplimiento / reclamación); la Compra Válida (provisional y consolidada) se distingue del carrito/cotización/abandono; la composición económica queda registrada componente por componente y todo es idempotente.</w:t>
      </w:r>
    </w:p>
    <w:p>
      <w:pPr>
        <w:pStyle w:val="Heading3"/>
      </w:pPr>
      <w:r>
        <w:t>Qué existe hoy</w:t>
      </w:r>
    </w:p>
    <w:p>
      <w:r>
        <w:rPr>
          <w:b w:val="0"/>
          <w:i w:val="0"/>
        </w:rPr>
        <w:t>Purchase + PurchaseItem + Copayment + estados de compra en una sola dimensión. Idempotencia en webhooks Wompi. PQRS separado. No hay Compra Válida provisional/consolidada ni composición económica separada.</w:t>
      </w:r>
    </w:p>
    <w:p>
      <w:pPr>
        <w:pStyle w:val="Heading3"/>
      </w:pPr>
      <w:r>
        <w:t>Entregables</w:t>
      </w:r>
    </w:p>
    <w:p>
      <w:pPr>
        <w:pStyle w:val="ListBullet"/>
      </w:pPr>
      <w:r>
        <w:t>4 dimensiones de estado (Contrato 7.14): orden {iniciada/pendiente/confirmada/cancelada/anulada/cerrada}; pago {pendiente/autorizado/rechazado/pagado/conciliado/parcialmente reversado/reversado/desconocido/contracargo/pendiente de conciliación}; cumplimiento {pendiente de preparación/disponible para retiro/pendiente de prestación/parcialmente cumplido/entregado/prestado/redimido/no entregado/no prestado}; reclamación {radicada/en verificación/trasladada/respondida/aceptada/rechazada/solucionada/cerrada}.</w:t>
      </w:r>
    </w:p>
    <w:p>
      <w:pPr>
        <w:pStyle w:val="ListBullet"/>
      </w:pPr>
      <w:r>
        <w:t>Compra Válida (Contrato 7.15): real, lícita, usuario identificado, pago/cobertura confirmada, supera antifraude, no duplicada/simulada/fraccionada, no anulada. Provisional (pago confirmado, pendiente de entrega/prestación/redención/validación) vs. consolidada (Contrato 7.15.1). Carrito/cotización/reserva temporal/intento/abandono ≠ Compra Válida.</w:t>
      </w:r>
    </w:p>
    <w:p>
      <w:pPr>
        <w:pStyle w:val="ListBullet"/>
      </w:pPr>
      <w:r>
        <w:t>Composición económica separada por operación (Contrato 7.10.1): precio final, dinero del usuario, cobertura en Llaves, descuento del empresario, patrocinio Premium, apoyo del Programa, valor pagado por VERYGANA, impuestos, gastos adicionales; la suma = precio final; sin doble contabilización.</w:t>
      </w:r>
    </w:p>
    <w:p>
      <w:pPr>
        <w:pStyle w:val="ListBullet"/>
      </w:pPr>
      <w:r>
        <w:t>Idempotencia y prevención de duplicidades en todo (Contrato 7.25): órdenes, cobros, uso de llaves, respaldo, descuentos, recursos del Programa, reserva de inventario, redención, entrega, dispersión, contabilización de ventas, generación de Puntos, asignación de Oportunidades.</w:t>
      </w:r>
    </w:p>
    <w:p>
      <w:pPr>
        <w:pStyle w:val="ListBullet"/>
      </w:pPr>
      <w:r>
        <w:t>Enlace de la Compra Válida consolidada al motor de Puntos de Progreso (MP-17).</w:t>
      </w:r>
    </w:p>
    <w:p>
      <w:pPr>
        <w:pStyle w:val="Heading3"/>
      </w:pPr>
      <w:r>
        <w:t>Criterios de aceptación (pruebas mínimas)</w:t>
      </w:r>
    </w:p>
    <w:p>
      <w:r>
        <w:rPr>
          <w:b w:val="0"/>
          <w:i w:val="0"/>
          <w:sz w:val="19"/>
        </w:rPr>
        <w:t>Carrito no es Compra Válida; pago confirmado sin entrega = provisional; entrega → consolidada; devolución ajusta cada dimensión; repetición de webhook de pago no duplica efectos; contracargo; operación fraccionada detectada.</w:t>
      </w:r>
    </w:p>
    <w:p>
      <w:pPr>
        <w:pStyle w:val="Heading3"/>
      </w:pPr>
      <w:r>
        <w:t>Rol sugerido</w:t>
      </w:r>
    </w:p>
    <w:p>
      <w:r>
        <w:rPr>
          <w:b w:val="0"/>
          <w:i w:val="0"/>
          <w:sz w:val="19"/>
        </w:rPr>
        <w:t>Backend senior. Depende de MP-06 y MP-12.</w:t>
      </w:r>
    </w:p>
    <w:p>
      <w:r>
        <w:br w:type="page"/>
      </w:r>
    </w:p>
    <w:p>
      <w:pPr>
        <w:pStyle w:val="Heading2"/>
      </w:pPr>
      <w:r>
        <w:t>MP-14 · Entrega, prestación, redención y validación efectiva</w:t>
      </w:r>
    </w:p>
    <w:p>
      <w:r>
        <w:rPr>
          <w:b/>
          <w:i w:val="0"/>
          <w:sz w:val="19"/>
        </w:rPr>
        <w:t>Fase 2 · Prioridad P2 · Complejidad Media · Estado actual: Nuevo · Estimación: 2.5 semanas‑desarrollador (1 persona, 4 h/día)</w:t>
      </w:r>
    </w:p>
    <w:p>
      <w:r>
        <w:rPr>
          <w:b w:val="0"/>
          <w:i w:val="0"/>
          <w:sz w:val="18"/>
        </w:rPr>
        <w:t>Numerales cubiertos: Contrato 2.44–2.45 (pág. 25), 7.12, 7.17–7.18 (pág. 164), 8.9 (pág. 183); GUÍA 2.44–2.45</w:t>
      </w:r>
    </w:p>
    <w:p>
      <w:r>
        <w:rPr>
          <w:b w:val="0"/>
          <w:i w:val="0"/>
          <w:sz w:val="18"/>
        </w:rPr>
        <w:t>Dependencias: MP-13</w:t>
      </w:r>
    </w:p>
    <w:p>
      <w:pPr>
        <w:pStyle w:val="Heading3"/>
      </w:pPr>
      <w:r>
        <w:t>Objetivo</w:t>
      </w:r>
    </w:p>
    <w:p>
      <w:r>
        <w:rPr>
          <w:b w:val="0"/>
          <w:i w:val="0"/>
        </w:rPr>
        <w:t>El empresario sólo puede marcar entrega/prestación/redención cuando ocurrió de verdad, con código único / QR / confirmación del usuario / validación en establecimiento; el cumplimiento parcial se registra componente por componente.</w:t>
      </w:r>
    </w:p>
    <w:p>
      <w:pPr>
        <w:pStyle w:val="Heading3"/>
      </w:pPr>
      <w:r>
        <w:t>Qué existe hoy</w:t>
      </w:r>
    </w:p>
    <w:p>
      <w:r>
        <w:rPr>
          <w:b w:val="0"/>
          <w:i w:val="0"/>
        </w:rPr>
        <w:t>El marketplace no registra entrega física. Copayment marca la compra como pagada, no como entregada.</w:t>
      </w:r>
    </w:p>
    <w:p>
      <w:pPr>
        <w:pStyle w:val="Heading3"/>
      </w:pPr>
      <w:r>
        <w:t>Entregables</w:t>
      </w:r>
    </w:p>
    <w:p>
      <w:pPr>
        <w:pStyle w:val="ListBullet"/>
      </w:pPr>
      <w:r>
        <w:t>Mecanismos de validación: código único, QR, PIN, confirmación digital del usuario, validación en establecimiento, evidencia documental (Contrato 2.45, 7.18).</w:t>
      </w:r>
    </w:p>
    <w:p>
      <w:pPr>
        <w:pStyle w:val="ListBullet"/>
      </w:pPr>
      <w:r>
        <w:t>Prohibición de marcar como cumplida una operación no atendida; validación falsa/anticipada = incumplimiento (Contrato 7.18, 8.9).</w:t>
      </w:r>
    </w:p>
    <w:p>
      <w:pPr>
        <w:pStyle w:val="ListBullet"/>
      </w:pPr>
      <w:r>
        <w:t>Cumplimiento parcial por componente (cantidad, estado, fecha, responsable, evidencia, efecto económico); una entrega parcial no cierra la operación (Contrato 7.18, 10.19).</w:t>
      </w:r>
    </w:p>
    <w:p>
      <w:pPr>
        <w:pStyle w:val="ListBullet"/>
      </w:pPr>
      <w:r>
        <w:t>La validación no elimina garantía/retracto/devolución/reclamación (a MP-29).</w:t>
      </w:r>
    </w:p>
    <w:p>
      <w:pPr>
        <w:pStyle w:val="Heading3"/>
      </w:pPr>
      <w:r>
        <w:t>Criterios de aceptación (pruebas mínimas)</w:t>
      </w:r>
    </w:p>
    <w:p>
      <w:r>
        <w:rPr>
          <w:b w:val="0"/>
          <w:i w:val="0"/>
          <w:sz w:val="19"/>
        </w:rPr>
        <w:t>Entrega con código; prestación con confirmación; redención de bono; cumplimiento parcial; intento de marcar cumplido sin atención (bloqueado); validación no borra derechos posventa.</w:t>
      </w:r>
    </w:p>
    <w:p>
      <w:pPr>
        <w:pStyle w:val="Heading3"/>
      </w:pPr>
      <w:r>
        <w:t>Rol sugerido</w:t>
      </w:r>
    </w:p>
    <w:p>
      <w:r>
        <w:rPr>
          <w:b w:val="0"/>
          <w:i w:val="0"/>
          <w:sz w:val="19"/>
        </w:rPr>
        <w:t>Backend semi-senior. Depende de MP-13.</w:t>
      </w:r>
    </w:p>
    <w:p>
      <w:r>
        <w:br w:type="page"/>
      </w:r>
    </w:p>
    <w:p>
      <w:pPr>
        <w:pStyle w:val="Heading2"/>
      </w:pPr>
      <w:r>
        <w:t>MP-15 · Establecimientos, inventario y reservas temporales</w:t>
      </w:r>
    </w:p>
    <w:p>
      <w:r>
        <w:rPr>
          <w:b/>
          <w:i w:val="0"/>
          <w:sz w:val="19"/>
        </w:rPr>
        <w:t>Fase 2 · Prioridad P2 · Complejidad Media · Estado actual: Pulir · Estimación: 2 semanas‑desarrollador (1 persona, 4 h/día)</w:t>
      </w:r>
    </w:p>
    <w:p>
      <w:r>
        <w:rPr>
          <w:b w:val="0"/>
          <w:i w:val="0"/>
          <w:sz w:val="18"/>
        </w:rPr>
        <w:t>Numerales cubiertos: Contrato 2.40–2.41 (pág. 24), 7.11, 7.20 (pág. 158); GUÍA 2.40–2.41</w:t>
      </w:r>
    </w:p>
    <w:p>
      <w:r>
        <w:rPr>
          <w:b w:val="0"/>
          <w:i w:val="0"/>
          <w:sz w:val="18"/>
        </w:rPr>
        <w:t>Dependencias: MP-10</w:t>
      </w:r>
    </w:p>
    <w:p>
      <w:pPr>
        <w:pStyle w:val="Heading3"/>
      </w:pPr>
      <w:r>
        <w:t>Objetivo</w:t>
      </w:r>
    </w:p>
    <w:p>
      <w:r>
        <w:rPr>
          <w:b w:val="0"/>
          <w:i w:val="0"/>
        </w:rPr>
        <w:t>Cada establecimiento tiene su propia disponibilidad, horarios, inventario y cupos; el inventario nunca es negativo; las reservas temporales tienen duración informada y se liberan solas.</w:t>
      </w:r>
    </w:p>
    <w:p>
      <w:pPr>
        <w:pStyle w:val="Heading3"/>
      </w:pPr>
      <w:r>
        <w:t>Qué existe hoy</w:t>
      </w:r>
    </w:p>
    <w:p>
      <w:r>
        <w:rPr>
          <w:b w:val="0"/>
          <w:i w:val="0"/>
        </w:rPr>
        <w:t>ProductStock existe (reserva de stock). CommercialDetails no modela establecimientos como entidad rica.</w:t>
      </w:r>
    </w:p>
    <w:p>
      <w:pPr>
        <w:pStyle w:val="Heading3"/>
      </w:pPr>
      <w:r>
        <w:t>Entregables</w:t>
      </w:r>
    </w:p>
    <w:p>
      <w:pPr>
        <w:pStyle w:val="ListBullet"/>
      </w:pPr>
      <w:r>
        <w:t>Entidad Establecimiento con ubicación, horarios, disponibilidad, inventarios, cupos, ofertas habilitadas, estado operativo; todos conservan la misma Vocación (Contrato 2.40).</w:t>
      </w:r>
    </w:p>
    <w:p>
      <w:pPr>
        <w:pStyle w:val="ListBullet"/>
      </w:pPr>
      <w:r>
        <w:t>Reserva temporal de inventario/cupo con duración informada, liberación automática si no se completa el pago, e impedir que dos usuarios tomen la última unidad (Contrato 7.11).</w:t>
      </w:r>
    </w:p>
    <w:p>
      <w:pPr>
        <w:pStyle w:val="ListBullet"/>
      </w:pPr>
      <w:r>
        <w:t>CUPO_DISPONIBLE = CAPACIDAD − RESERVAS_CONFIRMADAS para servicios; inventario no negativo para productos.</w:t>
      </w:r>
    </w:p>
    <w:p>
      <w:pPr>
        <w:pStyle w:val="ListBullet"/>
      </w:pPr>
      <w:r>
        <w:t>Cierres programados e imprevistos del establecimiento; no mantener como disponible lo cerrado/agotado (Contrato 7.20, 8.19).</w:t>
      </w:r>
    </w:p>
    <w:p>
      <w:pPr>
        <w:pStyle w:val="Heading3"/>
      </w:pPr>
      <w:r>
        <w:t>Criterios de aceptación (pruebas mínimas)</w:t>
      </w:r>
    </w:p>
    <w:p>
      <w:r>
        <w:rPr>
          <w:b w:val="0"/>
          <w:i w:val="0"/>
          <w:sz w:val="19"/>
        </w:rPr>
        <w:t>Reserva; agotamiento; cancelación; liberación por timeout; cierre programado; cierre imprevisto; última unidad en concurrencia.</w:t>
      </w:r>
    </w:p>
    <w:p>
      <w:pPr>
        <w:pStyle w:val="Heading3"/>
      </w:pPr>
      <w:r>
        <w:t>Rol sugerido</w:t>
      </w:r>
    </w:p>
    <w:p>
      <w:r>
        <w:rPr>
          <w:b w:val="0"/>
          <w:i w:val="0"/>
          <w:sz w:val="19"/>
        </w:rPr>
        <w:t>Backend semi-senior. Depende de MP-10.</w:t>
      </w:r>
    </w:p>
    <w:p>
      <w:r>
        <w:br w:type="page"/>
      </w:r>
    </w:p>
    <w:p>
      <w:pPr>
        <w:pStyle w:val="Heading2"/>
      </w:pPr>
      <w:r>
        <w:t>MP-16 · Campañas, Sala de Juegos y juegos habilitables por Inversión Computable</w:t>
      </w:r>
    </w:p>
    <w:p>
      <w:r>
        <w:rPr>
          <w:b/>
          <w:i w:val="0"/>
          <w:sz w:val="19"/>
        </w:rPr>
        <w:t>Fase 2 · Prioridad P2 · Complejidad Alta · Estado actual: Divergente · Estimación: 4 semanas‑desarrollador (1 persona, 4 h/día)</w:t>
      </w:r>
    </w:p>
    <w:p>
      <w:r>
        <w:rPr>
          <w:b w:val="0"/>
          <w:i w:val="0"/>
          <w:sz w:val="18"/>
        </w:rPr>
        <w:t>Numerales cubiertos: Contrato 2.21–2.22 (pág. 19), 5.4 (pág. 78), 6.1–6.2, 6.6, 6.15–6.16 (pág. 100); GUÍA 2.21–2.22, 2.30</w:t>
      </w:r>
    </w:p>
    <w:p>
      <w:r>
        <w:rPr>
          <w:b w:val="0"/>
          <w:i w:val="0"/>
          <w:sz w:val="18"/>
        </w:rPr>
        <w:t>Dependencias: MP-04, MP-21</w:t>
      </w:r>
    </w:p>
    <w:p>
      <w:pPr>
        <w:pStyle w:val="Heading3"/>
      </w:pPr>
      <w:r>
        <w:t>Objetivo</w:t>
      </w:r>
    </w:p>
    <w:p>
      <w:r>
        <w:rPr>
          <w:b w:val="0"/>
          <w:i w:val="0"/>
        </w:rPr>
        <w:t>El empresario configura campañas y elige plantillas de la Sala de Juegos dentro del número de juegos habilitados por su Inversión Computable (2 por cada $1.000.000); al confirmar la campaña la configuración se congela; el empresario no puede tocar reglas globales de participación.</w:t>
      </w:r>
    </w:p>
    <w:p>
      <w:pPr>
        <w:pStyle w:val="Heading3"/>
      </w:pPr>
      <w:r>
        <w:t>Qué existe hoy</w:t>
      </w:r>
    </w:p>
    <w:p>
      <w:r>
        <w:rPr>
          <w:b w:val="0"/>
          <w:i w:val="0"/>
        </w:rPr>
        <w:t>games: Game, GameSession, GameConfigDefinition, CampaignServiceImpl, BrandingRequestServiceImpl, CampaignScorer. CampaignStatus (DRAFT/ACTIVE/PAUSED/COMPLETED/CANCELLED). PlanFeature MAX_BRANDED_GAMES plano (5 STANDARD).</w:t>
      </w:r>
    </w:p>
    <w:p>
      <w:pPr>
        <w:pStyle w:val="Heading3"/>
      </w:pPr>
      <w:r>
        <w:t>Entregables</w:t>
      </w:r>
    </w:p>
    <w:p>
      <w:pPr>
        <w:pStyle w:val="ListBullet"/>
      </w:pPr>
      <w:r>
        <w:t>Juegos habilitables = ENTERO(InversiónComputable / 1.000.000) × 2, tomado del motor económico (MP-04), NO un límite plano; fracciones &lt; $1M no dan juego (Contrato 2.30, 5.4).</w:t>
      </w:r>
    </w:p>
    <w:p>
      <w:pPr>
        <w:pStyle w:val="ListBullet"/>
      </w:pPr>
      <w:r>
        <w:t>Sala de Juegos: catálogo de plantillas seleccionables (tipo, plantilla, marca/oferta, mensaje, piezas, público, territorio, duración); validación de propiedad intelectual y de que la mecánica no incorpore azar (eso va a MP-20) (Contrato 6.2).</w:t>
      </w:r>
    </w:p>
    <w:p>
      <w:pPr>
        <w:pStyle w:val="ListBullet"/>
      </w:pPr>
      <w:r>
        <w:t>Congelamiento de la configuración al confirmar la campaña; cambios sólo informados y aceptados (o por causa legal/técnica); juegos adicionales sólo con contratación separada (Contrato 6.2).</w:t>
      </w:r>
    </w:p>
    <w:p>
      <w:pPr>
        <w:pStyle w:val="ListBullet"/>
      </w:pPr>
      <w:r>
        <w:t>El empresario NO modifica: oportunidades iniciales, Acciones Calificadas, puntajes, prohibición de 4.ª ejecución, límites, elegibilidad, antifraude (Contrato 6.2, Parágrafo 1º de la Cláusula 6ª).</w:t>
      </w:r>
    </w:p>
    <w:p>
      <w:pPr>
        <w:pStyle w:val="ListBullet"/>
      </w:pPr>
      <w:r>
        <w:t>Distribución de recursos promocionales entre herramientas y simulación previa de alcance/consumo (Contrato 6.6, 6.15–6.16).</w:t>
      </w:r>
    </w:p>
    <w:p>
      <w:pPr>
        <w:pStyle w:val="ListBullet"/>
      </w:pPr>
      <w:r>
        <w:t>La participación en campaña no altera Vocación ni comisión (Contrato 2.21).</w:t>
      </w:r>
    </w:p>
    <w:p>
      <w:pPr>
        <w:pStyle w:val="Heading3"/>
      </w:pPr>
      <w:r>
        <w:t>Criterios de aceptación (pruebas mínimas)</w:t>
      </w:r>
    </w:p>
    <w:p>
      <w:r>
        <w:rPr>
          <w:b w:val="0"/>
          <w:i w:val="0"/>
          <w:sz w:val="19"/>
        </w:rPr>
        <w:t>Cupo de juegos correcto por inversión; fracción; selección y sustitución de plantilla antes de confirmar; sustitución posterior sólo por causal; intento de introducir azar (a ruleta); juego adicional sin contratación (bloqueado); vocación inalterada.</w:t>
      </w:r>
    </w:p>
    <w:p>
      <w:pPr>
        <w:pStyle w:val="Heading3"/>
      </w:pPr>
      <w:r>
        <w:t>Rol sugerido</w:t>
      </w:r>
    </w:p>
    <w:p>
      <w:r>
        <w:rPr>
          <w:b w:val="0"/>
          <w:i w:val="0"/>
          <w:sz w:val="19"/>
        </w:rPr>
        <w:t>Backend semi-senior. Depende de MP-04 y MP-21.</w:t>
      </w:r>
    </w:p>
    <w:p>
      <w:r>
        <w:br w:type="page"/>
      </w:r>
    </w:p>
    <w:p>
      <w:pPr>
        <w:pStyle w:val="Heading2"/>
      </w:pPr>
      <w:r>
        <w:t>MP-17 · Puntos de Progreso, Puntos de Excelencia, escalafón y Oportunidad de Tercera Interacción (7 Acciones Calificadas)</w:t>
      </w:r>
    </w:p>
    <w:p>
      <w:r>
        <w:rPr>
          <w:b/>
          <w:i w:val="0"/>
          <w:sz w:val="19"/>
        </w:rPr>
        <w:t>Fase 2 · Prioridad P2 · Complejidad Muy alta · Estado actual: Divergente/Nuevo · Estimación: 6 semanas‑desarrollador (1 persona, 4 h/día)</w:t>
      </w:r>
    </w:p>
    <w:p>
      <w:r>
        <w:rPr>
          <w:b w:val="0"/>
          <w:i w:val="0"/>
          <w:sz w:val="18"/>
        </w:rPr>
        <w:t>Numerales cubiertos: Contrato 6.3–6.3.10 (pág. 102); GUÍA 6.3.x</w:t>
      </w:r>
    </w:p>
    <w:p>
      <w:r>
        <w:rPr>
          <w:b w:val="0"/>
          <w:i w:val="0"/>
          <w:sz w:val="18"/>
        </w:rPr>
        <w:t>Dependencias: MP-13, MP-16, MP-19, MP-23</w:t>
      </w:r>
    </w:p>
    <w:p>
      <w:pPr>
        <w:pStyle w:val="Heading3"/>
      </w:pPr>
      <w:r>
        <w:t>Objetivo</w:t>
      </w:r>
    </w:p>
    <w:p>
      <w:r>
        <w:rPr>
          <w:b w:val="0"/>
          <w:i w:val="0"/>
        </w:rPr>
        <w:t>Sistema de progreso del usuario: 7 Acciones Calificadas generan Puntos de Progreso (o de Excelencia tras el escalafón máximo) + 1 Oportunidad de Tercera Interacción; cada juego se ejecuta 2 veces, la 3.ª sólo con oportunidad válida, nunca una 4.ª; puntaje histórico (no se reinicia) vs. competitivo (por ciclo).</w:t>
      </w:r>
    </w:p>
    <w:p>
      <w:pPr>
        <w:pStyle w:val="Heading3"/>
      </w:pPr>
      <w:r>
        <w:t>Qué existe hoy</w:t>
      </w:r>
    </w:p>
    <w:p>
      <w:r>
        <w:rPr>
          <w:b w:val="0"/>
          <w:i w:val="0"/>
        </w:rPr>
        <w:t>Sistema de XP/niveles DISTINTO: UserLevel (BRONCE…DIAMANTE, xpMin/xpMax/multiplier), UserLevelProfile, XpKeyTransactionLog, ActivityType (SURVEY 30 / VIDEO 5 / GAME 20 / REFERRAL 80 / PURCHASE 10), ReactivationMission. No hay Oportunidad de Tercera Interacción, ni bloque diario de 1.500 llaves, ni Encuesta Calificada, ni Puntos de Excelencia, ni escalafón parametrizable.</w:t>
      </w:r>
    </w:p>
    <w:p>
      <w:pPr>
        <w:pStyle w:val="Heading3"/>
      </w:pPr>
      <w:r>
        <w:t>Entregables</w:t>
      </w:r>
    </w:p>
    <w:p>
      <w:pPr>
        <w:pStyle w:val="ListBullet"/>
      </w:pPr>
      <w:r>
        <w:t>Catálogo de las 7 Acciones Calificadas (Contrato 6.3.1): vinculación efectiva de Empresa Premium / Tipo B / Tipo A / usuario activo; Compra Válida; bloque diario completo de 1.500 Llaves elegibles; Encuesta Calificada de Dedicación Sustancial. Cada una con su definición de “efectiva” (Contrato 6.3.1.1–6.3.1.7).</w:t>
      </w:r>
    </w:p>
    <w:p>
      <w:pPr>
        <w:pStyle w:val="ListBullet"/>
      </w:pPr>
      <w:r>
        <w:t>Motor único de Acciones Calificadas: reconocimiento provisional → definitivo; RECONOCIMIENTO = PUNTOS_PARAMETRIZADOS + 1 OPORTUNIDAD; sin duplicar por evento; reversión sólo de lo ligado a la acción invalidada (GUÍA 6.3.1).</w:t>
      </w:r>
    </w:p>
    <w:p>
      <w:pPr>
        <w:pStyle w:val="ListBullet"/>
      </w:pPr>
      <w:r>
        <w:t>Entidad OportunidadTerceraInteraccion con estados DISPONIBLE / RESERVADA / UTILIZADA / VENCIDA / RESTABLECIDA / ANULADA / REVERSADA; personal e intransferible; sólo en un juego elegible ya ejecutado 2 veces; se restablece si el juego no inicia por causa técnica (Contrato 6.3, 6.3.6).</w:t>
      </w:r>
    </w:p>
    <w:p>
      <w:pPr>
        <w:pStyle w:val="ListBullet"/>
      </w:pPr>
      <w:r>
        <w:t>Control de ejecuciones por usuario+juego+campaña: EJECUCIONES_INICIALES_MÁXIMAS = 2; 3.ª = OPORTUNIDAD_VÁLIDA ∧ JUEGO_ELEGIBLE; 4.ª PROHIBIDA (Contrato 6.3).</w:t>
      </w:r>
    </w:p>
    <w:p>
      <w:pPr>
        <w:pStyle w:val="ListBullet"/>
      </w:pPr>
      <w:r>
        <w:t>Escalafón parametrizable (nombres, orden, requisitos, beneficios); Puntos de Excelencia tras el máximo; puntaje histórico vs. competitivo con reinicio sólo del competitivo por ciclo (Contrato 6.3.3–6.3.5).</w:t>
      </w:r>
    </w:p>
    <w:p>
      <w:pPr>
        <w:pStyle w:val="ListBullet"/>
      </w:pPr>
      <w:r>
        <w:t>Bloque diario de 1.500 Llaves elegibles: contar sin consumir; 1.499 = 0 bloques; límites de bloques por sostenibilidad (Contrato 6.3.1.6).</w:t>
      </w:r>
    </w:p>
    <w:p>
      <w:pPr>
        <w:pStyle w:val="ListBullet"/>
      </w:pPr>
      <w:r>
        <w:t>Atribución de vinculaciones (primer contacto válido / código) y resolución de controversias en estado provisional (Contrato 6.3.7).</w:t>
      </w:r>
    </w:p>
    <w:p>
      <w:pPr>
        <w:pStyle w:val="ListBullet"/>
      </w:pPr>
      <w:r>
        <w:t>Decidir la relación con el UserLevel actual: el escalafón contractual lo reemplaza o se superpone (recomendado: reemplazar y migrar).</w:t>
      </w:r>
    </w:p>
    <w:p>
      <w:pPr>
        <w:pStyle w:val="Heading3"/>
      </w:pPr>
      <w:r>
        <w:t>Criterios de aceptación (pruebas mínimas)</w:t>
      </w:r>
    </w:p>
    <w:p>
      <w:r>
        <w:rPr>
          <w:b w:val="0"/>
          <w:i w:val="0"/>
          <w:sz w:val="19"/>
        </w:rPr>
        <w:t>Cada una de las 7 acciones; duplicidad por evento; provisionalidad; reversión; cambio prospectivo de puntaje; 1.ª/2.ª/3.ª válida/3.ª sin oportunidad/4.ª; falla técnica antes de iniciar (restablece); doble dispositivo; bloque de 1.499 vs 1.500.</w:t>
      </w:r>
    </w:p>
    <w:p>
      <w:pPr>
        <w:pStyle w:val="Heading3"/>
      </w:pPr>
      <w:r>
        <w:t>Rol sugerido</w:t>
      </w:r>
    </w:p>
    <w:p>
      <w:r>
        <w:rPr>
          <w:b w:val="0"/>
          <w:i w:val="0"/>
          <w:sz w:val="19"/>
        </w:rPr>
        <w:t>Backend senior. Muy alta: dividir en 17a (Acciones + Puntos + escalafón) y 17b (Oportunidad de Tercera Interacción + control de ejecuciones).</w:t>
      </w:r>
    </w:p>
    <w:p>
      <w:r>
        <w:br w:type="page"/>
      </w:r>
    </w:p>
    <w:p>
      <w:pPr>
        <w:pStyle w:val="Heading2"/>
      </w:pPr>
      <w:r>
        <w:t>MP-18 · Contenidos reconocidos por tiempo efectivo (banners, videos, audios: 16 llaves / 60 s)</w:t>
      </w:r>
    </w:p>
    <w:p>
      <w:r>
        <w:rPr>
          <w:b/>
          <w:i w:val="0"/>
          <w:sz w:val="19"/>
        </w:rPr>
        <w:t>Fase 2 · Prioridad P2 · Complejidad Media · Estado actual: Divergente · Estimación: 3 semanas‑desarrollador (1 persona, 4 h/día)</w:t>
      </w:r>
    </w:p>
    <w:p>
      <w:r>
        <w:rPr>
          <w:b w:val="0"/>
          <w:i w:val="0"/>
          <w:sz w:val="18"/>
        </w:rPr>
        <w:t>Numerales cubiertos: Contrato 6.7–6.10, 6.13–6.14 (pág. 112); GUÍA 6.7–6.10</w:t>
      </w:r>
    </w:p>
    <w:p>
      <w:r>
        <w:rPr>
          <w:b w:val="0"/>
          <w:i w:val="0"/>
          <w:sz w:val="18"/>
        </w:rPr>
        <w:t>Dependencias: MP-12, MP-16</w:t>
      </w:r>
    </w:p>
    <w:p>
      <w:pPr>
        <w:pStyle w:val="Heading3"/>
      </w:pPr>
      <w:r>
        <w:t>Objetivo</w:t>
      </w:r>
    </w:p>
    <w:p>
      <w:r>
        <w:rPr>
          <w:b w:val="0"/>
          <w:i w:val="0"/>
        </w:rPr>
        <w:t>Banners, videos y audios se reconocen por tiempo efectivo de exposición: 16 Llaves por cada 60 s (Llaves = round(segundos × 16 / 60)); el empresario elige 2, 3 o 4 visualizaciones reconocidas por usuario; el sistema calcula y respalda el consumo máximo proyectado antes de activar.</w:t>
      </w:r>
    </w:p>
    <w:p>
      <w:pPr>
        <w:pStyle w:val="Heading3"/>
      </w:pPr>
      <w:r>
        <w:t>Qué existe hoy</w:t>
      </w:r>
    </w:p>
    <w:p>
      <w:r>
        <w:rPr>
          <w:b w:val="0"/>
          <w:i w:val="0"/>
        </w:rPr>
        <w:t>ads: Ad con reward_per_like / maxLikes / maxLikesPerUserPerDay; AdWatchSession (startedAt/expiresAt/resumeCount). Modelo de “recompensa por like”, no por tiempo efectivo.</w:t>
      </w:r>
    </w:p>
    <w:p>
      <w:pPr>
        <w:pStyle w:val="Heading3"/>
      </w:pPr>
      <w:r>
        <w:t>Entregables</w:t>
      </w:r>
    </w:p>
    <w:p>
      <w:pPr>
        <w:pStyle w:val="ListBullet"/>
      </w:pPr>
      <w:r>
        <w:t>Cálculo por tiempo efectivo: Llaves = duración_efectiva_segundos × 16 / 60, redondeo al entero más cercano (0,5 → arriba), regla uniforme no editable por el empresario (Contrato 6.7, 6.10).</w:t>
      </w:r>
    </w:p>
    <w:p>
      <w:pPr>
        <w:pStyle w:val="ListBullet"/>
      </w:pPr>
      <w:r>
        <w:t>Configuración por pieza: 2 / 3 / 4 visualizaciones o reproducciones reconocidas por usuario (nunca ilimitadas); vigencia; público; recursos asignados (Contrato 6.7, 6.8).</w:t>
      </w:r>
    </w:p>
    <w:p>
      <w:pPr>
        <w:pStyle w:val="ListBullet"/>
      </w:pPr>
      <w:r>
        <w:t>Consumo máximo proyectado = Llaves por visualización × frecuencia máxima por usuario × usuarios estimados; bloquear activación si el respaldo es insuficiente (Contrato 6.9).</w:t>
      </w:r>
    </w:p>
    <w:p>
      <w:pPr>
        <w:pStyle w:val="ListBullet"/>
      </w:pPr>
      <w:r>
        <w:t>Cómputo de tiempo sólo mientras el contenido está efectiva y visiblemente expuesto; pausa/cierre/ocultamiento/reproducción automatizada detienen el conteo (Contrato 6.8, 6.14).</w:t>
      </w:r>
    </w:p>
    <w:p>
      <w:pPr>
        <w:pStyle w:val="ListBullet"/>
      </w:pPr>
      <w:r>
        <w:t>Desaparición automática de la pieza para el usuario al alcanzar su límite / agotar recursos / perder elegibilidad; sigue activa para otros (Contrato 6.7).</w:t>
      </w:r>
    </w:p>
    <w:p>
      <w:pPr>
        <w:pStyle w:val="ListBullet"/>
      </w:pPr>
      <w:r>
        <w:t>Hasta 50 imágenes por empresario en el MarketPlace (Contrato 6.8).</w:t>
      </w:r>
    </w:p>
    <w:p>
      <w:pPr>
        <w:pStyle w:val="Heading3"/>
      </w:pPr>
      <w:r>
        <w:t>Criterios de aceptación (pruebas mínimas)</w:t>
      </w:r>
    </w:p>
    <w:p>
      <w:r>
        <w:rPr>
          <w:b w:val="0"/>
          <w:i w:val="0"/>
          <w:sz w:val="19"/>
        </w:rPr>
        <w:t>6 s → 2 Llaves; 10 s → 3; 15 s → 4; 30 s → 8; 60 s → 16; 2/3/4 visualizaciones; pausa detiene el conteo; agotamiento de recursos cierra la pieza; consumo proyectado insuficiente bloquea activación.</w:t>
      </w:r>
    </w:p>
    <w:p>
      <w:pPr>
        <w:pStyle w:val="Heading3"/>
      </w:pPr>
      <w:r>
        <w:t>Rol sugerido</w:t>
      </w:r>
    </w:p>
    <w:p>
      <w:r>
        <w:rPr>
          <w:b w:val="0"/>
          <w:i w:val="0"/>
          <w:sz w:val="19"/>
        </w:rPr>
        <w:t>Backend semi-senior. Sustituye/coexiste con el modelo de likes. Depende de MP-12 y MP-16.</w:t>
      </w:r>
    </w:p>
    <w:p>
      <w:r>
        <w:br w:type="page"/>
      </w:r>
    </w:p>
    <w:p>
      <w:pPr>
        <w:pStyle w:val="Heading2"/>
      </w:pPr>
      <w:r>
        <w:t>MP-19 · Encuestas ordinarias y Encuesta Calificada de Dedicación Sustancial</w:t>
      </w:r>
    </w:p>
    <w:p>
      <w:r>
        <w:rPr>
          <w:b/>
          <w:i w:val="0"/>
          <w:sz w:val="19"/>
        </w:rPr>
        <w:t>Fase 2 · Prioridad P2 · Complejidad Media · Estado actual: Pulir · Estimación: 2.5 semanas‑desarrollador (1 persona, 4 h/día)</w:t>
      </w:r>
    </w:p>
    <w:p>
      <w:r>
        <w:rPr>
          <w:b w:val="0"/>
          <w:i w:val="0"/>
          <w:sz w:val="18"/>
        </w:rPr>
        <w:t>Numerales cubiertos: Contrato 6.3.1.7 (pág. 105), 6.11–6.12.2 (pág. 115); GUÍA 6.11–6.12</w:t>
      </w:r>
    </w:p>
    <w:p>
      <w:r>
        <w:rPr>
          <w:b w:val="0"/>
          <w:i w:val="0"/>
          <w:sz w:val="18"/>
        </w:rPr>
        <w:t>Dependencias: MP-12, MP-16</w:t>
      </w:r>
    </w:p>
    <w:p>
      <w:pPr>
        <w:pStyle w:val="Heading3"/>
      </w:pPr>
      <w:r>
        <w:t>Objetivo</w:t>
      </w:r>
    </w:p>
    <w:p>
      <w:r>
        <w:rPr>
          <w:b w:val="0"/>
          <w:i w:val="0"/>
        </w:rPr>
        <w:t>Las encuestas ordinarias tienen su régimen de reconocimiento propio (no dan Puntos de Progreso). La Encuesta Calificada de Dedicación Sustancial se marca como tal ANTES de publicarse y, validada, genera Llaves + Puntos + Oportunidad de Tercera Interacción.</w:t>
      </w:r>
    </w:p>
    <w:p>
      <w:pPr>
        <w:pStyle w:val="Heading3"/>
      </w:pPr>
      <w:r>
        <w:t>Qué existe hoy</w:t>
      </w:r>
    </w:p>
    <w:p>
      <w:r>
        <w:rPr>
          <w:b w:val="0"/>
          <w:i w:val="0"/>
        </w:rPr>
        <w:t>surveys: Survey, SurveyQuestion, QuestionOption, SurveySession, SurveyAnswer, SurveyReward (amountCents plano, estados PENDING/PROCESSED/FAILED). No hay clasificación de encuesta calificada ni enlace a Puntos.</w:t>
      </w:r>
    </w:p>
    <w:p>
      <w:pPr>
        <w:pStyle w:val="Heading3"/>
      </w:pPr>
      <w:r>
        <w:t>Entregables</w:t>
      </w:r>
    </w:p>
    <w:p>
      <w:pPr>
        <w:pStyle w:val="ListBullet"/>
      </w:pPr>
      <w:r>
        <w:t>Flag EsEncuestaCalificada fijado antes de la publicación, inmutable retroactivamente en perjuicio del participante (Contrato 6.3.1.7, 6.11).</w:t>
      </w:r>
    </w:p>
    <w:p>
      <w:pPr>
        <w:pStyle w:val="ListBullet"/>
      </w:pPr>
      <w:r>
        <w:t>Criterios de calificación (número/tipo de preguntas, extensión, duración estimada, profundidad, reglas de salto, preguntas de control, consistencia exigida) (Contrato 6.3.1.7).</w:t>
      </w:r>
    </w:p>
    <w:p>
      <w:pPr>
        <w:pStyle w:val="ListBullet"/>
      </w:pPr>
      <w:r>
        <w:t>Régimen de reconocimiento independiente del de contenidos por tiempo; validación por integridad/consistencia/calidad/antifraude (Contrato 6.12).</w:t>
      </w:r>
    </w:p>
    <w:p>
      <w:pPr>
        <w:pStyle w:val="ListBullet"/>
      </w:pPr>
      <w:r>
        <w:t>Encuesta Calificada validada → Llaves ofrecidas + Puntos parametrizados + 1 Oportunidad (enlace a MP-17) (Contrato 6.3.1.7).</w:t>
      </w:r>
    </w:p>
    <w:p>
      <w:pPr>
        <w:pStyle w:val="ListBullet"/>
      </w:pPr>
      <w:r>
        <w:t>Métricas de encuesta (iniciadas/completadas/validadas/abandonadas/rechazadas, tiempo promedio, tasa de terminación, consistencia); resultados agregados/anonimizados (Contrato 6.12.2).</w:t>
      </w:r>
    </w:p>
    <w:p>
      <w:pPr>
        <w:pStyle w:val="Heading3"/>
      </w:pPr>
      <w:r>
        <w:t>Criterios de aceptación (pruebas mínimas)</w:t>
      </w:r>
    </w:p>
    <w:p>
      <w:r>
        <w:rPr>
          <w:b w:val="0"/>
          <w:i w:val="0"/>
          <w:sz w:val="19"/>
        </w:rPr>
        <w:t>Encuesta ordinaria no da Puntos; Encuesta Calificada validada da Llaves + Puntos + Oportunidad; encuesta abandonada; rechazada por control de calidad; intento de reclasificar después de publicar.</w:t>
      </w:r>
    </w:p>
    <w:p>
      <w:pPr>
        <w:pStyle w:val="Heading3"/>
      </w:pPr>
      <w:r>
        <w:t>Rol sugerido</w:t>
      </w:r>
    </w:p>
    <w:p>
      <w:r>
        <w:rPr>
          <w:b w:val="0"/>
          <w:i w:val="0"/>
          <w:sz w:val="19"/>
        </w:rPr>
        <w:t>Backend semi-senior. Depende de MP-12 y MP-16.</w:t>
      </w:r>
    </w:p>
    <w:p>
      <w:r>
        <w:br w:type="page"/>
      </w:r>
    </w:p>
    <w:p>
      <w:pPr>
        <w:pStyle w:val="Heading2"/>
      </w:pPr>
      <w:r>
        <w:t>MP-20 · Ruleta Promocional Excepcional (solicitud, autorización, licencia temporal)</w:t>
      </w:r>
    </w:p>
    <w:p>
      <w:r>
        <w:rPr>
          <w:b/>
          <w:i w:val="0"/>
          <w:sz w:val="19"/>
        </w:rPr>
        <w:t>Fase 2 · Prioridad P2 · Complejidad Alta · Estado actual: Nuevo · Estimación: 3 semanas‑desarrollador (1 persona, 4 h/día)</w:t>
      </w:r>
    </w:p>
    <w:p>
      <w:r>
        <w:rPr>
          <w:b w:val="0"/>
          <w:i w:val="0"/>
          <w:sz w:val="18"/>
        </w:rPr>
        <w:t>Numerales cubiertos: Contrato 2.23 (pág. 20), 3.11 (pág. 43), 6.4–6.5 (pág. 110); GUÍA 2.23</w:t>
      </w:r>
    </w:p>
    <w:p>
      <w:r>
        <w:rPr>
          <w:b w:val="0"/>
          <w:i w:val="0"/>
          <w:sz w:val="18"/>
        </w:rPr>
        <w:t>Dependencias: MP-16</w:t>
      </w:r>
    </w:p>
    <w:p>
      <w:pPr>
        <w:pStyle w:val="Heading3"/>
      </w:pPr>
      <w:r>
        <w:t>Objetivo</w:t>
      </w:r>
    </w:p>
    <w:p>
      <w:r>
        <w:rPr>
          <w:b w:val="0"/>
          <w:i w:val="0"/>
        </w:rPr>
        <w:t>La Ruleta Promocional Excepcional está BLOQUEADA por defecto y sólo se habilita cuando se acreditan autorización administrativa, reglamento, plan de premios, garantías y pagos regulatorios; VERYGANA sólo presta la licencia tecnológica temporal y no aporta premios.</w:t>
      </w:r>
    </w:p>
    <w:p>
      <w:pPr>
        <w:pStyle w:val="Heading3"/>
      </w:pPr>
      <w:r>
        <w:t>Qué existe hoy</w:t>
      </w:r>
    </w:p>
    <w:p>
      <w:r>
        <w:rPr>
          <w:b w:val="0"/>
          <w:i w:val="0"/>
        </w:rPr>
        <w:t>El módulo raffles existente es de rifas de usuario (RaffleController, DrawingService, tickets, winners) — no cubre el régimen excepcional de ruleta patrocinada por el empresario.</w:t>
      </w:r>
    </w:p>
    <w:p>
      <w:pPr>
        <w:pStyle w:val="Heading3"/>
      </w:pPr>
      <w:r>
        <w:t>Entregables</w:t>
      </w:r>
    </w:p>
    <w:p>
      <w:pPr>
        <w:pStyle w:val="ListBullet"/>
      </w:pPr>
      <w:r>
        <w:t>Entidad RuletaExcepcional con estado por defecto BLOQUEADA; HABILITABLE = AUTORIZACIÓN_VÁLIDA ∧ REQUISITOS_APROBADOS ∧ VIGENCIA_ACTIVA; estados BORRADOR/SOLICITADA/CONFIGURADA/HABILITADA/SUSPENDIDA/CERRADA/RECHAZADA (Contrato 2.23, 6.5).</w:t>
      </w:r>
    </w:p>
    <w:p>
      <w:pPr>
        <w:pStyle w:val="ListBullet"/>
      </w:pPr>
      <w:r>
        <w:t>Checklist documental (autorización administrativa, reglamento aprobado, plan de premios, cronograma, comprobantes de pagos regulatorios, garantía, valor comercial de premios, tratamiento tributario, responsable de retenciones, procedimiento de entrega) (Contrato 6.5.4).</w:t>
      </w:r>
    </w:p>
    <w:p>
      <w:pPr>
        <w:pStyle w:val="ListBullet"/>
      </w:pPr>
      <w:r>
        <w:t>Licencia tecnológica temporal, limitada, no exclusiva, revocable, con tarifa que NO cubre premios/derechos/gastos regulatorios; separación estricta de pagos regulatorios respecto de recursos promocionales/Conectividad/Fortalecimiento (Contrato 6.5.5–6.5.6).</w:t>
      </w:r>
    </w:p>
    <w:p>
      <w:pPr>
        <w:pStyle w:val="ListBullet"/>
      </w:pPr>
      <w:r>
        <w:t>Participaciones sólo gratuitas por interacción válida del reglamento; Llaves/Puntos/Oportunidades NO compran participaciones (Contrato 6.4, 6.5.8).</w:t>
      </w:r>
    </w:p>
    <w:p>
      <w:pPr>
        <w:pStyle w:val="ListBullet"/>
      </w:pPr>
      <w:r>
        <w:t>Bloqueo/suspensión/cierre automáticos si falta o vence la autorización, garantía insuficiente, premios no acreditados, fraude (Contrato 6.5.9).</w:t>
      </w:r>
    </w:p>
    <w:p>
      <w:pPr>
        <w:pStyle w:val="Heading3"/>
      </w:pPr>
      <w:r>
        <w:t>Criterios de aceptación (pruebas mínimas)</w:t>
      </w:r>
    </w:p>
    <w:p>
      <w:r>
        <w:rPr>
          <w:b w:val="0"/>
          <w:i w:val="0"/>
          <w:sz w:val="19"/>
        </w:rPr>
        <w:t>Ruleta configurada sin autorización permanece bloqueada; autorización válida la habilita; vencimiento la suspende; intento manual de apertura; Llaves no compran giros; suspensión conserva obligaciones con ganadores.</w:t>
      </w:r>
    </w:p>
    <w:p>
      <w:pPr>
        <w:pStyle w:val="Heading3"/>
      </w:pPr>
      <w:r>
        <w:t>Rol sugerido</w:t>
      </w:r>
    </w:p>
    <w:p>
      <w:r>
        <w:rPr>
          <w:b w:val="0"/>
          <w:i w:val="0"/>
          <w:sz w:val="19"/>
        </w:rPr>
        <w:t>Backend semi-senior con apoyo legal/negocio para el checklist. Depende de MP-16.</w:t>
      </w:r>
    </w:p>
    <w:p>
      <w:r>
        <w:br w:type="page"/>
      </w:r>
    </w:p>
    <w:p>
      <w:pPr>
        <w:pStyle w:val="Heading2"/>
      </w:pPr>
      <w:r>
        <w:t>MP-21 · Banco de Recursos Publicitarios y gestión de piezas de oferta</w:t>
      </w:r>
    </w:p>
    <w:p>
      <w:r>
        <w:rPr>
          <w:b/>
          <w:i w:val="0"/>
          <w:sz w:val="19"/>
        </w:rPr>
        <w:t>Fase 2 · Prioridad P2 · Complejidad Media · Estado actual: Pulir · Estimación: 2.5 semanas‑desarrollador (1 persona, 4 h/día)</w:t>
      </w:r>
    </w:p>
    <w:p>
      <w:r>
        <w:rPr>
          <w:b w:val="0"/>
          <w:i w:val="0"/>
          <w:sz w:val="18"/>
        </w:rPr>
        <w:t>Numerales cubiertos: Contrato 2.18–2.20 (pág. 18), 6.17–6.17.1 (pág. 120), 8.6 (pág. 182), 17.1–17.18 (pág. 322); GUÍA 2.18–2.20</w:t>
      </w:r>
    </w:p>
    <w:p>
      <w:r>
        <w:rPr>
          <w:b w:val="0"/>
          <w:i w:val="0"/>
          <w:sz w:val="18"/>
        </w:rPr>
        <w:t>Dependencias: MP-01</w:t>
      </w:r>
    </w:p>
    <w:p>
      <w:pPr>
        <w:pStyle w:val="Heading3"/>
      </w:pPr>
      <w:r>
        <w:t>Objetivo</w:t>
      </w:r>
    </w:p>
    <w:p>
      <w:r>
        <w:rPr>
          <w:b w:val="0"/>
          <w:i w:val="0"/>
        </w:rPr>
        <w:t>Todos los recursos publicitarios (piezas de oferta, logos, fotos, videos, audios, manuales de marca) viven en un Banco de Recursos Publicitarios con titularidad, origen, autorización, ámbito, versión, vigencia, aprobación y registro de utilizaciones; almacenar ≠ aprobar; cada recurso se usa sólo dentro de su alcance autorizado.</w:t>
      </w:r>
    </w:p>
    <w:p>
      <w:pPr>
        <w:pStyle w:val="Heading3"/>
      </w:pPr>
      <w:r>
        <w:t>Qué existe hoy</w:t>
      </w:r>
    </w:p>
    <w:p>
      <w:r>
        <w:rPr>
          <w:b w:val="0"/>
          <w:i w:val="0"/>
        </w:rPr>
        <w:t>Assets por dominio dispersos: AdAsset, GameAssetDefinition, ProductImageAsset, BrandingRequest (con comentarios y aprobación de diseñador), StoryMediaAsset. AssetStatus / AssetType. No hay banco unificado con metadatos de derechos.</w:t>
      </w:r>
    </w:p>
    <w:p>
      <w:pPr>
        <w:pStyle w:val="Heading3"/>
      </w:pPr>
      <w:r>
        <w:t>Entregables</w:t>
      </w:r>
    </w:p>
    <w:p>
      <w:pPr>
        <w:pStyle w:val="ListBullet"/>
      </w:pPr>
      <w:r>
        <w:t>Banco de Recursos Publicitarios transversal (campañas, juegos, ofertas, bonos) con metadatos de titularidad/autorización/ámbito/vigencia/aprobación/utilizaciones (Contrato 2.19–2.20, 17.7).</w:t>
      </w:r>
    </w:p>
    <w:p>
      <w:pPr>
        <w:pStyle w:val="ListBullet"/>
      </w:pPr>
      <w:r>
        <w:t>Estados del recurso: CARGADO → EN_REVISIÓN → APROBADO/RECHAZADO → PUBLICADO/RETIRADO; nueva versión al sustituir, sin borrar la asociada a operaciones históricas (Contrato 2.18, 17.8–17.9).</w:t>
      </w:r>
    </w:p>
    <w:p>
      <w:pPr>
        <w:pStyle w:val="ListBullet"/>
      </w:pPr>
      <w:r>
        <w:t>Autorización limitada a VERYGANA por recurso: finalidad, territorio, canales, duración; un recurso autorizado para Campaña A no queda autorizado para Campaña B (Contrato 17.5–17.6, 2.19).</w:t>
      </w:r>
    </w:p>
    <w:p>
      <w:pPr>
        <w:pStyle w:val="ListBullet"/>
      </w:pPr>
      <w:r>
        <w:t>Marcado de contenidos generados/modificados con IA (Contrato 17.13); flujo de reclamaciones de terceros y retiro/suspensión (Contrato 17.16–17.17).</w:t>
      </w:r>
    </w:p>
    <w:p>
      <w:pPr>
        <w:pStyle w:val="ListBullet"/>
      </w:pPr>
      <w:r>
        <w:t>Requisitos técnicos y formales de las piezas + adaptación sólo técnica por VERYGANA (compresión, formato, miniaturas), devolviendo al empresario si hace falta corrección sustancial (Contrato 6.17.1, 7.5.1).</w:t>
      </w:r>
    </w:p>
    <w:p>
      <w:pPr>
        <w:pStyle w:val="Heading3"/>
      </w:pPr>
      <w:r>
        <w:t>Criterios de aceptación (pruebas mínimas)</w:t>
      </w:r>
    </w:p>
    <w:p>
      <w:r>
        <w:rPr>
          <w:b w:val="0"/>
          <w:i w:val="0"/>
          <w:sz w:val="19"/>
        </w:rPr>
        <w:t>Carga; consulta; aprobación; rechazo; duplicado; publicación de recurso no aprobado (bloqueada); uso fuera de alcance; vencimiento; revocación; sustitución con nueva versión.</w:t>
      </w:r>
    </w:p>
    <w:p>
      <w:pPr>
        <w:pStyle w:val="Heading3"/>
      </w:pPr>
      <w:r>
        <w:t>Rol sugerido</w:t>
      </w:r>
    </w:p>
    <w:p>
      <w:r>
        <w:rPr>
          <w:b w:val="0"/>
          <w:i w:val="0"/>
          <w:sz w:val="19"/>
        </w:rPr>
        <w:t>Backend semi-senior. Depende de MP-01.</w:t>
      </w:r>
    </w:p>
    <w:p>
      <w:r>
        <w:br w:type="page"/>
      </w:r>
    </w:p>
    <w:p>
      <w:pPr>
        <w:pStyle w:val="Heading2"/>
      </w:pPr>
      <w:r>
        <w:t>MP-22 · Patrocinios de Empresas Premium y Componentes Patrocinados</w:t>
      </w:r>
    </w:p>
    <w:p>
      <w:r>
        <w:rPr>
          <w:b/>
          <w:i w:val="0"/>
          <w:sz w:val="19"/>
        </w:rPr>
        <w:t>Fase 2 · Prioridad P2 · Complejidad Alta · Estado actual: Pulir/Nuevo · Estimación: 4.5 semanas‑desarrollador (1 persona, 4 h/día)</w:t>
      </w:r>
    </w:p>
    <w:p>
      <w:r>
        <w:rPr>
          <w:b w:val="0"/>
          <w:i w:val="0"/>
          <w:sz w:val="18"/>
        </w:rPr>
        <w:t>Numerales cubiertos: Contrato 2.38–2.39 (pág. 23), 3.15 (pág. 46), 7.6–7.7 (pág. 150), 9.1–9.3, 9.9–9.18 (pág. 194); GUÍA 2.38–2.39</w:t>
      </w:r>
    </w:p>
    <w:p>
      <w:r>
        <w:rPr>
          <w:b w:val="0"/>
          <w:i w:val="0"/>
          <w:sz w:val="18"/>
        </w:rPr>
        <w:t>Dependencias: MP-06, MP-10, MP-15</w:t>
      </w:r>
    </w:p>
    <w:p>
      <w:pPr>
        <w:pStyle w:val="Heading3"/>
      </w:pPr>
      <w:r>
        <w:t>Objetivo</w:t>
      </w:r>
    </w:p>
    <w:p>
      <w:r>
        <w:rPr>
          <w:b w:val="0"/>
          <w:i w:val="0"/>
        </w:rPr>
        <w:t>Las Empresas Premium patrocinan a empresas Tipo B: el patrocinio se acepta explícitamente; los Componentes Patrocinados se identifican, inventarían y trazan por separado, con valor de referencia verificable y tope del 10 % de ese valor; está prohibida la sustitución no autorizada.</w:t>
      </w:r>
    </w:p>
    <w:p>
      <w:pPr>
        <w:pStyle w:val="Heading3"/>
      </w:pPr>
      <w:r>
        <w:t>Qué existe hoy</w:t>
      </w:r>
    </w:p>
    <w:p>
      <w:r>
        <w:rPr>
          <w:b w:val="0"/>
          <w:i w:val="0"/>
        </w:rPr>
        <w:t>marketplace/AllyProductPromotion: premiumCommercial + product + createdAt. Mínimo. Feature CAN_PROMOTE_ALLY_PRODUCTS (sólo PREMIUM).</w:t>
      </w:r>
    </w:p>
    <w:p>
      <w:pPr>
        <w:pStyle w:val="Heading3"/>
      </w:pPr>
      <w:r>
        <w:t>Entregables</w:t>
      </w:r>
    </w:p>
    <w:p>
      <w:pPr>
        <w:pStyle w:val="ListBullet"/>
      </w:pPr>
      <w:r>
        <w:t>Modelo de Patrocinio con aceptación electrónica registrada (no presumida por estar vinculado), identificación de la Premium, finalidad, ofertas/territorios, cupos, vigencia, condiciones, métricas autorizadas (Contrato 9.2).</w:t>
      </w:r>
    </w:p>
    <w:p>
      <w:pPr>
        <w:pStyle w:val="ListBullet"/>
      </w:pPr>
      <w:r>
        <w:t>Componente Patrocinado con inventario y trazabilidad separados, valor comercial de referencia verificable, y estados de cantidad: recibida / asignada / disponible / reservada / comprometida / entregada / no entregada / anulada (Contrato 9.11–9.13).</w:t>
      </w:r>
    </w:p>
    <w:p>
      <w:pPr>
        <w:pStyle w:val="ListBullet"/>
      </w:pPr>
      <w:r>
        <w:t>Límite: VALOR_MÁXIMO_INCORPORABLE = VALOR_DE_REFERENCIA_DEL_COMPONENTE × 10 % (sobre el valor del componente, NO sobre el precio de la oferta); o incorporación gratuita (Beneficio Premium Patrocinado Gratuito) (Contrato 7.6, 9.11–9.12).</w:t>
      </w:r>
    </w:p>
    <w:p>
      <w:pPr>
        <w:pStyle w:val="ListBullet"/>
      </w:pPr>
      <w:r>
        <w:t>Prohibición de sustitución no autorizada del componente Premium; registro de sustituciones expresamente autorizadas (componente original/sustituto, equivalencia, autorización, aceptación) (Contrato 7.7, 9.14–9.15).</w:t>
      </w:r>
    </w:p>
    <w:p>
      <w:pPr>
        <w:pStyle w:val="ListBullet"/>
      </w:pPr>
      <w:r>
        <w:t>Custodia por el empresario: verificar cantidades recibidas, conservar, mantener separado e identificado, reportar diferencias antes de habilitar uso (Contrato 9.13).</w:t>
      </w:r>
    </w:p>
    <w:p>
      <w:pPr>
        <w:pStyle w:val="ListBullet"/>
      </w:pPr>
      <w:r>
        <w:t>Separación de recursos y resultados por patrocinador cuando hay varios; coexistencia sin exclusividad salvo pacto expreso (Contrato 9.10).</w:t>
      </w:r>
    </w:p>
    <w:p>
      <w:pPr>
        <w:pStyle w:val="ListBullet"/>
      </w:pPr>
      <w:r>
        <w:t>Tratamiento económico: componente gratuito no incrementa Venta Computable ni Base; aporte económico que completa el precio sí (a MP-06) (Contrato 3.15, 5.9).</w:t>
      </w:r>
    </w:p>
    <w:p>
      <w:pPr>
        <w:pStyle w:val="Heading3"/>
      </w:pPr>
      <w:r>
        <w:t>Criterios de aceptación (pruebas mínimas)</w:t>
      </w:r>
    </w:p>
    <w:p>
      <w:r>
        <w:rPr>
          <w:b w:val="0"/>
          <w:i w:val="0"/>
          <w:sz w:val="19"/>
        </w:rPr>
        <w:t>Aceptación de patrocinio; componente gratuito vs. con copago ≤ 10 %; inventario separado; entrega registrada; sustitución no autorizada (bloqueada); sustitución autorizada; varios patrocinadores separados; no entrega no se contabiliza como entregado.</w:t>
      </w:r>
    </w:p>
    <w:p>
      <w:pPr>
        <w:pStyle w:val="Heading3"/>
      </w:pPr>
      <w:r>
        <w:t>Rol sugerido</w:t>
      </w:r>
    </w:p>
    <w:p>
      <w:r>
        <w:rPr>
          <w:b w:val="0"/>
          <w:i w:val="0"/>
          <w:sz w:val="19"/>
        </w:rPr>
        <w:t>Backend senior. Depende de MP-06, MP-10, MP-15.</w:t>
      </w:r>
    </w:p>
    <w:p>
      <w:r>
        <w:br w:type="page"/>
      </w:r>
    </w:p>
    <w:p>
      <w:pPr>
        <w:pStyle w:val="Heading2"/>
      </w:pPr>
      <w:r>
        <w:t>MP-23 · Código Único de Recomendación Empresarial y reconocimiento por vinculación efectiva</w:t>
      </w:r>
    </w:p>
    <w:p>
      <w:r>
        <w:rPr>
          <w:b/>
          <w:i w:val="0"/>
          <w:sz w:val="19"/>
        </w:rPr>
        <w:t>Fase 2 · Prioridad P2 · Complejidad Media · Estado actual: Nuevo · Estimación: 2 semanas‑desarrollador (1 persona, 4 h/día)</w:t>
      </w:r>
    </w:p>
    <w:p>
      <w:r>
        <w:rPr>
          <w:b w:val="0"/>
          <w:i w:val="0"/>
          <w:sz w:val="18"/>
        </w:rPr>
        <w:t>Numerales cubiertos: Contrato 9.4–9.8 (pág. 196); GUÍA (Cláusula 9ª)</w:t>
      </w:r>
    </w:p>
    <w:p>
      <w:r>
        <w:rPr>
          <w:b w:val="0"/>
          <w:i w:val="0"/>
          <w:sz w:val="18"/>
        </w:rPr>
        <w:t>Dependencias: MP-01</w:t>
      </w:r>
    </w:p>
    <w:p>
      <w:pPr>
        <w:pStyle w:val="Heading3"/>
      </w:pPr>
      <w:r>
        <w:t>Objetivo</w:t>
      </w:r>
    </w:p>
    <w:p>
      <w:r>
        <w:rPr>
          <w:b w:val="0"/>
          <w:i w:val="0"/>
        </w:rPr>
        <w:t>El empresario Tipo B tiene un Código Único de Recomendación Empresarial (alfanumérico / QR / enlace) para recomendar Empresas Premium / Tipo B / Tipo A; la atribución es al primer contacto válido registrado por el mecanismo oficial; la vinculación efectiva de una Premium recomendada da 1 juego gratuito por 1 mes.</w:t>
      </w:r>
    </w:p>
    <w:p>
      <w:pPr>
        <w:pStyle w:val="Heading3"/>
      </w:pPr>
      <w:r>
        <w:t>Qué existe hoy</w:t>
      </w:r>
    </w:p>
    <w:p>
      <w:r>
        <w:rPr>
          <w:b w:val="0"/>
          <w:i w:val="0"/>
        </w:rPr>
        <w:t>referrals: ReferralService/QrService/InfoService/CodeGenerator, pero referralCode y referredBy sólo en ConsumerDetails (consumidores). No hay código para comercials ni reconocimiento por vinculación de empresas.</w:t>
      </w:r>
    </w:p>
    <w:p>
      <w:pPr>
        <w:pStyle w:val="Heading3"/>
      </w:pPr>
      <w:r>
        <w:t>Entregables</w:t>
      </w:r>
    </w:p>
    <w:p>
      <w:pPr>
        <w:pStyle w:val="ListBullet"/>
      </w:pPr>
      <w:r>
        <w:t>Código Único de Recomendación Empresarial en CommercialDetails (+ QR + enlace individual), sólo identificación/atribución/trazabilidad, sin facultades de representación (Contrato 9.4).</w:t>
      </w:r>
    </w:p>
    <w:p>
      <w:pPr>
        <w:pStyle w:val="ListBullet"/>
      </w:pPr>
      <w:r>
        <w:t>Registro de recomendaciones: originador, empresa recomendada, mecanismo, fecha, estado provisional/confirmado; resolución de atribución y controversias (una vinculación = un reconocimiento salvo atribución conjunta) (Contrato 9.5).</w:t>
      </w:r>
    </w:p>
    <w:p>
      <w:pPr>
        <w:pStyle w:val="ListBullet"/>
      </w:pPr>
      <w:r>
        <w:t>Definición de “vinculación efectiva” (registro + contrato + pago + validaciones + activación) reutilizable por MP-17 acciones (a)–(c) (Contrato 9.6, 6.3.1.1–6.3.1.3).</w:t>
      </w:r>
    </w:p>
    <w:p>
      <w:pPr>
        <w:pStyle w:val="ListBullet"/>
      </w:pPr>
      <w:r>
        <w:t>Beneficio: 1 juego promocional gratuito por 1 mes cuando la Premium recomendada queda activa y la atribución está confirmada; no canjeable, no transferible, no acumulable; suspensión por mora y reactivación por el tiempo restante (Contrato 9.7–9.8).</w:t>
      </w:r>
    </w:p>
    <w:p>
      <w:pPr>
        <w:pStyle w:val="Heading3"/>
      </w:pPr>
      <w:r>
        <w:t>Criterios de aceptación (pruebas mínimas)</w:t>
      </w:r>
    </w:p>
    <w:p>
      <w:r>
        <w:rPr>
          <w:b w:val="0"/>
          <w:i w:val="0"/>
          <w:sz w:val="19"/>
        </w:rPr>
        <w:t>Generación del código; registro por QR/enlace/formulario; atribución al primer contacto; controversia en provisional; vinculación Premium efectiva → juego gratuito 1 mes; mora suspende; regularización reactiva por el remanente; sólo entrega de código no causa el beneficio.</w:t>
      </w:r>
    </w:p>
    <w:p>
      <w:pPr>
        <w:pStyle w:val="Heading3"/>
      </w:pPr>
      <w:r>
        <w:t>Rol sugerido</w:t>
      </w:r>
    </w:p>
    <w:p>
      <w:r>
        <w:rPr>
          <w:b w:val="0"/>
          <w:i w:val="0"/>
          <w:sz w:val="19"/>
        </w:rPr>
        <w:t>Backend semi-senior. Depende de MP-01.</w:t>
      </w:r>
    </w:p>
    <w:p>
      <w:r>
        <w:br w:type="page"/>
      </w:r>
    </w:p>
    <w:p>
      <w:pPr>
        <w:pStyle w:val="Heading2"/>
      </w:pPr>
      <w:r>
        <w:t>MP-24 · Máquina única de Estados Empresariales + Estado de Continuidad + Suspensión Preventiva</w:t>
      </w:r>
    </w:p>
    <w:p>
      <w:r>
        <w:rPr>
          <w:b/>
          <w:i w:val="0"/>
          <w:sz w:val="19"/>
        </w:rPr>
        <w:t>Fase 3 · Prioridad P3 · Complejidad Alta · Estado actual: Pulir/Nuevo · Estimación: 4.5 semanas‑desarrollador (1 persona, 4 h/día)</w:t>
      </w:r>
    </w:p>
    <w:p>
      <w:r>
        <w:rPr>
          <w:b w:val="0"/>
          <w:i w:val="0"/>
          <w:sz w:val="18"/>
        </w:rPr>
        <w:t>Numerales cubiertos: Contrato 1.13 (pág. 8), 2.48–2.52 (pág. 25), 4.16–4.22 (pág. 61), 12.8–12.30 (pág. 254); GUÍA 2.48–2.52</w:t>
      </w:r>
    </w:p>
    <w:p>
      <w:r>
        <w:rPr>
          <w:b w:val="0"/>
          <w:i w:val="0"/>
          <w:sz w:val="18"/>
        </w:rPr>
        <w:t>Dependencias: MP-01, MP-04</w:t>
      </w:r>
    </w:p>
    <w:p>
      <w:pPr>
        <w:pStyle w:val="Heading3"/>
      </w:pPr>
      <w:r>
        <w:t>Objetivo</w:t>
      </w:r>
    </w:p>
    <w:p>
      <w:r>
        <w:rPr>
          <w:b w:val="0"/>
          <w:i w:val="0"/>
        </w:rPr>
        <w:t>Existe una única máquina de Estados Empresariales (12 estados del numeral 4.17) como atributo del empresario, distinta de OnboardingStep y de WalletStatus; incluye Estado de Continuidad (con niveles) y Suspensión Preventiva con su matriz de funcionalidades habilitadas/restringidas.</w:t>
      </w:r>
    </w:p>
    <w:p>
      <w:pPr>
        <w:pStyle w:val="Heading3"/>
      </w:pPr>
      <w:r>
        <w:t>Qué existe hoy</w:t>
      </w:r>
    </w:p>
    <w:p>
      <w:r>
        <w:rPr>
          <w:b w:val="0"/>
          <w:i w:val="0"/>
        </w:rPr>
        <w:t>OnboardingStep (12 pasos, sólo onboarding), ContractStatus, WalletStatus (INACTIVE/ACTIVE/EXHAUSTED — comentarios mencionan un DORMANT inexistente en el enum). Baneo de usuario. No hay Estado de Continuidad ni Suspensión Preventiva.</w:t>
      </w:r>
    </w:p>
    <w:p>
      <w:pPr>
        <w:pStyle w:val="Heading3"/>
      </w:pPr>
      <w:r>
        <w:t>Entregables</w:t>
      </w:r>
    </w:p>
    <w:p>
      <w:pPr>
        <w:pStyle w:val="ListBullet"/>
      </w:pPr>
      <w:r>
        <w:t>Enum/entidad EstadoEmpresarial con: PENDIENTE_DE_CARACTERIZACIÓN, EN_EVALUACIÓN, APROBADO_PENDIENTE_DE_CONTRATACIÓN, CONTRATO_PERFECCIONADO_PENDIENTE_DE_ACTIVACIÓN, ACTIVO, ACTIVO_CON_RESTRICCIONES, ESTADO_DE_CONTINUIDAD, SUSPENDIDO_PREVENTIVAMENTE, SUSPENDIDO_CONTRACTUALMENTE, EN_PROCESO_DE_REACTIVACIÓN, TERMINADO, ARCHIVADO (Contrato 4.17).</w:t>
      </w:r>
    </w:p>
    <w:p>
      <w:pPr>
        <w:pStyle w:val="ListBullet"/>
      </w:pPr>
      <w:r>
        <w:t>Cada estado con fecha de inicio, motivo, funcionalidades disponibles/restringidas, obligaciones pendientes, requisitos para cambiar, responsable, evidencias (Contrato 4.17, 12.29 “matriz tecnológica de estados”).</w:t>
      </w:r>
    </w:p>
    <w:p>
      <w:pPr>
        <w:pStyle w:val="ListBullet"/>
      </w:pPr>
      <w:r>
        <w:t>Estado de Continuidad con niveles y duración (Contrato 4.18, 12.10–12.15): impedir nuevas campañas/juegos/publicaciones, suspender generación de beneficios de una inversión vigente, mantener sólo lo necesario para cumplir obligaciones y regularizar; NO reinicia Umbral ni Saldo de Prosperidad.</w:t>
      </w:r>
    </w:p>
    <w:p>
      <w:pPr>
        <w:pStyle w:val="ListBullet"/>
      </w:pPr>
      <w:r>
        <w:t>Suspensión Preventiva (Contrato 2.51, 4.19, 12.18): medida temporal proporcional, no sancionatoria, con causal/alcance/fecha/evidencia/revisión programada/resultado; independiente del Estado de Continuidad.</w:t>
      </w:r>
    </w:p>
    <w:p>
      <w:pPr>
        <w:pStyle w:val="ListBullet"/>
      </w:pPr>
      <w:r>
        <w:t>‘ACTIVO_CON_RESTRICCIONES’: restricción parcial de una operación/oferta/campaña/establecimiento (Contrato 4.19).</w:t>
      </w:r>
    </w:p>
    <w:p>
      <w:pPr>
        <w:pStyle w:val="ListBullet"/>
      </w:pPr>
      <w:r>
        <w:t>La disponibilidad de cada funcionalidad se consulta siempre contra esta máquina única (evitar motores de permisos duplicados).</w:t>
      </w:r>
    </w:p>
    <w:p>
      <w:pPr>
        <w:pStyle w:val="Heading3"/>
      </w:pPr>
      <w:r>
        <w:t>Criterios de aceptación (pruebas mínimas)</w:t>
      </w:r>
    </w:p>
    <w:p>
      <w:r>
        <w:rPr>
          <w:b w:val="0"/>
          <w:i w:val="0"/>
          <w:sz w:val="19"/>
        </w:rPr>
        <w:t>Transición entre los 12 estados; ingreso y salida del Estado de Continuidad sin tocar Prosperidad; Suspensión Preventiva y su levantamiento; restricción parcial; coexistencia Continuidad + Suspensión Preventiva; matriz estado→funcionalidades.</w:t>
      </w:r>
    </w:p>
    <w:p>
      <w:pPr>
        <w:pStyle w:val="Heading3"/>
      </w:pPr>
      <w:r>
        <w:t>Rol sugerido</w:t>
      </w:r>
    </w:p>
    <w:p>
      <w:r>
        <w:rPr>
          <w:b w:val="0"/>
          <w:i w:val="0"/>
          <w:sz w:val="19"/>
        </w:rPr>
        <w:t>Backend senior. Depende de MP-01 y MP-04. Coordinar con MP-26/MP-27.</w:t>
      </w:r>
    </w:p>
    <w:p>
      <w:r>
        <w:br w:type="page"/>
      </w:r>
    </w:p>
    <w:p>
      <w:pPr>
        <w:pStyle w:val="Heading2"/>
      </w:pPr>
      <w:r>
        <w:t>MP-25 · Vigencia, renovación, nuevas inversiones, cambio y recuperación de modalidad; retiro y cierre</w:t>
      </w:r>
    </w:p>
    <w:p>
      <w:r>
        <w:rPr>
          <w:b/>
          <w:i w:val="0"/>
          <w:sz w:val="19"/>
        </w:rPr>
        <w:t>Fase 3 · Prioridad P3 · Complejidad Media · Estado actual: Pulir · Estimación: 3 semanas‑desarrollador (1 persona, 4 h/día)</w:t>
      </w:r>
    </w:p>
    <w:p>
      <w:r>
        <w:rPr>
          <w:b w:val="0"/>
          <w:i w:val="0"/>
          <w:sz w:val="18"/>
        </w:rPr>
        <w:t>Numerales cubiertos: Contrato 4.23 (pág. 71), 12.1–12.7, 12.16–12.17, 12.30 (pág. 251), 20.1–20.6 (pág. 351); GUÍA (Cláusulas 12ª y 20ª)</w:t>
      </w:r>
    </w:p>
    <w:p>
      <w:r>
        <w:rPr>
          <w:b w:val="0"/>
          <w:i w:val="0"/>
          <w:sz w:val="18"/>
        </w:rPr>
        <w:t>Dependencias: MP-05, MP-24</w:t>
      </w:r>
    </w:p>
    <w:p>
      <w:pPr>
        <w:pStyle w:val="Heading3"/>
      </w:pPr>
      <w:r>
        <w:t>Objetivo</w:t>
      </w:r>
    </w:p>
    <w:p>
      <w:r>
        <w:rPr>
          <w:b w:val="0"/>
          <w:i w:val="0"/>
        </w:rPr>
        <w:t>Vigencias particulares de períodos/inversiones/beneficios; renovación; nuevas inversiones aplicadas sólo hacia adelante y en orden cronológico; cambio y recuperación de modalidad; retiro voluntario que conserva historial y habilita sólo funciones de cierre; cambio de titularidad con revisión.</w:t>
      </w:r>
    </w:p>
    <w:p>
      <w:pPr>
        <w:pStyle w:val="Heading3"/>
      </w:pPr>
      <w:r>
        <w:t>Qué existe hoy</w:t>
      </w:r>
    </w:p>
    <w:p>
      <w:r>
        <w:rPr>
          <w:b w:val="0"/>
          <w:i w:val="0"/>
        </w:rPr>
        <w:t>Subscription (renewal_reminder_sent_at), recargas STANDARD/PREMIUM (Investment + CommercialContract RECHARGE), PlanChangeRequest, budgetGracePeriodDays. terminatedAt/cancellationReason. No hay retiro voluntario ni cambio de titularidad.</w:t>
      </w:r>
    </w:p>
    <w:p>
      <w:pPr>
        <w:pStyle w:val="Heading3"/>
      </w:pPr>
      <w:r>
        <w:t>Entregables</w:t>
      </w:r>
    </w:p>
    <w:p>
      <w:pPr>
        <w:pStyle w:val="ListBullet"/>
      </w:pPr>
      <w:r>
        <w:t>Vigencia particular por período/inversión/beneficio y renovación de períodos, sin retroactividad y con orden cronológico estricto (Contrato 12.2–12.7).</w:t>
      </w:r>
    </w:p>
    <w:p>
      <w:pPr>
        <w:pStyle w:val="ListBullet"/>
      </w:pPr>
      <w:r>
        <w:t>Cambio de modalidad (Tipo B ↔ otra) con nueva caracterización, verificación de requisitos, fecha efectiva, aceptación contractual y activación expresa; no reinicia historial ni Umbral/Saldo (Contrato 4.23, 12.16).</w:t>
      </w:r>
    </w:p>
    <w:p>
      <w:pPr>
        <w:pStyle w:val="ListBullet"/>
      </w:pPr>
      <w:r>
        <w:t>Recuperación de la modalidad Tipo B tras Continuidad/inactividad (Contrato 12.17).</w:t>
      </w:r>
    </w:p>
    <w:p>
      <w:pPr>
        <w:pStyle w:val="ListBullet"/>
      </w:pPr>
      <w:r>
        <w:t>Retiro voluntario: conserva historial (retiro ≠ borrado), acceso limitado para cerrar entregas/redenciones/garantías/obligaciones pendientes (Contrato 20.1, Parágrafos 1º–2º).</w:t>
      </w:r>
    </w:p>
    <w:p>
      <w:pPr>
        <w:pStyle w:val="ListBullet"/>
      </w:pPr>
      <w:r>
        <w:t>Cambio de titularidad del expediente con revisión previa, distinto de editar datos (Contrato 20.x; GUÍA 1.2).</w:t>
      </w:r>
    </w:p>
    <w:p>
      <w:pPr>
        <w:pStyle w:val="Heading3"/>
      </w:pPr>
      <w:r>
        <w:t>Criterios de aceptación (pruebas mínimas)</w:t>
      </w:r>
    </w:p>
    <w:p>
      <w:r>
        <w:rPr>
          <w:b w:val="0"/>
          <w:i w:val="0"/>
          <w:sz w:val="19"/>
        </w:rPr>
        <w:t>Renovación de período; nueva inversión prospectiva; inversión en el límite temporal; cambio de modalidad sin reinicio; retiro voluntario con acceso de cierre; intento de borrar historial (bloqueado); cambio de titular a revisión.</w:t>
      </w:r>
    </w:p>
    <w:p>
      <w:pPr>
        <w:pStyle w:val="Heading3"/>
      </w:pPr>
      <w:r>
        <w:t>Rol sugerido</w:t>
      </w:r>
    </w:p>
    <w:p>
      <w:r>
        <w:rPr>
          <w:b w:val="0"/>
          <w:i w:val="0"/>
          <w:sz w:val="19"/>
        </w:rPr>
        <w:t>Backend semi-senior. Depende de MP-05 y MP-24.</w:t>
      </w:r>
    </w:p>
    <w:p>
      <w:r>
        <w:br w:type="page"/>
      </w:r>
    </w:p>
    <w:p>
      <w:pPr>
        <w:pStyle w:val="Heading2"/>
      </w:pPr>
      <w:r>
        <w:t>MP-26 · Administración centralizada de obligaciones e incumplimientos del empresario</w:t>
      </w:r>
    </w:p>
    <w:p>
      <w:r>
        <w:rPr>
          <w:b/>
          <w:i w:val="0"/>
          <w:sz w:val="19"/>
        </w:rPr>
        <w:t>Fase 3 · Prioridad P3 · Complejidad Media · Estado actual: Pulir · Estimación: 3 semanas‑desarrollador (1 persona, 4 h/día)</w:t>
      </w:r>
    </w:p>
    <w:p>
      <w:r>
        <w:rPr>
          <w:b w:val="0"/>
          <w:i w:val="0"/>
          <w:sz w:val="18"/>
        </w:rPr>
        <w:t>Numerales cubiertos: Contrato 8.1–8.23 (pág. 180); GUÍA 8.x</w:t>
      </w:r>
    </w:p>
    <w:p>
      <w:r>
        <w:rPr>
          <w:b w:val="0"/>
          <w:i w:val="0"/>
          <w:sz w:val="18"/>
        </w:rPr>
        <w:t>Dependencias: MP-24</w:t>
      </w:r>
    </w:p>
    <w:p>
      <w:pPr>
        <w:pStyle w:val="Heading3"/>
      </w:pPr>
      <w:r>
        <w:t>Objetivo</w:t>
      </w:r>
    </w:p>
    <w:p>
      <w:r>
        <w:rPr>
          <w:b w:val="0"/>
          <w:i w:val="0"/>
        </w:rPr>
        <w:t>Todas las obligaciones del empresario Tipo B están catalogadas, ligadas a su cláusula de origen y con estado de cumplimiento; los incumplimientos se registran con causal, evidencia, responsable y fechas para alimentar las medidas de MP-27.</w:t>
      </w:r>
    </w:p>
    <w:p>
      <w:pPr>
        <w:pStyle w:val="Heading3"/>
      </w:pPr>
      <w:r>
        <w:t>Qué existe hoy</w:t>
      </w:r>
    </w:p>
    <w:p>
      <w:r>
        <w:rPr>
          <w:b w:val="0"/>
          <w:i w:val="0"/>
        </w:rPr>
        <w:t>Las obligaciones se hacen cumplir de forma dispersa (@RequirePlanCapability / PlanGuardAspect, validaciones de assets, PQRS, compliance). No hay catálogo ni registro estructurado de incumplimientos.</w:t>
      </w:r>
    </w:p>
    <w:p>
      <w:pPr>
        <w:pStyle w:val="Heading3"/>
      </w:pPr>
      <w:r>
        <w:t>Entregables</w:t>
      </w:r>
    </w:p>
    <w:p>
      <w:pPr>
        <w:pStyle w:val="ListBullet"/>
      </w:pPr>
      <w:r>
        <w:t>Catálogo de obligaciones por modalidad (Contrato 8.2–8.23): cumplimiento del contrato; información y documentación; legalidad de la actividad; veracidad; diseño y entrega de piezas; disponibilidad e inventario; cumplimiento de operaciones; entrega/prestación/redención; calidad/idoneidad/seguridad/garantías; obligaciones económicas/tributarias/facturación; respeto de recursos promocionales; campañas/juegos/patrocinios; prevención de fraude; credenciales; protección de datos; propiedad intelectual; atención de reclamaciones; cierres e interrupciones; continuidad de obligaciones pendientes; trazabilidad y conservación de soportes.</w:t>
      </w:r>
    </w:p>
    <w:p>
      <w:pPr>
        <w:pStyle w:val="ListBullet"/>
      </w:pPr>
      <w:r>
        <w:t>Cada obligación con cláusula de origen, Condición Particular aplicable, estado de cumplimiento, versión contractual (GUÍA 8.1).</w:t>
      </w:r>
    </w:p>
    <w:p>
      <w:pPr>
        <w:pStyle w:val="ListBullet"/>
      </w:pPr>
      <w:r>
        <w:t>Registro de incumplimiento con identificación propia, fecha de apertura, operaciones afectadas, evidencia, responsable, estado y cierre independiente (Contrato 4.21, 14.15).</w:t>
      </w:r>
    </w:p>
    <w:p>
      <w:pPr>
        <w:pStyle w:val="Heading3"/>
      </w:pPr>
      <w:r>
        <w:t>Criterios de aceptación (pruebas mínimas)</w:t>
      </w:r>
    </w:p>
    <w:p>
      <w:r>
        <w:rPr>
          <w:b w:val="0"/>
          <w:i w:val="0"/>
          <w:sz w:val="19"/>
        </w:rPr>
        <w:t>Alta de obligación por modalidad; incumplimiento con evidencia; varias causales concurrentes independientes; cierre de una causal no levanta las demás; relación obligación→cláusula.</w:t>
      </w:r>
    </w:p>
    <w:p>
      <w:pPr>
        <w:pStyle w:val="Heading3"/>
      </w:pPr>
      <w:r>
        <w:t>Rol sugerido</w:t>
      </w:r>
    </w:p>
    <w:p>
      <w:r>
        <w:rPr>
          <w:b w:val="0"/>
          <w:i w:val="0"/>
          <w:sz w:val="19"/>
        </w:rPr>
        <w:t>Backend semi-senior. Depende de MP-24.</w:t>
      </w:r>
    </w:p>
    <w:p>
      <w:r>
        <w:br w:type="page"/>
      </w:r>
    </w:p>
    <w:p>
      <w:pPr>
        <w:pStyle w:val="Heading2"/>
      </w:pPr>
      <w:r>
        <w:t>MP-27 · Medidas graduales por incumplimiento (restricción / suspensión preventiva / contractual / terminación) con causales concurrentes</w:t>
      </w:r>
    </w:p>
    <w:p>
      <w:r>
        <w:rPr>
          <w:b/>
          <w:i w:val="0"/>
          <w:sz w:val="19"/>
        </w:rPr>
        <w:t>Fase 3 · Prioridad P3 · Complejidad Alta · Estado actual: Pulir · Estimación: 3.5 semanas‑desarrollador (1 persona, 4 h/día)</w:t>
      </w:r>
    </w:p>
    <w:p>
      <w:r>
        <w:rPr>
          <w:b w:val="0"/>
          <w:i w:val="0"/>
          <w:sz w:val="18"/>
        </w:rPr>
        <w:t>Numerales cubiertos: Contrato 4.19–4.22 (pág. 66), 14.1–14.19 (pág. 287), 18.13, 18.19 (pág. 337); GUÍA (Cláusula 14ª)</w:t>
      </w:r>
    </w:p>
    <w:p>
      <w:r>
        <w:rPr>
          <w:b w:val="0"/>
          <w:i w:val="0"/>
          <w:sz w:val="18"/>
        </w:rPr>
        <w:t>Dependencias: MP-24, MP-26</w:t>
      </w:r>
    </w:p>
    <w:p>
      <w:pPr>
        <w:pStyle w:val="Heading3"/>
      </w:pPr>
      <w:r>
        <w:t>Objetivo</w:t>
      </w:r>
    </w:p>
    <w:p>
      <w:r>
        <w:rPr>
          <w:b w:val="0"/>
          <w:i w:val="0"/>
        </w:rPr>
        <w:t>Ante un incumplimiento, el sistema aplica la medida proporcional (restricción parcial → suspensión preventiva → suspensión contractual → terminación) siguiendo el procedimiento (comunicar, dar descargos, valorar, decidir motivadamente); varias medidas pueden coexistir por causales distintas.</w:t>
      </w:r>
    </w:p>
    <w:p>
      <w:pPr>
        <w:pStyle w:val="Heading3"/>
      </w:pPr>
      <w:r>
        <w:t>Qué existe hoy</w:t>
      </w:r>
    </w:p>
    <w:p>
      <w:r>
        <w:rPr>
          <w:b w:val="0"/>
          <w:i w:val="0"/>
        </w:rPr>
        <w:t>Baneo de usuario (UserAdminController), ContractStatus. Sin gradación proporcional ni causales concurrentes ni procedimiento.</w:t>
      </w:r>
    </w:p>
    <w:p>
      <w:pPr>
        <w:pStyle w:val="Heading3"/>
      </w:pPr>
      <w:r>
        <w:t>Entregables</w:t>
      </w:r>
    </w:p>
    <w:p>
      <w:pPr>
        <w:pStyle w:val="ListBullet"/>
      </w:pPr>
      <w:r>
        <w:t>Entidad Medida {RESTRICCIÓN_PARCIAL, SUSPENSIÓN_PREVENTIVA, SUSPENSIÓN_CONTRACTUAL, TERMINACIÓN} con alcance (operación/oferta/campaña/establecimiento/cuenta), causal, evidencias, revisión (Contrato 14.2–14.4).</w:t>
      </w:r>
    </w:p>
    <w:p>
      <w:pPr>
        <w:pStyle w:val="ListBullet"/>
      </w:pPr>
      <w:r>
        <w:t>Procedimiento previo a suspensión contractual: identificar causal, conservar evidencias, comunicar hechos, conceder oportunidad de explicación/subsanación, valorar respuesta, decisión motivada (salvo urgencia/norma imperativa/orden de autoridad) (Contrato 14.7–14.11).</w:t>
      </w:r>
    </w:p>
    <w:p>
      <w:pPr>
        <w:pStyle w:val="ListBullet"/>
      </w:pPr>
      <w:r>
        <w:t>Incumplimientos subsanables vs. graves; terminación por incumplimiento grave; efectos de la terminación; reactivación total/parcial/condicionada/progresiva (Contrato 14.9–14.13).</w:t>
      </w:r>
    </w:p>
    <w:p>
      <w:pPr>
        <w:pStyle w:val="ListBullet"/>
      </w:pPr>
      <w:r>
        <w:t>Causales concurrentes con estado propio e independiente; subsanar una no levanta las demás (Contrato 14.15).</w:t>
      </w:r>
    </w:p>
    <w:p>
      <w:pPr>
        <w:pStyle w:val="ListBullet"/>
      </w:pPr>
      <w:r>
        <w:t>Efectos económicos de las medidas (Contrato 14.16); prohibición de evasión mediante nueva identidad (Contrato 14.17); inhabilitación para nuevas activaciones / exclusión del ecosistema por NIT (Contrato 18.19).</w:t>
      </w:r>
    </w:p>
    <w:p>
      <w:pPr>
        <w:pStyle w:val="Heading3"/>
      </w:pPr>
      <w:r>
        <w:t>Criterios de aceptación (pruebas mínimas)</w:t>
      </w:r>
    </w:p>
    <w:p>
      <w:r>
        <w:rPr>
          <w:b w:val="0"/>
          <w:i w:val="0"/>
          <w:sz w:val="19"/>
        </w:rPr>
        <w:t>Restricción parcial suficiente; escalamiento a suspensión preventiva; procedimiento con descargos; terminación por causal grave; reactivación condicionada; dos causales concurrentes; intento de re-registro tras inhabilitación (bloqueado).</w:t>
      </w:r>
    </w:p>
    <w:p>
      <w:pPr>
        <w:pStyle w:val="Heading3"/>
      </w:pPr>
      <w:r>
        <w:t>Rol sugerido</w:t>
      </w:r>
    </w:p>
    <w:p>
      <w:r>
        <w:rPr>
          <w:b w:val="0"/>
          <w:i w:val="0"/>
          <w:sz w:val="19"/>
        </w:rPr>
        <w:t>Backend senior. Depende de MP-24 y MP-26.</w:t>
      </w:r>
    </w:p>
    <w:p>
      <w:r>
        <w:br w:type="page"/>
      </w:r>
    </w:p>
    <w:p>
      <w:pPr>
        <w:pStyle w:val="Heading2"/>
      </w:pPr>
      <w:r>
        <w:t>MP-28 · SGSI de prevención del fraude por dominio (alertas tipificadas, falsos positivos, cadena de custodia) y protección de datos</w:t>
      </w:r>
    </w:p>
    <w:p>
      <w:r>
        <w:rPr>
          <w:b/>
          <w:i w:val="0"/>
          <w:sz w:val="19"/>
        </w:rPr>
        <w:t>Fase 3 · Prioridad P3 · Complejidad Alta · Estado actual: Pulir · Estimación: 4.5 semanas‑desarrollador (1 persona, 4 h/día)</w:t>
      </w:r>
    </w:p>
    <w:p>
      <w:r>
        <w:rPr>
          <w:b w:val="0"/>
          <w:i w:val="0"/>
          <w:sz w:val="18"/>
        </w:rPr>
        <w:t>Numerales cubiertos: Contrato 5.26 (pág. 92), 6.20 (pág. 121), 13.1–13.31 (pág. 268), 16.1–16.10, 16.18 (pág. 310); GUÍA (Cláusulas 13ª y 16ª)</w:t>
      </w:r>
    </w:p>
    <w:p>
      <w:r>
        <w:rPr>
          <w:b w:val="0"/>
          <w:i w:val="0"/>
          <w:sz w:val="18"/>
        </w:rPr>
        <w:t>Dependencias: MP-24, MP-34</w:t>
      </w:r>
    </w:p>
    <w:p>
      <w:pPr>
        <w:pStyle w:val="Heading3"/>
      </w:pPr>
      <w:r>
        <w:t>Objetivo</w:t>
      </w:r>
    </w:p>
    <w:p>
      <w:r>
        <w:rPr>
          <w:b w:val="0"/>
          <w:i w:val="0"/>
        </w:rPr>
        <w:t>Un sistema de gestión de seguridad y prevención del fraude por dominio: alertas tipificadas (señal de revisión, no conclusión), gestión de falsos positivos, medidas preventivas proporcionales, cadena de custodia de la Evidencia Digital e integridad de métricas; más el marco de tratamiento de datos personales.</w:t>
      </w:r>
    </w:p>
    <w:p>
      <w:pPr>
        <w:pStyle w:val="Heading3"/>
      </w:pPr>
      <w:r>
        <w:t>Qué existe hoy</w:t>
      </w:r>
    </w:p>
    <w:p>
      <w:r>
        <w:rPr>
          <w:b w:val="0"/>
          <w:i w:val="0"/>
        </w:rPr>
        <w:t>security (SecurityConfig, AccountLockService, SecurityMonitoringService), SecurityEventAdminController, AuditLogAdminController, AdminActionType, compliance (screening/KYC/background check), controles antifraude puntuales (maxLikesPerUserPerDay, resumeCount, validación de encuestas), idempotencia en webhooks.</w:t>
      </w:r>
    </w:p>
    <w:p>
      <w:pPr>
        <w:pStyle w:val="Heading3"/>
      </w:pPr>
      <w:r>
        <w:t>Entregables</w:t>
      </w:r>
    </w:p>
    <w:p>
      <w:pPr>
        <w:pStyle w:val="ListBullet"/>
      </w:pPr>
      <w:r>
        <w:t>Catálogo de anomalías por dominio (Contrato 13.4–13.12): operaciones ficticias/simuladas; manipulación del régimen promocional; manipulación de códigos/credenciales/identificadores; integridad de entregas/redenciones; integridad de la Vocación; integridad económica (Umbral/Saldo/Base); fraude en campañas/patrocinios/componentes gratuitos; fraude en referidos y vinculaciones.</w:t>
      </w:r>
    </w:p>
    <w:p>
      <w:pPr>
        <w:pStyle w:val="ListBullet"/>
      </w:pPr>
      <w:r>
        <w:t>Detección automatizada de anomalías + gestión y clasificación de alertas con estados y flujo de revisión; una alerta = indicio, no fraude (Contrato 13.13–13.14).</w:t>
      </w:r>
    </w:p>
    <w:p>
      <w:pPr>
        <w:pStyle w:val="ListBullet"/>
      </w:pPr>
      <w:r>
        <w:t>Medidas preventivas proporcionales enlazadas con MP-27; verificación y derecho de aclaración; corrección de falsos positivos y errores (Contrato 13.15–13.19).</w:t>
      </w:r>
    </w:p>
    <w:p>
      <w:pPr>
        <w:pStyle w:val="ListBullet"/>
      </w:pPr>
      <w:r>
        <w:t>Devoluciones/reversos/ajustes derivados de irregularidades acreditadas (Contrato 13.20–13.21) — a MP-30.</w:t>
      </w:r>
    </w:p>
    <w:p>
      <w:pPr>
        <w:pStyle w:val="ListBullet"/>
      </w:pPr>
      <w:r>
        <w:t>Conservación de Evidencia Digital con cadena de custodia (hash, sello de tiempo, integridad verificable); hoy AuditLog no garantiza integridad criptográfica (Contrato 13.24).</w:t>
      </w:r>
    </w:p>
    <w:p>
      <w:pPr>
        <w:pStyle w:val="ListBullet"/>
      </w:pPr>
      <w:r>
        <w:t>Integridad de métricas e informes (Contrato 13.25); gestión de incidentes de seguridad y respuesta/recuperación (Contrato 13.22–13.23).</w:t>
      </w:r>
    </w:p>
    <w:p>
      <w:pPr>
        <w:pStyle w:val="ListBullet"/>
      </w:pPr>
      <w:r>
        <w:t>Marco de datos personales: roles y responsabilidades sobre los datos, acceso permitido, datos sensibles y mayores de edad, derechos de los titulares, proveedores/transmisiones/transferencias, seguridad e incidentes de información, confidencialidad y terminación (Contrato 16.1–16.10, 16.18).</w:t>
      </w:r>
    </w:p>
    <w:p>
      <w:pPr>
        <w:pStyle w:val="Heading3"/>
      </w:pPr>
      <w:r>
        <w:t>Criterios de aceptación (pruebas mínimas)</w:t>
      </w:r>
    </w:p>
    <w:p>
      <w:r>
        <w:rPr>
          <w:b w:val="0"/>
          <w:i w:val="0"/>
          <w:sz w:val="19"/>
        </w:rPr>
        <w:t>Alerta por operación ficticia; falso positivo corregido; medida preventiva proporcional; evidencia con hash verificable; incidente de seguridad gestionado; acceso a datos individuales del usuario bloqueado para el empresario.</w:t>
      </w:r>
    </w:p>
    <w:p>
      <w:pPr>
        <w:pStyle w:val="Heading3"/>
      </w:pPr>
      <w:r>
        <w:t>Rol sugerido</w:t>
      </w:r>
    </w:p>
    <w:p>
      <w:r>
        <w:rPr>
          <w:b w:val="0"/>
          <w:i w:val="0"/>
          <w:sz w:val="19"/>
        </w:rPr>
        <w:t>Backend senior + apoyo de seguridad/legal. Muy transversal; depende de MP-24 y MP-34.</w:t>
      </w:r>
    </w:p>
    <w:p>
      <w:r>
        <w:br w:type="page"/>
      </w:r>
    </w:p>
    <w:p>
      <w:pPr>
        <w:pStyle w:val="Heading2"/>
      </w:pPr>
      <w:r>
        <w:t>MP-29 · Posventa: garantías, cambios, devoluciones, retracto y reversión del pago con ajuste integral</w:t>
      </w:r>
    </w:p>
    <w:p>
      <w:r>
        <w:rPr>
          <w:b/>
          <w:i w:val="0"/>
          <w:sz w:val="19"/>
        </w:rPr>
        <w:t>Fase 3 · Prioridad P3 · Complejidad Alta · Estado actual: Pulir · Estimación: 3.5 semanas‑desarrollador (1 persona, 4 h/día)</w:t>
      </w:r>
    </w:p>
    <w:p>
      <w:r>
        <w:rPr>
          <w:b w:val="0"/>
          <w:i w:val="0"/>
          <w:sz w:val="18"/>
        </w:rPr>
        <w:t>Numerales cubiertos: Contrato 2.59 (pág. 26), 7.21–7.23 (pág. 172), 15.1–15.19 (pág. 299), 8.18 (pág. 188); GUÍA 2.59</w:t>
      </w:r>
    </w:p>
    <w:p>
      <w:r>
        <w:rPr>
          <w:b w:val="0"/>
          <w:i w:val="0"/>
          <w:sz w:val="18"/>
        </w:rPr>
        <w:t>Dependencias: MP-13, MP-30</w:t>
      </w:r>
    </w:p>
    <w:p>
      <w:pPr>
        <w:pStyle w:val="Heading3"/>
      </w:pPr>
      <w:r>
        <w:t>Objetivo</w:t>
      </w:r>
    </w:p>
    <w:p>
      <w:r>
        <w:rPr>
          <w:b w:val="0"/>
          <w:i w:val="0"/>
        </w:rPr>
        <w:t>Las figuras posventa están tipificadas y separadas (cambio comercial ≠ devolución ≠ garantía ≠ retracto ≠ reversión del pago), cada una con sus plazos legales; al resolverse, el ajuste es integral sobre Venta Computable, Saldo, Base Comisionable, comisión, Llaves, Puntos y métricas.</w:t>
      </w:r>
    </w:p>
    <w:p>
      <w:pPr>
        <w:pStyle w:val="Heading3"/>
      </w:pPr>
      <w:r>
        <w:t>Qué existe hoy</w:t>
      </w:r>
    </w:p>
    <w:p>
      <w:r>
        <w:rPr>
          <w:b w:val="0"/>
          <w:i w:val="0"/>
        </w:rPr>
        <w:t>pqrs (Pqrs, PqrsStatus, PqrsType, PqrsResolutionAction con REFUND, PqrsSlaProperties), PurchaseItemCashRefund + CashRefundServiceImpl, PurchaseItemRefundServiceImpl (revierte comisión + llaves + efectivo). No hay retracto ni reversión del pago tipificados, ni ajuste sobre Prosperidad/Puntos.</w:t>
      </w:r>
    </w:p>
    <w:p>
      <w:pPr>
        <w:pStyle w:val="Heading3"/>
      </w:pPr>
      <w:r>
        <w:t>Entregables</w:t>
      </w:r>
    </w:p>
    <w:p>
      <w:pPr>
        <w:pStyle w:val="ListBullet"/>
      </w:pPr>
      <w:r>
        <w:t>Diferenciación de figuras posventa (Contrato 15.7): cambio comercial (15.8), devolución (15.9), garantía legal (15.4) y de producto/servicio (15.5), derecho de retracto con plazo y excepciones (15.10, Ley 1480 art. 47), reversión del pago (15.11, régimen de comercio electrónico).</w:t>
      </w:r>
    </w:p>
    <w:p>
      <w:pPr>
        <w:pStyle w:val="ListBullet"/>
      </w:pPr>
      <w:r>
        <w:t>Herramientas tecnológicas de atención posventa con radicado, estados {radicada/en verificación/trasladada a EL EMPRESARIO/respondida/aceptada/rechazada/solucionada/cerrada}, SLA, conciliación y cierre (Contrato 15.6, 15.19).</w:t>
      </w:r>
    </w:p>
    <w:p>
      <w:pPr>
        <w:pStyle w:val="ListBullet"/>
      </w:pPr>
      <w:r>
        <w:t>Ajuste integral al resolver con reintegro (Contrato 15.12–15.16): además de comisión y llaves (ya se hace), reintegrar Saldo de Prosperidad consumido, ajustar Venta Computable / Base Comisionable, reversar Puntos de Progreso / Oportunidad ligados a esa Compra Válida, ajustar métricas (a MP-30).</w:t>
      </w:r>
    </w:p>
    <w:p>
      <w:pPr>
        <w:pStyle w:val="ListBullet"/>
      </w:pPr>
      <w:r>
        <w:t>Reclamación por falta de entrega/prestación/redención con verificación y medidas preventivas; el uso de un código no prueba por sí solo el cumplimiento (Contrato 7.22–7.23).</w:t>
      </w:r>
    </w:p>
    <w:p>
      <w:pPr>
        <w:pStyle w:val="ListBullet"/>
      </w:pPr>
      <w:r>
        <w:t>Tratamiento de productos/servicios/beneficios patrocinados en la posventa (Contrato 15.17).</w:t>
      </w:r>
    </w:p>
    <w:p>
      <w:pPr>
        <w:pStyle w:val="Heading3"/>
      </w:pPr>
      <w:r>
        <w:t>Criterios de aceptación (pruebas mínimas)</w:t>
      </w:r>
    </w:p>
    <w:p>
      <w:r>
        <w:rPr>
          <w:b w:val="0"/>
          <w:i w:val="0"/>
          <w:sz w:val="19"/>
        </w:rPr>
        <w:t>Retracto dentro del plazo; reversión del pago; garantía legal; cambio comercial; devolución parcial; ajuste integral sobre Prosperidad y Puntos; reclamación por no entrega con código usado; SLA y cierre.</w:t>
      </w:r>
    </w:p>
    <w:p>
      <w:pPr>
        <w:pStyle w:val="Heading3"/>
      </w:pPr>
      <w:r>
        <w:t>Rol sugerido</w:t>
      </w:r>
    </w:p>
    <w:p>
      <w:r>
        <w:rPr>
          <w:b w:val="0"/>
          <w:i w:val="0"/>
          <w:sz w:val="19"/>
        </w:rPr>
        <w:t>Backend senior. El módulo PqrsServiceImpl (abierto en el IDE) es el punto de partida. Depende de MP-13 y MP-30.</w:t>
      </w:r>
    </w:p>
    <w:p>
      <w:r>
        <w:br w:type="page"/>
      </w:r>
    </w:p>
    <w:p>
      <w:pPr>
        <w:pStyle w:val="Heading2"/>
      </w:pPr>
      <w:r>
        <w:t>MP-30 · Motor transversal de anulaciones, devoluciones, reversos y ajustes económicos</w:t>
      </w:r>
    </w:p>
    <w:p>
      <w:r>
        <w:rPr>
          <w:b/>
          <w:i w:val="0"/>
          <w:sz w:val="19"/>
        </w:rPr>
        <w:t>Fase 3 · Prioridad P3 · Complejidad Alta · Estado actual: Pulir · Estimación: 3 semanas‑desarrollador (1 persona, 4 h/día)</w:t>
      </w:r>
    </w:p>
    <w:p>
      <w:r>
        <w:rPr>
          <w:b w:val="0"/>
          <w:i w:val="0"/>
          <w:sz w:val="18"/>
        </w:rPr>
        <w:t>Numerales cubiertos: Contrato 2.47 (pág. 25), 5.27 (pág. 94), 6.22.12 (pág. 127), 7.16–7.16.1 (pág. 167), 10.18–10.20 (pág. 225), 11.22–11.23 (pág. 244), 13.20 (pág. 279); GUÍA 2.47</w:t>
      </w:r>
    </w:p>
    <w:p>
      <w:r>
        <w:rPr>
          <w:b w:val="0"/>
          <w:i w:val="0"/>
          <w:sz w:val="18"/>
        </w:rPr>
        <w:t>Dependencias: MP-05, MP-06, MP-07, MP-12, MP-17</w:t>
      </w:r>
    </w:p>
    <w:p>
      <w:pPr>
        <w:pStyle w:val="Heading3"/>
      </w:pPr>
      <w:r>
        <w:t>Objetivo</w:t>
      </w:r>
    </w:p>
    <w:p>
      <w:r>
        <w:rPr>
          <w:b w:val="0"/>
          <w:i w:val="0"/>
        </w:rPr>
        <w:t>Un motor transversal de ajustes: cualquier anulación / devolución / reverso / contracargo / reducción produce movimientos compensatorios trazables (nunca borrado) sobre todos los registros afectados: dinero, Llaves y su respaldo, descuentos, patrocinios, recursos del Programa, inventario, Venta Computable, Saldo, Base, comisión, IVA, retenciones, Puntos, Oportunidades y métricas.</w:t>
      </w:r>
    </w:p>
    <w:p>
      <w:pPr>
        <w:pStyle w:val="Heading3"/>
      </w:pPr>
      <w:r>
        <w:t>Qué existe hoy</w:t>
      </w:r>
    </w:p>
    <w:p>
      <w:r>
        <w:rPr>
          <w:b w:val="0"/>
          <w:i w:val="0"/>
        </w:rPr>
        <w:t>PurchaseItemRefundServiceImpl (comisión + llaves + efectivo), CashRefundService, MovementConcept.*REVERSAL/REFUND*. Reversos parciales existentes pero limitados a marketplace y sin Prosperidad/Puntos.</w:t>
      </w:r>
    </w:p>
    <w:p>
      <w:pPr>
        <w:pStyle w:val="Heading3"/>
      </w:pPr>
      <w:r>
        <w:t>Entregables</w:t>
      </w:r>
    </w:p>
    <w:p>
      <w:pPr>
        <w:pStyle w:val="ListBullet"/>
      </w:pPr>
      <w:r>
        <w:t>Servicio único de ajuste que, dado un evento de anulación/devolución/reverso, determina y aplica los efectos sobre TODOS los ejes (Contrato 5.27, 7.16.1, 10.18, 11.22): libera/reintegra Saldo, disminuye Venta Computable, reduce Base, reversa o reliquida comisión e IVA, ajusta retenciones, corrige el valor neto y la dispersión, corrige inventario, actualiza métricas, ajusta Puntos y Oportunidades.</w:t>
      </w:r>
    </w:p>
    <w:p>
      <w:pPr>
        <w:pStyle w:val="ListBullet"/>
      </w:pPr>
      <w:r>
        <w:t>Reverso proporcional en devoluciones parciales sin desconocer lo válidamente entregado (Contrato 7.16.1, 10.19).</w:t>
      </w:r>
    </w:p>
    <w:p>
      <w:pPr>
        <w:pStyle w:val="ListBullet"/>
      </w:pPr>
      <w:r>
        <w:t>Cuando no es posible el reverso inmediato: cuenta por conciliar, sin saldos negativos ocultos (Contrato 6.22.12, 10.25).</w:t>
      </w:r>
    </w:p>
    <w:p>
      <w:pPr>
        <w:pStyle w:val="ListBullet"/>
      </w:pPr>
      <w:r>
        <w:t>Reversión de Inversión Computable ya consumida (identificar Umbral, porción usada, bloquear resto) (Contrato 10.20).</w:t>
      </w:r>
    </w:p>
    <w:p>
      <w:pPr>
        <w:pStyle w:val="ListBullet"/>
      </w:pPr>
      <w:r>
        <w:t>Operaciones reversadas después de la dispersión: nota crédito / cuenta por cobrar (Contrato 11.23).</w:t>
      </w:r>
    </w:p>
    <w:p>
      <w:pPr>
        <w:pStyle w:val="ListBullet"/>
      </w:pPr>
      <w:r>
        <w:t>Regla de oro: correcciones sólo por asientos de ajuste vinculados a la operación original; nunca eliminar/modificar el registro (Contrato 1.17, 7.25, 10.27, 13.20).</w:t>
      </w:r>
    </w:p>
    <w:p>
      <w:pPr>
        <w:pStyle w:val="Heading3"/>
      </w:pPr>
      <w:r>
        <w:t>Criterios de aceptación (pruebas mínimas)</w:t>
      </w:r>
    </w:p>
    <w:p>
      <w:r>
        <w:rPr>
          <w:b w:val="0"/>
          <w:i w:val="0"/>
          <w:sz w:val="19"/>
        </w:rPr>
        <w:t>Anulación total; devolución parcial proporcional; contracargo; reverso post-dispersión; reverso de inversión usada; diferencia pendiente de conciliación; Puntos/Oportunidad reversados; ningún registro original borrado.</w:t>
      </w:r>
    </w:p>
    <w:p>
      <w:pPr>
        <w:pStyle w:val="Heading3"/>
      </w:pPr>
      <w:r>
        <w:t>Rol sugerido</w:t>
      </w:r>
    </w:p>
    <w:p>
      <w:r>
        <w:rPr>
          <w:b w:val="0"/>
          <w:i w:val="0"/>
          <w:sz w:val="19"/>
        </w:rPr>
        <w:t>Backend senior. Depende de MP-05, MP-06, MP-07, MP-12, MP-17. Conviene un mismo dev que MP-06/MP-07.</w:t>
      </w:r>
    </w:p>
    <w:p>
      <w:r>
        <w:br w:type="page"/>
      </w:r>
    </w:p>
    <w:p>
      <w:pPr>
        <w:pStyle w:val="Heading2"/>
      </w:pPr>
      <w:r>
        <w:t>MP-31 · Métricas del empresario: ordinarias, económicas/dispersión, campañas/patrocinios/posventa, marcas de IA</w:t>
      </w:r>
    </w:p>
    <w:p>
      <w:r>
        <w:rPr>
          <w:b/>
          <w:i w:val="0"/>
          <w:sz w:val="19"/>
        </w:rPr>
        <w:t>Fase 3 · Prioridad P3 · Complejidad Media · Estado actual: Pulir · Estimación: 3.5 semanas‑desarrollador (1 persona, 4 h/día)</w:t>
      </w:r>
    </w:p>
    <w:p>
      <w:r>
        <w:rPr>
          <w:b w:val="0"/>
          <w:i w:val="0"/>
          <w:sz w:val="18"/>
        </w:rPr>
        <w:t>Numerales cubiertos: Contrato 4.24 (pág. 73), 6.19 (pág. 121), 7.24 (pág. 178), 10.23 (pág. 233), 16.11–16.17 (pág. 315); GUÍA (Cláusulas 6ª, 10ª, 16ª)</w:t>
      </w:r>
    </w:p>
    <w:p>
      <w:r>
        <w:rPr>
          <w:b w:val="0"/>
          <w:i w:val="0"/>
          <w:sz w:val="18"/>
        </w:rPr>
        <w:t>Dependencias: MP-05, MP-06, MP-07, MP-16, MP-22</w:t>
      </w:r>
    </w:p>
    <w:p>
      <w:pPr>
        <w:pStyle w:val="Heading3"/>
      </w:pPr>
      <w:r>
        <w:t>Objetivo</w:t>
      </w:r>
    </w:p>
    <w:p>
      <w:r>
        <w:rPr>
          <w:b w:val="0"/>
          <w:i w:val="0"/>
        </w:rPr>
        <w:t>El empresario ve métricas ordinarias, económicas y de dispersión, y de campañas/patrocinios/posventa, con estado provisional/definitivo, niveles de atribución y marcas explícitas cuando el dato es estimación, proyección o generado por IA; nunca ve datos individuales de usuarios.</w:t>
      </w:r>
    </w:p>
    <w:p>
      <w:pPr>
        <w:pStyle w:val="Heading3"/>
      </w:pPr>
      <w:r>
        <w:t>Qué existe hoy</w:t>
      </w:r>
    </w:p>
    <w:p>
      <w:r>
        <w:rPr>
          <w:b w:val="0"/>
          <w:i w:val="0"/>
        </w:rPr>
        <w:t>CommercialDashboardServiceImpl (SalesMetrics, DeltaMetric, likes/responses/plays con comparación de período), CommercialReportServiceImpl, ExecutiveReportController, CommercialPageVisit. Features de métricas por plan. (Recordar: los históricos de ventas/payouts no se gatean por el plan actual — sólo las acciones.)</w:t>
      </w:r>
    </w:p>
    <w:p>
      <w:pPr>
        <w:pStyle w:val="Heading3"/>
      </w:pPr>
      <w:r>
        <w:t>Entregables</w:t>
      </w:r>
    </w:p>
    <w:p>
      <w:pPr>
        <w:pStyle w:val="ListBullet"/>
      </w:pPr>
      <w:r>
        <w:t>Panel económico del empresario (Contrato 4.24, 10.23): inversiones, valor antes de IVA, IVA, Inversión Computable, Umbral generado, Saldo de Prosperidad, Ventas Computables, Llaves aplicadas, porciones absorbidas, Bases Comisionables, tarifas, comisiones, IVA en comisiones, retenciones, costos autorizados, valores netos, dispersiones, anulaciones/reversos, movimientos pendientes de conciliación — con estado provisional/definitivo.</w:t>
      </w:r>
    </w:p>
    <w:p>
      <w:pPr>
        <w:pStyle w:val="ListBullet"/>
      </w:pPr>
      <w:r>
        <w:t>Métricas de la Cláusula Sexta (Contrato 6.19): por juego (1.ª/2.ª/3.ª ejecución, oportunidades generadas/usadas/restablecidas/vencidas, Llaves), por video (reproducciones iniciadas/válidas/completadas, tiempo efectivo, pausas), por banner (impresiones, exposiciones efectivas), por encuesta.</w:t>
      </w:r>
    </w:p>
    <w:p>
      <w:pPr>
        <w:pStyle w:val="ListBullet"/>
      </w:pPr>
      <w:r>
        <w:t>Niveles de atribución (Contrato 6.19.7, 7.24): directamente atribuible / razonablemente asociado / inferencia / no determinable; sin doble atribución de una misma compra.</w:t>
      </w:r>
    </w:p>
    <w:p>
      <w:pPr>
        <w:pStyle w:val="ListBullet"/>
      </w:pPr>
      <w:r>
        <w:t>Métricas de campañas/patrocinios/posventa (Contrato 16.13); tipo del dato HISTÓRICO/ESTIMACIÓN/PROYECCIÓN y bloqueo de mensajes que presenten una estimación como resultado garantizado (Parágrafo 6º de la Cláusula 2ª; Contrato 16.16).</w:t>
      </w:r>
    </w:p>
    <w:p>
      <w:pPr>
        <w:pStyle w:val="ListBullet"/>
      </w:pPr>
      <w:r>
        <w:t>Marcado de resultados generados o inferidos con IA (Contrato 16.15).</w:t>
      </w:r>
    </w:p>
    <w:p>
      <w:pPr>
        <w:pStyle w:val="Heading3"/>
      </w:pPr>
      <w:r>
        <w:t>Criterios de aceptación (pruebas mínimas)</w:t>
      </w:r>
    </w:p>
    <w:p>
      <w:r>
        <w:rPr>
          <w:b w:val="0"/>
          <w:i w:val="0"/>
          <w:sz w:val="19"/>
        </w:rPr>
        <w:t>Panel económico completo con provisional/definitivo; métricas por juego/video/banner/encuesta; atribución sin doble conteo; proyección marcada como estimación; sin datos individuales de usuarios.</w:t>
      </w:r>
    </w:p>
    <w:p>
      <w:pPr>
        <w:pStyle w:val="Heading3"/>
      </w:pPr>
      <w:r>
        <w:t>Rol sugerido</w:t>
      </w:r>
    </w:p>
    <w:p>
      <w:r>
        <w:rPr>
          <w:b w:val="0"/>
          <w:i w:val="0"/>
          <w:sz w:val="19"/>
        </w:rPr>
        <w:t>Backend semi-senior + frontend. Depende de MP-05/06/07, MP-16, MP-22.</w:t>
      </w:r>
    </w:p>
    <w:p>
      <w:r>
        <w:br w:type="page"/>
      </w:r>
    </w:p>
    <w:p>
      <w:pPr>
        <w:pStyle w:val="Heading2"/>
      </w:pPr>
      <w:r>
        <w:t>MP-32 · Motor central de reglas parametrizables, versionamiento contractual y jerarquía documental</w:t>
      </w:r>
    </w:p>
    <w:p>
      <w:r>
        <w:rPr>
          <w:b/>
          <w:i w:val="0"/>
          <w:sz w:val="19"/>
        </w:rPr>
        <w:t>Fase 3 · Prioridad P3 · Complejidad Alta · Estado actual: Pulir · Estimación: 3.5 semanas‑desarrollador (1 persona, 4 h/día)</w:t>
      </w:r>
    </w:p>
    <w:p>
      <w:r>
        <w:rPr>
          <w:b w:val="0"/>
          <w:i w:val="0"/>
          <w:sz w:val="18"/>
        </w:rPr>
        <w:t>Numerales cubiertos: Contrato 1.16–1.17 (pág. 9), 2.53–2.56 (pág. 26), 19.1–19.15 (pág. 342), 22.x (pág. 365), Parágrafos 1º y 7º de la Cláusula 2ª; GUÍA (Cláusulas 2ª, 19ª, 22ª)</w:t>
      </w:r>
    </w:p>
    <w:p>
      <w:r>
        <w:rPr>
          <w:b w:val="0"/>
          <w:i w:val="0"/>
          <w:sz w:val="18"/>
        </w:rPr>
        <w:t>Dependencias: —</w:t>
      </w:r>
    </w:p>
    <w:p>
      <w:pPr>
        <w:pStyle w:val="Heading3"/>
      </w:pPr>
      <w:r>
        <w:t>Objetivo</w:t>
      </w:r>
    </w:p>
    <w:p>
      <w:r>
        <w:rPr>
          <w:b w:val="0"/>
          <w:i w:val="0"/>
        </w:rPr>
        <w:t>Un motor central de reglas parametrizables (una sola fuente por concepto, sin motores duplicados de cálculo/estado/permisos) y un versionamiento contractual real: cada versión de contrato / Condiciones Particulares / matriz económica con fecha de vigencia; los cambios relevantes requieren comunicación y aceptación.</w:t>
      </w:r>
    </w:p>
    <w:p>
      <w:pPr>
        <w:pStyle w:val="Heading3"/>
      </w:pPr>
      <w:r>
        <w:t>Qué existe hoy</w:t>
      </w:r>
    </w:p>
    <w:p>
      <w:r>
        <w:rPr>
          <w:b w:val="0"/>
          <w:i w:val="0"/>
        </w:rPr>
        <w:t>Plan y PlanFeature versionados; PricingConfig; EffectivePlanResolver con overrides; FeatureFlagInterceptor; LegalDocument/LegalDocumentController para T&amp;C. Falta la bitácora completa de parametrización y la aceptación de cambios contractuales relevantes.</w:t>
      </w:r>
    </w:p>
    <w:p>
      <w:pPr>
        <w:pStyle w:val="Heading3"/>
      </w:pPr>
      <w:r>
        <w:t>Entregables</w:t>
      </w:r>
    </w:p>
    <w:p>
      <w:pPr>
        <w:pStyle w:val="ListBullet"/>
      </w:pPr>
      <w:r>
        <w:t>Bitácora de parametrización del numeral 2.53 para TODA regla configurable: nombre, valor anterior, valor nuevo, fecha/hora de vigencia, responsable, motivo, ámbito, versión (Contrato 2.53).</w:t>
      </w:r>
    </w:p>
    <w:p>
      <w:pPr>
        <w:pStyle w:val="ListBullet"/>
      </w:pPr>
      <w:r>
        <w:t>Motor central de reglas: identificar concepto → localizar regla específica de la cláusula → consultar versión → aplicar → registrar; evitar motores duplicados (Parágrafo 1º de la Cláusula 2ª; GUÍA “Motor central de reglas”).</w:t>
      </w:r>
    </w:p>
    <w:p>
      <w:pPr>
        <w:pStyle w:val="ListBullet"/>
      </w:pPr>
      <w:r>
        <w:t>Clasificación de modificaciones (técnicas/parametrizaciones vs. contractuales o económicas relevantes) y gobierno de aprobación interna (Contrato 19.2–19.3).</w:t>
      </w:r>
    </w:p>
    <w:p>
      <w:pPr>
        <w:pStyle w:val="ListBullet"/>
      </w:pPr>
      <w:r>
        <w:t>Aplicación prospectiva y conservación de condiciones anteriores; para cambios relevantes: comunicación + aceptación del empresario y registro de ‘falta de aceptación’ (Contrato 19.5–19.6, 19.13–19.14).</w:t>
      </w:r>
    </w:p>
    <w:p>
      <w:pPr>
        <w:pStyle w:val="ListBullet"/>
      </w:pPr>
      <w:r>
        <w:t>Condiciones Particulares como entidad que individualiza valores/herramientas/cupos/porcentajes/vigencias sin contradecir el contrato; jerarquía documental y prevalencia (Contrato 2.54, 1.16).</w:t>
      </w:r>
    </w:p>
    <w:p>
      <w:pPr>
        <w:pStyle w:val="ListBullet"/>
      </w:pPr>
      <w:r>
        <w:t>Pruebas piloto / funcionalidades experimentales y medidas urgentes de seguridad (Contrato 19.8–19.9).</w:t>
      </w:r>
    </w:p>
    <w:p>
      <w:pPr>
        <w:pStyle w:val="Heading3"/>
      </w:pPr>
      <w:r>
        <w:t>Criterios de aceptación (pruebas mínimas)</w:t>
      </w:r>
    </w:p>
    <w:p>
      <w:r>
        <w:rPr>
          <w:b w:val="0"/>
          <w:i w:val="0"/>
          <w:sz w:val="19"/>
        </w:rPr>
        <w:t>Cambio de parámetro con bitácora completa; regla general vs. regla especial; cambio de versión sin efecto retroactivo; cambio contractual relevante requiere aceptación; falta de aceptación registrada; Condición Particular no contradice el contrato.</w:t>
      </w:r>
    </w:p>
    <w:p>
      <w:pPr>
        <w:pStyle w:val="Heading3"/>
      </w:pPr>
      <w:r>
        <w:t>Rol sugerido</w:t>
      </w:r>
    </w:p>
    <w:p>
      <w:r>
        <w:rPr>
          <w:b w:val="0"/>
          <w:i w:val="0"/>
          <w:sz w:val="19"/>
        </w:rPr>
        <w:t>Backend senior/arquitecto. Transversal; conviene arrancarlo temprano en paralelo con Fase 1.</w:t>
      </w:r>
    </w:p>
    <w:p>
      <w:r>
        <w:br w:type="page"/>
      </w:r>
    </w:p>
    <w:p>
      <w:pPr>
        <w:pStyle w:val="Heading2"/>
      </w:pPr>
      <w:r>
        <w:t>MP-33 · Consentimiento electrónico, gestión documental contractual y Evidencia Digital</w:t>
      </w:r>
    </w:p>
    <w:p>
      <w:r>
        <w:rPr>
          <w:b/>
          <w:i w:val="0"/>
          <w:sz w:val="19"/>
        </w:rPr>
        <w:t>Fase 3 · Prioridad P3 · Complejidad Media · Estado actual: Pulir · Estimación: 2.5 semanas‑desarrollador (1 persona, 4 h/día)</w:t>
      </w:r>
    </w:p>
    <w:p>
      <w:r>
        <w:rPr>
          <w:b w:val="0"/>
          <w:i w:val="0"/>
          <w:sz w:val="18"/>
        </w:rPr>
        <w:t>Numerales cubiertos: Contrato 1.11 (pág. 6), 2.55, 2.58 (pág. 26), 22.x (pág. 365) y Hoja Final de Aceptación (pág. 379); GUÍA 2.55, 2.58</w:t>
      </w:r>
    </w:p>
    <w:p>
      <w:r>
        <w:rPr>
          <w:b w:val="0"/>
          <w:i w:val="0"/>
          <w:sz w:val="18"/>
        </w:rPr>
        <w:t>Dependencias: MP-32</w:t>
      </w:r>
    </w:p>
    <w:p>
      <w:pPr>
        <w:pStyle w:val="Heading3"/>
      </w:pPr>
      <w:r>
        <w:t>Objetivo</w:t>
      </w:r>
    </w:p>
    <w:p>
      <w:r>
        <w:rPr>
          <w:b w:val="0"/>
          <w:i w:val="0"/>
        </w:rPr>
        <w:t>Toda aceptación electrónica (contrato, Condiciones Particulares, nueva matriz, autorizaciones) queda con evidencia que acredita identidad, consentimiento, integridad del texto, fecha/hora y versión aceptada; los documentos históricos se conservan íntegros y consultables.</w:t>
      </w:r>
    </w:p>
    <w:p>
      <w:pPr>
        <w:pStyle w:val="Heading3"/>
      </w:pPr>
      <w:r>
        <w:t>Qué existe hoy</w:t>
      </w:r>
    </w:p>
    <w:p>
      <w:r>
        <w:rPr>
          <w:b w:val="0"/>
          <w:i w:val="0"/>
        </w:rPr>
        <w:t>ESignatureServiceImpl + ZapSignESignatureProvider + ZapSignWebhook; CommercialContract con esignature_* ; LegalDocument/LegalDocumentController para T&amp;C versionados. Falta ligar cada decisión relevante a la evidencia y versión exacta de cada documento.</w:t>
      </w:r>
    </w:p>
    <w:p>
      <w:pPr>
        <w:pStyle w:val="Heading3"/>
      </w:pPr>
      <w:r>
        <w:t>Entregables</w:t>
      </w:r>
    </w:p>
    <w:p>
      <w:pPr>
        <w:pStyle w:val="ListBullet"/>
      </w:pPr>
      <w:r>
        <w:t>Registro de consentimiento electrónico por documento y versión (Contrato 2.55, 1.11): identidad, autenticación, individualización del documento y versión, fecha/hora, evidencia, consulta posterior.</w:t>
      </w:r>
    </w:p>
    <w:p>
      <w:pPr>
        <w:pStyle w:val="ListBullet"/>
      </w:pPr>
      <w:r>
        <w:t>Vincular a cada decisión relevante (activación, cambio de condición económica, aceptación de nueva matriz, autorización de datos) la evidencia de aceptación y la versión de cada documento aceptado (Contrato 22.x, Parágrafo 3º de la Cláusula 19ª).</w:t>
      </w:r>
    </w:p>
    <w:p>
      <w:pPr>
        <w:pStyle w:val="ListBullet"/>
      </w:pPr>
      <w:r>
        <w:t>Gestión documental contractual: contrato, Condiciones Particulares, anexos, políticas, reglas de funcionalidades; los manuales de programación NO se incorporan como obligación contractual salvo remisión expresa (Contrato 2.56).</w:t>
      </w:r>
    </w:p>
    <w:p>
      <w:pPr>
        <w:pStyle w:val="ListBullet"/>
      </w:pPr>
      <w:r>
        <w:t>Hoja Final de Aceptación Electrónica con todos los elementos exigidos (Contrato pág. 379).</w:t>
      </w:r>
    </w:p>
    <w:p>
      <w:pPr>
        <w:pStyle w:val="Heading3"/>
      </w:pPr>
      <w:r>
        <w:t>Criterios de aceptación (pruebas mínimas)</w:t>
      </w:r>
    </w:p>
    <w:p>
      <w:r>
        <w:rPr>
          <w:b w:val="0"/>
          <w:i w:val="0"/>
          <w:sz w:val="19"/>
        </w:rPr>
        <w:t>Aceptación con casilla no premarcada; evidencia de identidad + versión; consulta de documento histórico anterior a una modificación; presentación de un documento no cuenta como aceptación.</w:t>
      </w:r>
    </w:p>
    <w:p>
      <w:pPr>
        <w:pStyle w:val="Heading3"/>
      </w:pPr>
      <w:r>
        <w:t>Rol sugerido</w:t>
      </w:r>
    </w:p>
    <w:p>
      <w:r>
        <w:rPr>
          <w:b w:val="0"/>
          <w:i w:val="0"/>
          <w:sz w:val="19"/>
        </w:rPr>
        <w:t>Backend semi-senior. Depende de MP-32.</w:t>
      </w:r>
    </w:p>
    <w:p>
      <w:r>
        <w:br w:type="page"/>
      </w:r>
    </w:p>
    <w:p>
      <w:pPr>
        <w:pStyle w:val="Heading2"/>
      </w:pPr>
      <w:r>
        <w:t>MP-34 · Trazabilidad transversal, idempotencia y auditoría integral (controles transversales de la guía)</w:t>
      </w:r>
    </w:p>
    <w:p>
      <w:r>
        <w:rPr>
          <w:b/>
          <w:i w:val="0"/>
          <w:sz w:val="19"/>
        </w:rPr>
        <w:t>Fase 1 · Prioridad P1 · Complejidad Alta · Estado actual: Pulir · Estimación: 3 semanas‑desarrollador (1 persona, 4 h/día)</w:t>
      </w:r>
    </w:p>
    <w:p>
      <w:r>
        <w:rPr>
          <w:b w:val="0"/>
          <w:i w:val="0"/>
          <w:sz w:val="18"/>
        </w:rPr>
        <w:t>Numerales cubiertos: Contrato 1.18 (pág. 12), 2.57 (pág. 27), 3.19 (pág. 48), 7.25 (pág. 178); GUÍA “Controles transversales” y 2.57</w:t>
      </w:r>
    </w:p>
    <w:p>
      <w:r>
        <w:rPr>
          <w:b w:val="0"/>
          <w:i w:val="0"/>
          <w:sz w:val="18"/>
        </w:rPr>
        <w:t>Dependencias: —</w:t>
      </w:r>
    </w:p>
    <w:p>
      <w:pPr>
        <w:pStyle w:val="Heading3"/>
      </w:pPr>
      <w:r>
        <w:t>Objetivo</w:t>
      </w:r>
    </w:p>
    <w:p>
      <w:r>
        <w:rPr>
          <w:b w:val="0"/>
          <w:i w:val="0"/>
        </w:rPr>
        <w:t>Controles transversales presentes en todos los módulos: identificadores permanentes (no depender de nombre/teléfono/correo), idempotencia en registros/aceptaciones/pagos/activaciones/cambios de estado, prohibición de sobrescritura destructiva de historia, conservación de la versión de reglas y documentos usada en cada decisión, y auditoría reconstruible.</w:t>
      </w:r>
    </w:p>
    <w:p>
      <w:pPr>
        <w:pStyle w:val="Heading3"/>
      </w:pPr>
      <w:r>
        <w:t>Qué existe hoy</w:t>
      </w:r>
    </w:p>
    <w:p>
      <w:r>
        <w:rPr>
          <w:b w:val="0"/>
          <w:i w:val="0"/>
        </w:rPr>
        <w:t>OutboxEvent/OutboxStatus (entrega confiable de eventos), AuditLog + AuditLogAdminController, @Version optimista en algunas entidades, idempotencia en webhooks Wompi/ZapSign, CorrelationIdFilter. Cobertura parcial y no uniforme.</w:t>
      </w:r>
    </w:p>
    <w:p>
      <w:pPr>
        <w:pStyle w:val="Heading3"/>
      </w:pPr>
      <w:r>
        <w:t>Entregables</w:t>
      </w:r>
    </w:p>
    <w:p>
      <w:pPr>
        <w:pStyle w:val="ListBullet"/>
      </w:pPr>
      <w:r>
        <w:t>Guía/estándar de idempotencia aplicable a todos los endpoints con efecto económico o de estado (clave de idempotencia, tabla de deduplicación) (GUÍA “Controles transversales”, Contrato 7.25).</w:t>
      </w:r>
    </w:p>
    <w:p>
      <w:pPr>
        <w:pStyle w:val="ListBullet"/>
      </w:pPr>
      <w:r>
        <w:t>Prohibición sistémica de UPDATE/DELETE sobre registros históricos económicos y de estado; patrón de asiento de ajuste + versión (Contrato 1.17, 10.27).</w:t>
      </w:r>
    </w:p>
    <w:p>
      <w:pPr>
        <w:pStyle w:val="ListBullet"/>
      </w:pPr>
      <w:r>
        <w:t>Sellado de la versión de reglas/documentos/matriz en cada decisión relevante (transversal; consumido por MP-05/06/07/32/33).</w:t>
      </w:r>
    </w:p>
    <w:p>
      <w:pPr>
        <w:pStyle w:val="ListBullet"/>
      </w:pPr>
      <w:r>
        <w:t>Auditoría integral: reconstrucción cronológica de expediente, operación y libros mayores; who/when/what/why en cada cambio (Contrato 1.18, 2.57).</w:t>
      </w:r>
    </w:p>
    <w:p>
      <w:pPr>
        <w:pStyle w:val="ListBullet"/>
      </w:pPr>
      <w:r>
        <w:t>Registro del canal en operaciones multicanal con un solo ID_OPERACIÓN (a MP-35).</w:t>
      </w:r>
    </w:p>
    <w:p>
      <w:pPr>
        <w:pStyle w:val="Heading3"/>
      </w:pPr>
      <w:r>
        <w:t>Criterios de aceptación (pruebas mínimas)</w:t>
      </w:r>
    </w:p>
    <w:p>
      <w:r>
        <w:rPr>
          <w:b w:val="0"/>
          <w:i w:val="0"/>
          <w:sz w:val="19"/>
        </w:rPr>
        <w:t>Doble envío de una solicitud no duplica efecto; intento de editar un registro histórico (bloqueado); reconstrucción cronológica completa; cada decisión guarda su versión de reglas; correlación de una operación iniciada en web y confirmada por otro canal.</w:t>
      </w:r>
    </w:p>
    <w:p>
      <w:pPr>
        <w:pStyle w:val="Heading3"/>
      </w:pPr>
      <w:r>
        <w:t>Rol sugerido</w:t>
      </w:r>
    </w:p>
    <w:p>
      <w:r>
        <w:rPr>
          <w:b w:val="0"/>
          <w:i w:val="0"/>
          <w:sz w:val="19"/>
        </w:rPr>
        <w:t>Backend senior/arquitecto. Transversal; define patrones que el resto de MP deben seguir — arrancar en Fase 1.</w:t>
      </w:r>
    </w:p>
    <w:p>
      <w:r>
        <w:br w:type="page"/>
      </w:r>
    </w:p>
    <w:p>
      <w:pPr>
        <w:pStyle w:val="Heading2"/>
      </w:pPr>
      <w:r>
        <w:t>MP-35 · Comunicaciones multicanal y registro central (web como fuente oficial + WhatsApp/SMS/email)</w:t>
      </w:r>
    </w:p>
    <w:p>
      <w:r>
        <w:rPr>
          <w:b/>
          <w:i w:val="0"/>
          <w:sz w:val="19"/>
        </w:rPr>
        <w:t>Fase 3 · Prioridad P3 · Complejidad Media · Estado actual: Pulir · Estimación: 2.5 semanas‑desarrollador (1 persona, 4 h/día)</w:t>
      </w:r>
    </w:p>
    <w:p>
      <w:r>
        <w:rPr>
          <w:b w:val="0"/>
          <w:i w:val="0"/>
          <w:sz w:val="18"/>
        </w:rPr>
        <w:t>Numerales cubiertos: Contrato 2.3 (pág. 15), 21.1–21.x y sus 5 parágrafos (pág. 359); GUÍA 2.3</w:t>
      </w:r>
    </w:p>
    <w:p>
      <w:r>
        <w:rPr>
          <w:b w:val="0"/>
          <w:i w:val="0"/>
          <w:sz w:val="18"/>
        </w:rPr>
        <w:t>Dependencias: MP-34</w:t>
      </w:r>
    </w:p>
    <w:p>
      <w:pPr>
        <w:pStyle w:val="Heading3"/>
      </w:pPr>
      <w:r>
        <w:t>Objetivo</w:t>
      </w:r>
    </w:p>
    <w:p>
      <w:r>
        <w:rPr>
          <w:b w:val="0"/>
          <w:i w:val="0"/>
        </w:rPr>
        <w:t>La Plataforma web es la fuente oficial; WhatsApp, SMS, correo y la app móvil son canales complementarios conectados al mismo sistema; toda comunicación con efectos contractuales queda registrada (qué, cuándo, canal, destinatario, operación, versión).</w:t>
      </w:r>
    </w:p>
    <w:p>
      <w:pPr>
        <w:pStyle w:val="Heading3"/>
      </w:pPr>
      <w:r>
        <w:t>Qué existe hoy</w:t>
      </w:r>
    </w:p>
    <w:p>
      <w:r>
        <w:rPr>
          <w:b w:val="0"/>
          <w:i w:val="0"/>
        </w:rPr>
        <w:t>email (SendGrid + plantillas), TwilioSmsServiceImpl, NotificationController + Notification + NotificationType, WebSocketConfig/WebSocketEventListener, outbox para entrega confiable. Sólo se guarda ‘disponibilidad de WhatsApp’ como dato.</w:t>
      </w:r>
    </w:p>
    <w:p>
      <w:pPr>
        <w:pStyle w:val="Heading3"/>
      </w:pPr>
      <w:r>
        <w:t>Entregables</w:t>
      </w:r>
    </w:p>
    <w:p>
      <w:pPr>
        <w:pStyle w:val="ListBullet"/>
      </w:pPr>
      <w:r>
        <w:t>Registro central de comunicaciones relevantes: contenido/plantilla, canal, destinatario, operación asociada, versión de documento/regla, estado de entrega (Contrato 21.x, Parágrafo 1º).</w:t>
      </w:r>
    </w:p>
    <w:p>
      <w:pPr>
        <w:pStyle w:val="ListBullet"/>
      </w:pPr>
      <w:r>
        <w:t>WhatsApp como canal formal integrado (envío de enlaces seguros, confirmaciones) con el mismo ID_OPERACIÓN (Contrato 2.3, 21.x Parágrafo 5º).</w:t>
      </w:r>
    </w:p>
    <w:p>
      <w:pPr>
        <w:pStyle w:val="ListBullet"/>
      </w:pPr>
      <w:r>
        <w:t>Distinción comunicación ≠ aceptación: la comunicación de un hecho/estado/documento no sustituye la aceptación expresa (Contrato 21.x Parágrafo 2º).</w:t>
      </w:r>
    </w:p>
    <w:p>
      <w:pPr>
        <w:pStyle w:val="ListBullet"/>
      </w:pPr>
      <w:r>
        <w:t>Grabaciones de voz: tratamiento conforme a normativa, conservación para seguridad/soporte/defensa, sin sustituir aceptación escrita (Contrato 21.x Parágrafo 3º).</w:t>
      </w:r>
    </w:p>
    <w:p>
      <w:pPr>
        <w:pStyle w:val="Heading3"/>
      </w:pPr>
      <w:r>
        <w:t>Criterios de aceptación (pruebas mínimas)</w:t>
      </w:r>
    </w:p>
    <w:p>
      <w:r>
        <w:rPr>
          <w:b w:val="0"/>
          <w:i w:val="0"/>
          <w:sz w:val="19"/>
        </w:rPr>
        <w:t>Comunicación con efectos registrada con canal y versión; operación multicanal con un solo ID; falta de lectura de una alerta no altera un hecho registrado; envío por WhatsApp de enlace seguro.</w:t>
      </w:r>
    </w:p>
    <w:p>
      <w:pPr>
        <w:pStyle w:val="Heading3"/>
      </w:pPr>
      <w:r>
        <w:t>Rol sugerido</w:t>
      </w:r>
    </w:p>
    <w:p>
      <w:r>
        <w:rPr>
          <w:b w:val="0"/>
          <w:i w:val="0"/>
          <w:sz w:val="19"/>
        </w:rPr>
        <w:t>Backend semi-senior. Depende de MP-34.</w:t>
      </w:r>
    </w:p>
    <w:p>
      <w:r>
        <w:br w:type="page"/>
      </w:r>
    </w:p>
    <w:p>
      <w:pPr>
        <w:pStyle w:val="Heading2"/>
      </w:pPr>
      <w:r>
        <w:t>MP-36 · Régimen de Aliados Estratégicos (telecom/conectividad/streaming) — contratos independientes</w:t>
      </w:r>
    </w:p>
    <w:p>
      <w:r>
        <w:rPr>
          <w:b/>
          <w:i w:val="0"/>
          <w:sz w:val="19"/>
        </w:rPr>
        <w:t>Fase 3 · Prioridad P3 · Complejidad Alta · Estado actual: Nuevo · Estimación: 3 semanas‑desarrollador (1 persona, 4 h/día)</w:t>
      </w:r>
    </w:p>
    <w:p>
      <w:r>
        <w:rPr>
          <w:b w:val="0"/>
          <w:i w:val="0"/>
          <w:sz w:val="18"/>
        </w:rPr>
        <w:t>Numerales cubiertos: Contrato 5.14 (pág. 86), 7.1 (pág. 133), 10.22 (pág. 232), 12.26 (pág. 265); GUÍA (Cláusula 5ª)</w:t>
      </w:r>
    </w:p>
    <w:p>
      <w:r>
        <w:rPr>
          <w:b w:val="0"/>
          <w:i w:val="0"/>
          <w:sz w:val="18"/>
        </w:rPr>
        <w:t>Dependencias: MP-06, MP-07, MP-08</w:t>
      </w:r>
    </w:p>
    <w:p>
      <w:pPr>
        <w:pStyle w:val="Heading3"/>
      </w:pPr>
      <w:r>
        <w:t>Objetivo</w:t>
      </w:r>
    </w:p>
    <w:p>
      <w:r>
        <w:rPr>
          <w:b w:val="0"/>
          <w:i w:val="0"/>
        </w:rPr>
        <w:t>Las operaciones de telecomunicaciones, conectividad, portabilidad, TV por suscripción, streaming y servicios satelitales NO usan las tarifas ordinarias 10/15 %: van por contrato/anexo independiente de Aliado Estratégico, con facturación, liquidación, conciliación y trazabilidad separadas.</w:t>
      </w:r>
    </w:p>
    <w:p>
      <w:pPr>
        <w:pStyle w:val="Heading3"/>
      </w:pPr>
      <w:r>
        <w:t>Qué existe hoy</w:t>
      </w:r>
    </w:p>
    <w:p>
      <w:r>
        <w:rPr>
          <w:b w:val="0"/>
          <w:i w:val="0"/>
        </w:rPr>
        <w:t>MobilePlan es un stub (provider/price/dataAmount/validityDays). KeyWallet ya separa connectivityKeys. No hay contrato de aliado, ni integración de operador/Puntored, ni separación económica.</w:t>
      </w:r>
    </w:p>
    <w:p>
      <w:pPr>
        <w:pStyle w:val="Heading3"/>
      </w:pPr>
      <w:r>
        <w:t>Entregables</w:t>
      </w:r>
    </w:p>
    <w:p>
      <w:pPr>
        <w:pStyle w:val="ListBullet"/>
      </w:pPr>
      <w:r>
        <w:t>Modelo de Contrato/Anexo de Aliado Estratégico con alcance, vigencia, territorio, productos autorizados, función de cada parte, precios, remuneración de VERYGANA (fija/porcentaje/escalonada/por evento), base/causación/IVA/retenciones/periodicidad, recaudo/conciliación/dispersión, activación/instalación/renovación/suspensión, anulaciones/retractos/reversos, atención de usuarios (Contrato 5.14, 10.22).</w:t>
      </w:r>
    </w:p>
    <w:p>
      <w:pPr>
        <w:pStyle w:val="ListBullet"/>
      </w:pPr>
      <w:r>
        <w:t>Impedir que operaciones de este régimen se registren como productos/servicios ordinarios para obtener otra tarifa (Contrato 5.14, 10.22, 12.26).</w:t>
      </w:r>
    </w:p>
    <w:p>
      <w:pPr>
        <w:pStyle w:val="ListBullet"/>
      </w:pPr>
      <w:r>
        <w:t>Integración con operador/agregador (p. ej. Puntored) para recargas/paquetes de datos y su conciliación; el operador conserva las obligaciones sectoriales, VERYGANA es facilitador (Contrato 6.22.5).</w:t>
      </w:r>
    </w:p>
    <w:p>
      <w:pPr>
        <w:pStyle w:val="ListBullet"/>
      </w:pPr>
      <w:r>
        <w:t>Remuneración provisional hasta acreditar la condición (activación / primera factura pagada / permanencia / ausencia de fraude) (Contrato 5.14).</w:t>
      </w:r>
    </w:p>
    <w:p>
      <w:pPr>
        <w:pStyle w:val="Heading3"/>
      </w:pPr>
      <w:r>
        <w:t>Criterios de aceptación (pruebas mínimas)</w:t>
      </w:r>
    </w:p>
    <w:p>
      <w:r>
        <w:rPr>
          <w:b w:val="0"/>
          <w:i w:val="0"/>
          <w:sz w:val="19"/>
        </w:rPr>
        <w:t>Operación de recarga por régimen especial (no 10/15 %); intento de registrarla como producto ordinario (bloqueado); remuneración provisional hasta activación; conciliación separada.</w:t>
      </w:r>
    </w:p>
    <w:p>
      <w:pPr>
        <w:pStyle w:val="Heading3"/>
      </w:pPr>
      <w:r>
        <w:t>Rol sugerido</w:t>
      </w:r>
    </w:p>
    <w:p>
      <w:r>
        <w:rPr>
          <w:b w:val="0"/>
          <w:i w:val="0"/>
          <w:sz w:val="19"/>
        </w:rPr>
        <w:t>Backend senior + integración con operador. Puede ir al final; depende de MP-06/07/08.</w:t>
      </w:r>
    </w:p>
    <w:p>
      <w:r>
        <w:br w:type="page"/>
      </w:r>
    </w:p>
    <w:p>
      <w:pPr>
        <w:pStyle w:val="Heading2"/>
      </w:pPr>
      <w:r>
        <w:t>MP-37 · Motor de Consentimiento Electrónico y Versionamiento Contractual del Usuario (Consumidor)</w:t>
      </w:r>
    </w:p>
    <w:p>
      <w:r>
        <w:rPr>
          <w:b/>
          <w:i w:val="0"/>
          <w:sz w:val="19"/>
        </w:rPr>
        <w:t>Fase 1 · Prioridad P1 · Complejidad Alta · Estado actual: Pulir/Nuevo · Estimación: 3.5 semanas‑desarrollador (1 persona, 4 h/día)</w:t>
      </w:r>
    </w:p>
    <w:p>
      <w:r>
        <w:rPr>
          <w:b w:val="0"/>
          <w:i w:val="0"/>
          <w:sz w:val="18"/>
        </w:rPr>
        <w:t>Numerales cubiertos: TÉRMINOS USUARIO 1.1–1.10; GUÍA T&amp;C USUARIO 1.1–1.10</w:t>
      </w:r>
    </w:p>
    <w:p>
      <w:r>
        <w:rPr>
          <w:b w:val="0"/>
          <w:i w:val="0"/>
          <w:sz w:val="18"/>
        </w:rPr>
        <w:t>Dependencias: MP-33</w:t>
      </w:r>
    </w:p>
    <w:p>
      <w:pPr>
        <w:pStyle w:val="Heading3"/>
      </w:pPr>
      <w:r>
        <w:t>Objetivo</w:t>
      </w:r>
    </w:p>
    <w:p>
      <w:r>
        <w:rPr>
          <w:b w:val="0"/>
          <w:i w:val="0"/>
        </w:rPr>
        <w:t>Todo documento contractual del Usuario (Términos y Condiciones generales, políticas y Condiciones Particulares de campañas, juegos, Llaves, Conectividad o ruletas) queda versionado y su aceptación registrada en un ledger inmutable e individualizado por documento+versión+funcionalidad, distinguiendo navegar de aceptar y la aceptación general de la aceptación anticipada de Condiciones Particulares futuras.</w:t>
      </w:r>
    </w:p>
    <w:p>
      <w:pPr>
        <w:pStyle w:val="Heading3"/>
      </w:pPr>
      <w:r>
        <w:t>Qué existe hoy</w:t>
      </w:r>
    </w:p>
    <w:p>
      <w:r>
        <w:rPr>
          <w:b w:val="0"/>
          <w:i w:val="0"/>
        </w:rPr>
        <w:t>LegalDocument/LegalDocumentController administra T&amp;C versionados a nivel general. TermsAcceptanceRequestDTO sólo existe dentro de CommercialOnboardingService (aceptación del EMPRESARIO al vincularse, vía ESignatureServiceImpl + ZapSign). No hay equivalente formal para el Usuario/Consumidor: ni registro presentado→aceptado por versión, ni Gateway de Condiciones Particulares por funcionalidad, ni un ledger inmutable de eventos de consentimiento separado del historial genérico de auditoría.</w:t>
      </w:r>
    </w:p>
    <w:p>
      <w:pPr>
        <w:pStyle w:val="Heading3"/>
      </w:pPr>
      <w:r>
        <w:t>Entregables</w:t>
      </w:r>
    </w:p>
    <w:p>
      <w:pPr>
        <w:pStyle w:val="ListBullet"/>
      </w:pPr>
      <w:r>
        <w:t>ContractualDocumentRegistry del consumidor: DOCUMENT_ID, DOCUMENT_TYPE (T&amp;C / Política de Datos / Condición Particular de campaña, juego, Llaves, Conectividad, ruleta), VERSION_ID, EFFECTIVE_FROM/TO, FUNCTIONALITY_ID, ACCEPTANCE_REQUIRED, STATUS {DRAFT/APPROVED/PUBLISHED/ACTIVE/SUPERSEDED/WITHDRAWN/ARCHIVED} (TÉRMINOS 1.1; GUÍA 1.1).</w:t>
      </w:r>
    </w:p>
    <w:p>
      <w:pPr>
        <w:pStyle w:val="ListBullet"/>
      </w:pPr>
      <w:r>
        <w:t>Electronic Consent Engine: presentar documento+versión, registrar PRESENTED_AT/ACCEPTED_AT/ACCEPTANCE_METHOD; validar que la versión no cambió entre presentación y aceptación (TÉRMINOS 1.2; GUÍA 1.2).</w:t>
      </w:r>
    </w:p>
    <w:p>
      <w:pPr>
        <w:pStyle w:val="ListBullet"/>
      </w:pPr>
      <w:r>
        <w:t>Consent Completion Validator: máquina de estados navegación pública → registro iniciado → aceptación pendiente → aceptación completada → Cuenta activada, hoy inexistente de forma explícita (TÉRMINOS 1.3; GUÍA 1.3).</w:t>
      </w:r>
    </w:p>
    <w:p>
      <w:pPr>
        <w:pStyle w:val="ListBullet"/>
      </w:pPr>
      <w:r>
        <w:t>Specific Conditions Acceptance Gateway por funcionalidad (campañas, Llaves, Conectividad, concursos, ruletas, programas de progreso, reservas): bloquear el uso sin la Condición Particular vigente aceptada (TÉRMINOS 1.4; GUÍA 1.4).</w:t>
      </w:r>
    </w:p>
    <w:p>
      <w:pPr>
        <w:pStyle w:val="ListBullet"/>
      </w:pPr>
      <w:r>
        <w:t>Immutable Consent Ledger: USER_ID→DOCUMENT_ID→VERSION_ID→ACCEPTED_AT→ACCEPTANCE_METHOD→EVIDENCE_HASH, sin sobrescribir aceptaciones anteriores (TÉRMINOS 1.7; GUÍA 1.7).</w:t>
      </w:r>
    </w:p>
    <w:p>
      <w:pPr>
        <w:pStyle w:val="ListBullet"/>
      </w:pPr>
      <w:r>
        <w:t>Consent Dependency Access Controller: ante falta de aceptación de una nueva versión, restringir sólo la funcionalidad afectada sin borrar Cuenta, PQR, garantías ni operaciones (TÉRMINOS 1.8; GUÍA 1.8).</w:t>
      </w:r>
    </w:p>
    <w:p>
      <w:pPr>
        <w:pStyle w:val="ListBullet"/>
      </w:pPr>
      <w:r>
        <w:t>Mandatory User Rights Guard transversal: bloquear configuraciones que impliquen renuncia general a derechos del consumidor, autorización ilimitada de datos, cobros no informados o eliminación de PQR (TÉRMINOS 1.9; GUÍA 1.9).</w:t>
      </w:r>
    </w:p>
    <w:p>
      <w:pPr>
        <w:pStyle w:val="Heading3"/>
      </w:pPr>
      <w:r>
        <w:t>Criterios de aceptación (pruebas mínimas)</w:t>
      </w:r>
    </w:p>
    <w:p>
      <w:r>
        <w:rPr>
          <w:b w:val="0"/>
          <w:i w:val="0"/>
          <w:sz w:val="19"/>
        </w:rPr>
        <w:t>Navegación pública sin aceptación; aceptación válida registrada con versión y evidencia; Condición Particular de campaña A no aplica a campaña B; cambio de versión durante el proceso reintroduce presentación; ausencia de aceptación restringe sólo la función afectada; intento de renuncia general a derechos bloqueado.</w:t>
      </w:r>
    </w:p>
    <w:p>
      <w:pPr>
        <w:pStyle w:val="Heading3"/>
      </w:pPr>
      <w:r>
        <w:t>Rol sugerido</w:t>
      </w:r>
    </w:p>
    <w:p>
      <w:r>
        <w:rPr>
          <w:b w:val="0"/>
          <w:i w:val="0"/>
          <w:sz w:val="19"/>
        </w:rPr>
        <w:t>Backend semi-senior/senior. Comparte patrones con MP-33 (consentimiento del Empresario) pero requiere motor propio orientado a Condiciones Particulares de consumo masivo.</w:t>
      </w:r>
    </w:p>
    <w:p>
      <w:r>
        <w:br w:type="page"/>
      </w:r>
    </w:p>
    <w:p>
      <w:pPr>
        <w:pStyle w:val="Heading2"/>
      </w:pPr>
      <w:r>
        <w:t>MP-38 · Registro, Cuenta Única y Mayoría de Edad del Usuario (Consumidor)</w:t>
      </w:r>
    </w:p>
    <w:p>
      <w:r>
        <w:rPr>
          <w:b/>
          <w:i w:val="0"/>
          <w:sz w:val="19"/>
        </w:rPr>
        <w:t>Fase 1 · Prioridad P1 · Complejidad Media · Estado actual: Pulir · Estimación: 2.5 semanas‑desarrollador (1 persona, 4 h/día)</w:t>
      </w:r>
    </w:p>
    <w:p>
      <w:r>
        <w:rPr>
          <w:b w:val="0"/>
          <w:i w:val="0"/>
          <w:sz w:val="18"/>
        </w:rPr>
        <w:t>Numerales cubiertos: TÉRMINOS USUARIO 5.1–5.19; GUÍA T&amp;C USUARIO 3.3–3.4</w:t>
      </w:r>
    </w:p>
    <w:p>
      <w:r>
        <w:rPr>
          <w:b w:val="0"/>
          <w:i w:val="0"/>
          <w:sz w:val="18"/>
        </w:rPr>
        <w:t>Dependencias: —</w:t>
      </w:r>
    </w:p>
    <w:p>
      <w:pPr>
        <w:pStyle w:val="Heading3"/>
      </w:pPr>
      <w:r>
        <w:t>Objetivo</w:t>
      </w:r>
    </w:p>
    <w:p>
      <w:r>
        <w:rPr>
          <w:b w:val="0"/>
          <w:i w:val="0"/>
        </w:rPr>
        <w:t>Sólo personas naturales mayores de 18 años con información verdadera pueden registrarse y mantener una única Cuenta; el cambio de número telefónico, correo o dispositivo preserva la identidad, el historial y los beneficios sin crear una cuenta nueva ni reactivar beneficios vencidos.</w:t>
      </w:r>
    </w:p>
    <w:p>
      <w:pPr>
        <w:pStyle w:val="Heading3"/>
      </w:pPr>
      <w:r>
        <w:t>Qué existe hoy</w:t>
      </w:r>
    </w:p>
    <w:p>
      <w:r>
        <w:rPr>
          <w:b w:val="0"/>
          <w:i w:val="0"/>
        </w:rPr>
        <w:t>ConsumerDetails y el flujo de registro (ConsumerRegisterDTO) existen y capturan datos básicos. No hay declaración explícita de mayoría de edad con causal de rechazo diferenciado, ni motor que distinga posible duplicidad de fraude confirmado, ni reglas explícitas de preservación de antigüedad/Llaves/Puntos/Oportunidades/Participaciones/Categoría/Ranking/Mascota al cambiar el número telefónico.</w:t>
      </w:r>
    </w:p>
    <w:p>
      <w:pPr>
        <w:pStyle w:val="Heading3"/>
      </w:pPr>
      <w:r>
        <w:t>Entregables</w:t>
      </w:r>
    </w:p>
    <w:p>
      <w:pPr>
        <w:pStyle w:val="ListBullet"/>
      </w:pPr>
      <w:r>
        <w:t>User Eligibility Engine: PERSON_ID, DATE_OF_BIRTH, AGE_VALIDATED≥18, TERMS_ACCEPTED, ACCOUNT_STATUS; bloqueo estructural a menores de 18 sin excepción por autorización parental (TÉRMINOS 5.2–5.3; GUÍA 3.3).</w:t>
      </w:r>
    </w:p>
    <w:p>
      <w:pPr>
        <w:pStyle w:val="ListBullet"/>
      </w:pPr>
      <w:r>
        <w:t>Tratamiento de Cuentas de menores confirmadas: terminación sin eliminar Operaciones Perfeccionadas, garantías, reclamaciones ni obligaciones de datos personales; reingreso al cumplir 18 años sin reactivar beneficios vencidos (TÉRMINOS 5.4).</w:t>
      </w:r>
    </w:p>
    <w:p>
      <w:pPr>
        <w:pStyle w:val="ListBullet"/>
      </w:pPr>
      <w:r>
        <w:t>Account Service con estados registro iniciado / pendiente de aceptación / pendiente de verificación / pendiente de activación / activa / restringida preventivamente / suspendida / terminada (TÉRMINOS 5.8; GUÍA 3.4).</w:t>
      </w:r>
    </w:p>
    <w:p>
      <w:pPr>
        <w:pStyle w:val="ListBullet"/>
      </w:pPr>
      <w:r>
        <w:t>Regla de Cuenta única con detección de posible duplicidad sin sanción automática por sola coincidencia: POSIBLE_DUPLICIDAD ≠ FRAUDE_CONFIRMADO (TÉRMINOS 5.7).</w:t>
      </w:r>
    </w:p>
    <w:p>
      <w:pPr>
        <w:pStyle w:val="ListBullet"/>
      </w:pPr>
      <w:r>
        <w:t>Cambio de número telefónico que preserva antigüedad, Llaves, Puntos de Progreso/Excelencia, Oportunidades de Tercera Interacción, Participaciones Promocionales, Categoría, Ranking, Mascota, compras y reclamaciones, sin convertir al Usuario en Nuevo Usuario Beneficiario de Conectividad (TÉRMINOS 5.10–5.12).</w:t>
      </w:r>
    </w:p>
    <w:p>
      <w:pPr>
        <w:pStyle w:val="Heading3"/>
      </w:pPr>
      <w:r>
        <w:t>Criterios de aceptación (pruebas mínimas)</w:t>
      </w:r>
    </w:p>
    <w:p>
      <w:r>
        <w:rPr>
          <w:b w:val="0"/>
          <w:i w:val="0"/>
          <w:sz w:val="19"/>
        </w:rPr>
        <w:t>Adulto se registra; menor rechazado incluso con autorización parental; cambio de número conserva Llaves/Puntos/Ranking/Mascota; posesión de un número reciclado no da acceso a la cuenta anterior; terminación por minoría de edad conserva PQR y garantías.</w:t>
      </w:r>
    </w:p>
    <w:p>
      <w:pPr>
        <w:pStyle w:val="Heading3"/>
      </w:pPr>
      <w:r>
        <w:t>Rol sugerido</w:t>
      </w:r>
    </w:p>
    <w:p>
      <w:r>
        <w:rPr>
          <w:b w:val="0"/>
          <w:i w:val="0"/>
          <w:sz w:val="19"/>
        </w:rPr>
        <w:t>Backend semi-senior.</w:t>
      </w:r>
    </w:p>
    <w:p>
      <w:r>
        <w:br w:type="page"/>
      </w:r>
    </w:p>
    <w:p>
      <w:pPr>
        <w:pStyle w:val="Heading2"/>
      </w:pPr>
      <w:r>
        <w:t>MP-39 · Seguridad de la Cuenta del Usuario: Autenticación, Dispositivos, Recuperación y Alertas</w:t>
      </w:r>
    </w:p>
    <w:p>
      <w:r>
        <w:rPr>
          <w:b/>
          <w:i w:val="0"/>
          <w:sz w:val="19"/>
        </w:rPr>
        <w:t>Fase 2 · Prioridad P2 · Complejidad Alta · Estado actual: Pulir · Estimación: 3 semanas‑desarrollador (1 persona, 4 h/día)</w:t>
      </w:r>
    </w:p>
    <w:p>
      <w:r>
        <w:rPr>
          <w:b w:val="0"/>
          <w:i w:val="0"/>
          <w:sz w:val="18"/>
        </w:rPr>
        <w:t>Numerales cubiertos: TÉRMINOS USUARIO 6.1–6.20; GUÍA T&amp;C USUARIO 2.11</w:t>
      </w:r>
    </w:p>
    <w:p>
      <w:r>
        <w:rPr>
          <w:b w:val="0"/>
          <w:i w:val="0"/>
          <w:sz w:val="18"/>
        </w:rPr>
        <w:t>Dependencias: MP-28, MP-38</w:t>
      </w:r>
    </w:p>
    <w:p>
      <w:pPr>
        <w:pStyle w:val="Heading3"/>
      </w:pPr>
      <w:r>
        <w:t>Objetivo</w:t>
      </w:r>
    </w:p>
    <w:p>
      <w:r>
        <w:rPr>
          <w:b w:val="0"/>
          <w:i w:val="0"/>
        </w:rPr>
        <w:t>La Cuenta del consumidor exige autenticación reforzada por riesgo, detecta accesos inusuales con Alertas que nunca equivalen a fraude confirmado, permite recuperación preservando la identidad digital, y prohíbe explícitamente bots, scripts y automatización no autorizada.</w:t>
      </w:r>
    </w:p>
    <w:p>
      <w:pPr>
        <w:pStyle w:val="Heading3"/>
      </w:pPr>
      <w:r>
        <w:t>Qué existe hoy</w:t>
      </w:r>
    </w:p>
    <w:p>
      <w:r>
        <w:rPr>
          <w:b w:val="0"/>
          <w:i w:val="0"/>
        </w:rPr>
        <w:t>SecurityConfig, AccountLockService, SecurityMonitoringService, SecurityEventAdminController y AuditLogAdminController ya cubren buena parte de la capa general de seguridad (ver también MP-28/MP-34), pero no están formalizados como reglas específicas del consumidor: autenticación reforzada condicionada a eventos de riesgo (cambio de número, dispositivo no reconocido, Redención de beneficios), consulta de dispositivos/sesiones propias por el Usuario, ni la distinción formal “recuperación de Cuenta ≠ Cuenta nueva ≠ reactivación automática de beneficios vencidos”.</w:t>
      </w:r>
    </w:p>
    <w:p>
      <w:pPr>
        <w:pStyle w:val="Heading3"/>
      </w:pPr>
      <w:r>
        <w:t>Entregables</w:t>
      </w:r>
    </w:p>
    <w:p>
      <w:pPr>
        <w:pStyle w:val="ListBullet"/>
      </w:pPr>
      <w:r>
        <w:t>Autenticación reforzada condicionada a: recuperar Cuenta, modificar información relevante, cambiar número telefónico, acceder desde dispositivo no reconocido, operaciones de mayor riesgo, Redención de beneficios (TÉRMINOS 6.5).</w:t>
      </w:r>
    </w:p>
    <w:p>
      <w:pPr>
        <w:pStyle w:val="ListBullet"/>
      </w:pPr>
      <w:r>
        <w:t>Registro de dispositivos/sesiones consultable por el Usuario, con cierre de sesión que no implique terminación de Cuenta (TÉRMINOS 6.4, 6.7).</w:t>
      </w:r>
    </w:p>
    <w:p>
      <w:pPr>
        <w:pStyle w:val="ListBullet"/>
      </w:pPr>
      <w:r>
        <w:t>Motor de detección de comportamientos inusuales con flujo Alerta → verificación → decisión; una Alerta automatizada nunca equivale por sí sola a fraude confirmado (TÉRMINOS 6.8–6.9).</w:t>
      </w:r>
    </w:p>
    <w:p>
      <w:pPr>
        <w:pStyle w:val="ListBullet"/>
      </w:pPr>
      <w:r>
        <w:t>Prohibición técnica de bots/scripts/macros/emuladores/automatización no autorizada, con excepción expresa de herramientas de accesibilidad e IA legítima (TÉRMINOS 6.10).</w:t>
      </w:r>
    </w:p>
    <w:p>
      <w:pPr>
        <w:pStyle w:val="ListBullet"/>
      </w:pPr>
      <w:r>
        <w:t>Recuperación de Cuenta con verificación multi-mecanismo que preserva Llaves/Puntos/Oportunidades/Participaciones/Categoría/Ranking/Mascota/compras/reclamaciones sin reactivar beneficios vencidos durante la pérdida de acceso (TÉRMINOS 6.15–6.16).</w:t>
      </w:r>
    </w:p>
    <w:p>
      <w:pPr>
        <w:pStyle w:val="Heading3"/>
      </w:pPr>
      <w:r>
        <w:t>Criterios de aceptación (pruebas mínimas)</w:t>
      </w:r>
    </w:p>
    <w:p>
      <w:r>
        <w:rPr>
          <w:b w:val="0"/>
          <w:i w:val="0"/>
          <w:sz w:val="19"/>
        </w:rPr>
        <w:t>Acceso desde dispositivo no reconocido exige autenticación reforzada sin bloquear la cuenta; Alerta automatizada no cierra la cuenta por sí sola; recuperación exitosa conserva historial; bot detectado es rechazado; herramienta de accesibilidad legítima no se sanciona.</w:t>
      </w:r>
    </w:p>
    <w:p>
      <w:pPr>
        <w:pStyle w:val="Heading3"/>
      </w:pPr>
      <w:r>
        <w:t>Rol sugerido</w:t>
      </w:r>
    </w:p>
    <w:p>
      <w:r>
        <w:rPr>
          <w:b w:val="0"/>
          <w:i w:val="0"/>
          <w:sz w:val="19"/>
        </w:rPr>
        <w:t>Backend senior con foco en seguridad. Depende de MP-28, MP-38.</w:t>
      </w:r>
    </w:p>
    <w:p>
      <w:r>
        <w:br w:type="page"/>
      </w:r>
    </w:p>
    <w:p>
      <w:pPr>
        <w:pStyle w:val="Heading2"/>
      </w:pPr>
      <w:r>
        <w:t>MP-40 · Mascota Virtual y Asistente Inteligente VERYGANA: Plan de Cuidado, Clínica y Salvaguardas Legales</w:t>
      </w:r>
    </w:p>
    <w:p>
      <w:r>
        <w:rPr>
          <w:b/>
          <w:i w:val="0"/>
          <w:sz w:val="19"/>
        </w:rPr>
        <w:t>Fase 2 · Prioridad P2 · Complejidad Media · Estado actual: Pulir · Estimación: 3 semanas‑desarrollador (1 persona, 4 h/día)</w:t>
      </w:r>
    </w:p>
    <w:p>
      <w:r>
        <w:rPr>
          <w:b w:val="0"/>
          <w:i w:val="0"/>
          <w:sz w:val="18"/>
        </w:rPr>
        <w:t>Numerales cubiertos: TÉRMINOS USUARIO 2.6, 3.64–3.68, 6.19; GUÍA T&amp;C USUARIO 3.64–3.68</w:t>
      </w:r>
    </w:p>
    <w:p>
      <w:r>
        <w:rPr>
          <w:b w:val="0"/>
          <w:i w:val="0"/>
          <w:sz w:val="18"/>
        </w:rPr>
        <w:t>Dependencias: MP-12, MP-41, MP-22</w:t>
      </w:r>
    </w:p>
    <w:p>
      <w:pPr>
        <w:pStyle w:val="Heading3"/>
      </w:pPr>
      <w:r>
        <w:t>Objetivo</w:t>
      </w:r>
    </w:p>
    <w:p>
      <w:r>
        <w:rPr>
          <w:b w:val="0"/>
          <w:i w:val="0"/>
        </w:rPr>
        <w:t>La Mascota Virtual incorpora un Plan de Cuidado Automático prepagado con Llaves, una Clínica de Mascotas para tratamientos virtuales, y las salvaguardas legales de que no es un ser real, un activo financiero ni un servicio veterinario real, sin ser el único canal de comunicaciones esenciales de seguridad.</w:t>
      </w:r>
    </w:p>
    <w:p>
      <w:pPr>
        <w:pStyle w:val="Heading3"/>
      </w:pPr>
      <w:r>
        <w:t>Qué existe hoy</w:t>
      </w:r>
    </w:p>
    <w:p>
      <w:r>
        <w:rPr>
          <w:b w:val="0"/>
          <w:i w:val="0"/>
        </w:rPr>
        <w:t>Existe una base sólida bajo el paquete `pet`: PetPlayerSave (guardado opaco por consumidor, explícitamente “no debe usarse como fuente de verdad para nada que valga dinero”), PetCatalogService (catálogo comprable con Llaves vía `/pet/spend` mediante SpendKeysRequestDTO), PetSceneService (escenas y objetos), PetSessionService (sesiones de 30 min), PetNotificationService, PetAssetService (pipeline de sprites/videos) y CatalogIntegrationRequestService + CommercialPetRequestController + PetCatalogRequestAdminController (un EMPRESARIO solicita integrar un producto patrocinado al catálogo de la mascota, revisado por admin y armado por un diseñador — de hecho un Componente Patrocinado aplicado al juego de mascota, no contemplado en el análisis del Contrato B). Falta: “Plan de Cuidado Automático” (cobertura recurrente prepagada de cuidados básicos); “Clínica de Mascotas” como estado/tratamiento propio (hoy no existe ningún campo de salud/enfermedad server-side — el estado de la mascota vive íntegramente en el blob opaco del cliente); mensajería/disclaimers obligatorios; independencia de las comunicaciones de seguridad respecto del canal de notificaciones de la Mascota.</w:t>
      </w:r>
    </w:p>
    <w:p>
      <w:pPr>
        <w:pStyle w:val="Heading3"/>
      </w:pPr>
      <w:r>
        <w:t>Entregables</w:t>
      </w:r>
    </w:p>
    <w:p>
      <w:pPr>
        <w:pStyle w:val="ListBullet"/>
      </w:pPr>
      <w:r>
        <w:t>Auto Care Scheduler (Plan de Cuidado Automático): activación con validación de pago en Llaves, PLAN_START/PLAN_END/INCLUDED_CARES, ejecutando únicamente los cuidados expresamente incluidos (TÉRMINOS 3.66; GUÍA 3.66).</w:t>
      </w:r>
    </w:p>
    <w:p>
      <w:pPr>
        <w:pStyle w:val="ListBullet"/>
      </w:pPr>
      <w:r>
        <w:t>Virtual Pet Clinic (Clínica de Mascotas): CONDITION_STATE server-side (hoy inexistente) y catálogo de VIRTUAL_TREATMENT con costo en Llaves, protegido contra doble cobro (TÉRMINOS 3.68; GUÍA 3.68).</w:t>
      </w:r>
    </w:p>
    <w:p>
      <w:pPr>
        <w:pStyle w:val="ListBullet"/>
      </w:pPr>
      <w:r>
        <w:t>Salvaguardas y mensajería obligatoria: “Mascota Virtual = experiencia digital”, nunca presentada como animal real, persona o activo financiero; “Clínica Virtual ≠ servicio veterinario real”; ítems del catálogo identificados como recursos digitales salvo indicación expresa distinta (TÉRMINOS 3.64, 3.67–3.68; GUÍA 3.64, 3.67–3.68).</w:t>
      </w:r>
    </w:p>
    <w:p>
      <w:pPr>
        <w:pStyle w:val="ListBullet"/>
      </w:pPr>
      <w:r>
        <w:t>Independencia de comunicaciones de seguridad: alertas de autenticación, cambios de credenciales y dispositivos nuevos no dependen exclusivamente del canal de notificaciones de la Mascota (TÉRMINOS 6.19).</w:t>
      </w:r>
    </w:p>
    <w:p>
      <w:pPr>
        <w:pStyle w:val="ListBullet"/>
      </w:pPr>
      <w:r>
        <w:t>No obligatoriedad de uso: “no usa Mascota” no constituye incumplimiento contractual (TÉRMINOS 2.6).</w:t>
      </w:r>
    </w:p>
    <w:p>
      <w:pPr>
        <w:pStyle w:val="Heading3"/>
      </w:pPr>
      <w:r>
        <w:t>Criterios de aceptación (pruebas mínimas)</w:t>
      </w:r>
    </w:p>
    <w:p>
      <w:r>
        <w:rPr>
          <w:b w:val="0"/>
          <w:i w:val="0"/>
          <w:sz w:val="19"/>
        </w:rPr>
        <w:t>Activación de Plan de Cuidado con Llaves suficientes; cuidado no incluido no se cobra automáticamente; tratamiento de Clínica actualiza el estado sin doble cobro; mensaje de la Mascota nunca sustituye una alerta de seguridad crítica; Usuario que ignora la Mascota no recibe sanción.</w:t>
      </w:r>
    </w:p>
    <w:p>
      <w:pPr>
        <w:pStyle w:val="Heading3"/>
      </w:pPr>
      <w:r>
        <w:t>Rol sugerido</w:t>
      </w:r>
    </w:p>
    <w:p>
      <w:r>
        <w:rPr>
          <w:b w:val="0"/>
          <w:i w:val="0"/>
          <w:sz w:val="19"/>
        </w:rPr>
        <w:t>Backend semi-senior + frontend/Unity. Depende de MP-12, MP-41, MP-22 (reutilizar el patrón de CatalogIntegrationRequestService como Componente Patrocinado).</w:t>
      </w:r>
    </w:p>
    <w:p>
      <w:r>
        <w:br w:type="page"/>
      </w:r>
    </w:p>
    <w:p>
      <w:pPr>
        <w:pStyle w:val="Heading2"/>
      </w:pPr>
      <w:r>
        <w:t>MP-41 · Naturaleza y Libro Mayor de Llaves del Usuario: Estados, Vigencia Mensual y Prioridad de Vencimiento</w:t>
      </w:r>
    </w:p>
    <w:p>
      <w:r>
        <w:rPr>
          <w:b/>
          <w:i w:val="0"/>
          <w:sz w:val="19"/>
        </w:rPr>
        <w:t>Fase 1 · Prioridad P1 · Complejidad Alta · Estado actual: Pulir · Estimación: 3.5 semanas‑desarrollador (1 persona, 4 h/día)</w:t>
      </w:r>
    </w:p>
    <w:p>
      <w:r>
        <w:rPr>
          <w:b w:val="0"/>
          <w:i w:val="0"/>
          <w:sz w:val="18"/>
        </w:rPr>
        <w:t>Numerales cubiertos: TÉRMINOS USUARIO 8.1–8.22, 10.1–10.32; GUÍA T&amp;C USUARIO 8.1–8.22, 10.1–10.32</w:t>
      </w:r>
    </w:p>
    <w:p>
      <w:r>
        <w:rPr>
          <w:b w:val="0"/>
          <w:i w:val="0"/>
          <w:sz w:val="18"/>
        </w:rPr>
        <w:t>Dependencias: MP-12</w:t>
      </w:r>
    </w:p>
    <w:p>
      <w:pPr>
        <w:pStyle w:val="Heading3"/>
      </w:pPr>
      <w:r>
        <w:t>Objetivo</w:t>
      </w:r>
    </w:p>
    <w:p>
      <w:r>
        <w:rPr>
          <w:b w:val="0"/>
          <w:i w:val="0"/>
        </w:rPr>
        <w:t>Cada Llave del consumidor recorre un ciclo de vida formal (pendiente → consolidada → disponible → reservada → utilizada / restituida / ajustada / reversada → vencida), con vigencia mensual explícita para Llaves ordinarias, consumo prioritario de las próximas a vencer, y un Libro Mayor reconstruible ante reclamación — sin que la Llave constituya jamás dinero, depósito o inversión.</w:t>
      </w:r>
    </w:p>
    <w:p>
      <w:pPr>
        <w:pStyle w:val="Heading3"/>
      </w:pPr>
      <w:r>
        <w:t>Qué existe hoy</w:t>
      </w:r>
    </w:p>
    <w:p>
      <w:r>
        <w:rPr>
          <w:b w:val="0"/>
          <w:i w:val="0"/>
        </w:rPr>
        <w:t>KeyWallet + KeyTransaction + KeyExpiryServiceImpl ya implementan vigencia POR TRANSACCIÓN (cada KeyTransaction tiene su propia fecha de expiración, procesada por lotes vía `findExpiredNotProcessed`) — más maduro de lo que sugería el análisis del Contrato B. Falta formalizar los 9 estados del ciclo de vida como atributo de primera clase (hoy se infieren de campos sueltos), la vigencia MENSUAL como parámetro documentado y visible para el Usuario, la regla “primero en vencer, primero en utilizarse” aplicada en el momento del gasto (no sólo en el batch de expiración), y un servicio de reconstrucción/reclamación de saldo para disputas.</w:t>
      </w:r>
    </w:p>
    <w:p>
      <w:pPr>
        <w:pStyle w:val="Heading3"/>
      </w:pPr>
      <w:r>
        <w:t>Entregables</w:t>
      </w:r>
    </w:p>
    <w:p>
      <w:pPr>
        <w:pStyle w:val="ListBullet"/>
      </w:pPr>
      <w:r>
        <w:t>Máquina de 9 estados (pendiente/consolidado/disponible/reservado/utilizado/restituido/ajustado/reversado/vencido) como atributo de primera clase en KeyTransaction (TÉRMINOS 10.5; GUÍA 10.5).</w:t>
      </w:r>
    </w:p>
    <w:p>
      <w:pPr>
        <w:pStyle w:val="ListBullet"/>
      </w:pPr>
      <w:r>
        <w:t>Parámetro de vigencia mensual explícito y visible para el Usuario, incluyendo Llaves próximas a vencer (TÉRMINOS 10.19–10.20).</w:t>
      </w:r>
    </w:p>
    <w:p>
      <w:pPr>
        <w:pStyle w:val="ListBullet"/>
      </w:pPr>
      <w:r>
        <w:t>Regla de consumo: aplicar primero, entre las Llaves elegibles para la operación, las de vigencia más próxima (TÉRMINOS 10.22).</w:t>
      </w:r>
    </w:p>
    <w:p>
      <w:pPr>
        <w:pStyle w:val="ListBullet"/>
      </w:pPr>
      <w:r>
        <w:t>Prevención de doble gasto reforzada (reserva/confirmación/idempotencia) sobre KeyWallet (TÉRMINOS 10.23).</w:t>
      </w:r>
    </w:p>
    <w:p>
      <w:pPr>
        <w:pStyle w:val="ListBullet"/>
      </w:pPr>
      <w:r>
        <w:t>Servicio de reconstrucción de saldo para atención de reclamaciones con fórmula auditable: SALDO_ANTERIOR + INCORPORADAS + RESTITUIDAS ± AJUSTES − UTILIZADAS − VENCIDAS = SALDO_RESULTANTE (TÉRMINOS 10.27).</w:t>
      </w:r>
    </w:p>
    <w:p>
      <w:pPr>
        <w:pStyle w:val="ListBullet"/>
      </w:pPr>
      <w:r>
        <w:t>Separación explícita del régimen de Conectividad (a MP-49) respecto del saldo ordinario de Llaves (TÉRMINOS 10.30).</w:t>
      </w:r>
    </w:p>
    <w:p>
      <w:pPr>
        <w:pStyle w:val="Heading3"/>
      </w:pPr>
      <w:r>
        <w:t>Criterios de aceptación (pruebas mínimas)</w:t>
      </w:r>
    </w:p>
    <w:p>
      <w:r>
        <w:rPr>
          <w:b w:val="0"/>
          <w:i w:val="0"/>
          <w:sz w:val="19"/>
        </w:rPr>
        <w:t>Llave ordinaria no usada dentro del mes vence; entre varias Llaves elegibles se consume primero la más próxima a vencer; reclamación de saldo se resuelve con fórmula reconstruible; vencimiento no se trata como sanción; ajuste conserva Trazabilidad sin duplicar.</w:t>
      </w:r>
    </w:p>
    <w:p>
      <w:pPr>
        <w:pStyle w:val="Heading3"/>
      </w:pPr>
      <w:r>
        <w:t>Rol sugerido</w:t>
      </w:r>
    </w:p>
    <w:p>
      <w:r>
        <w:rPr>
          <w:b w:val="0"/>
          <w:i w:val="0"/>
          <w:sz w:val="19"/>
        </w:rPr>
        <w:t>Backend senior. Depende de MP-12; alimenta MP-42, MP-43, MP-44 y MP-45.</w:t>
      </w:r>
    </w:p>
    <w:p>
      <w:r>
        <w:br w:type="page"/>
      </w:r>
    </w:p>
    <w:p>
      <w:pPr>
        <w:pStyle w:val="Heading2"/>
      </w:pPr>
      <w:r>
        <w:t>MP-42 · Motor de Causación de Llaves: Actividad Válida, Tiempo Efectivo y Reconocimiento Condicionado</w:t>
      </w:r>
    </w:p>
    <w:p>
      <w:r>
        <w:rPr>
          <w:b/>
          <w:i w:val="0"/>
          <w:sz w:val="19"/>
        </w:rPr>
        <w:t>Fase 1 · Prioridad P1 · Complejidad Alta · Estado actual: Pulir · Estimación: 3 semanas‑desarrollador (1 persona, 4 h/día)</w:t>
      </w:r>
    </w:p>
    <w:p>
      <w:r>
        <w:rPr>
          <w:b w:val="0"/>
          <w:i w:val="0"/>
          <w:sz w:val="18"/>
        </w:rPr>
        <w:t>Numerales cubiertos: TÉRMINOS USUARIO 9.1–9.30; GUÍA T&amp;C USUARIO 9.1–9.30</w:t>
      </w:r>
    </w:p>
    <w:p>
      <w:r>
        <w:rPr>
          <w:b w:val="0"/>
          <w:i w:val="0"/>
          <w:sz w:val="18"/>
        </w:rPr>
        <w:t>Dependencias: MP-09, MP-17, MP-18, MP-41</w:t>
      </w:r>
    </w:p>
    <w:p>
      <w:pPr>
        <w:pStyle w:val="Heading3"/>
      </w:pPr>
      <w:r>
        <w:t>Objetivo</w:t>
      </w:r>
    </w:p>
    <w:p>
      <w:r>
        <w:rPr>
          <w:b w:val="0"/>
          <w:i w:val="0"/>
        </w:rPr>
        <w:t>Ninguna Llave se causa por la sola apertura de una actividad: se exige una Actividad Válida verificable, con Tiempo Efectivo de Participación cuando aplique, diferenciando el cálculo matemático de la causación jurídica, con reconocimiento inmediato o condicionado según la campaña, límites de causación, anti-duplicación y Trazabilidad del evento de origen.</w:t>
      </w:r>
    </w:p>
    <w:p>
      <w:pPr>
        <w:pStyle w:val="Heading3"/>
      </w:pPr>
      <w:r>
        <w:t>Qué existe hoy</w:t>
      </w:r>
    </w:p>
    <w:p>
      <w:r>
        <w:rPr>
          <w:b w:val="0"/>
          <w:i w:val="0"/>
        </w:rPr>
        <w:t>ActivityType + XpKeyTransactionLog + UserLevel reconocen XP/Llaves por acción (SURVEY/VIDEO/GAME/REFERRAL/PURCHASE) de forma plana — no diferencian formalmente “actividad registrada” de “Actividad Válida”, no miden un Tiempo Efectivo de Participación transversal (AdWatchSession sólo lo hace para anuncios), no separan cálculo matemático de causación jurídica, y no modelan “reconocimiento condicionado” fuera del caso puntual de Conectividad.</w:t>
      </w:r>
    </w:p>
    <w:p>
      <w:pPr>
        <w:pStyle w:val="Heading3"/>
      </w:pPr>
      <w:r>
        <w:t>Entregables</w:t>
      </w:r>
    </w:p>
    <w:p>
      <w:pPr>
        <w:pStyle w:val="ListBullet"/>
      </w:pPr>
      <w:r>
        <w:t>Activity Validation Engine transversal: ACTIVITY_ID, ACTIVITY_STATUS, VALIDATION_RULE_VERSION, reutilizable por juegos, encuestas, compras y recomendaciones (TÉRMINOS 9.6; GUÍA 9.6).</w:t>
      </w:r>
    </w:p>
    <w:p>
      <w:pPr>
        <w:pStyle w:val="ListBullet"/>
      </w:pPr>
      <w:r>
        <w:t>Fórmula general de Tiempo Efectivo para actividades temporizadas: LLAVES = SEGUNDOS_EFECTIVOS × 16 / 60 (coincide con la regla de banners de MP-18, aquí generalizada a toda actividad con medición de tiempo) (TÉRMINOS 9.8–9.9).</w:t>
      </w:r>
    </w:p>
    <w:p>
      <w:pPr>
        <w:pStyle w:val="ListBullet"/>
      </w:pPr>
      <w:r>
        <w:t>Estados de asignación inmediata vs. condicionada, con Progreso Promocional Provisional separado del saldo disponible mientras no se cumpla la condición (TÉRMINOS 9.12–9.13).</w:t>
      </w:r>
    </w:p>
    <w:p>
      <w:pPr>
        <w:pStyle w:val="ListBullet"/>
      </w:pPr>
      <w:r>
        <w:t>Anti-doble-causación por hecho generador y límites de causación configurables (diario/semanal/mensual/por actividad/por campaña) (TÉRMINOS 9.17, 9.21).</w:t>
      </w:r>
    </w:p>
    <w:p>
      <w:pPr>
        <w:pStyle w:val="ListBullet"/>
      </w:pPr>
      <w:r>
        <w:t>Reglas explícitas anti-captación/anti-pirámide para el programa de recomendaciones: “recomendar Usuarios ≠ inversión”, “vinculación ≠ pirámide”, “Llaves ≠ rentabilidad financiera” (TÉRMINOS 9.19–9.20) — alimenta MP-48.</w:t>
      </w:r>
    </w:p>
    <w:p>
      <w:pPr>
        <w:pStyle w:val="ListBullet"/>
      </w:pPr>
      <w:r>
        <w:t>Trazabilidad del evento de origen (Usuario, actividad, campaña, Tiempo Efectivo, fórmula, versión) sin eliminación injustificada del historial ante ajustes (TÉRMINOS 9.27–9.28).</w:t>
      </w:r>
    </w:p>
    <w:p>
      <w:pPr>
        <w:pStyle w:val="Heading3"/>
      </w:pPr>
      <w:r>
        <w:t>Criterios de aceptación (pruebas mínimas)</w:t>
      </w:r>
    </w:p>
    <w:p>
      <w:r>
        <w:rPr>
          <w:b w:val="0"/>
          <w:i w:val="0"/>
          <w:sz w:val="19"/>
        </w:rPr>
        <w:t>Apertura sin completar la actividad no causa Llaves; el Tiempo Efectivo excluye pausas y automatización; una actividad condicionada permanece provisional hasta consolidar; el mismo hecho generador no duplica causación; el límite diario/semanal se aplica; una recomendación sin vinculación efectiva no genera incentivo.</w:t>
      </w:r>
    </w:p>
    <w:p>
      <w:pPr>
        <w:pStyle w:val="Heading3"/>
      </w:pPr>
      <w:r>
        <w:t>Rol sugerido</w:t>
      </w:r>
    </w:p>
    <w:p>
      <w:r>
        <w:rPr>
          <w:b w:val="0"/>
          <w:i w:val="0"/>
          <w:sz w:val="19"/>
        </w:rPr>
        <w:t>Backend senior. Depende de MP-09, MP-17, MP-18, MP-41.</w:t>
      </w:r>
    </w:p>
    <w:p>
      <w:r>
        <w:br w:type="page"/>
      </w:r>
    </w:p>
    <w:p>
      <w:pPr>
        <w:pStyle w:val="Heading2"/>
      </w:pPr>
      <w:r>
        <w:t>MP-43 · Utilización de Llaves: Confirmación, Reserva, Simulación y Prevención de Doble Gasto</w:t>
      </w:r>
    </w:p>
    <w:p>
      <w:r>
        <w:rPr>
          <w:b/>
          <w:i w:val="0"/>
          <w:sz w:val="19"/>
        </w:rPr>
        <w:t>Fase 2 · Prioridad P2 · Complejidad Media · Estado actual: Pulir · Estimación: 2.5 semanas‑desarrollador (1 persona, 4 h/día)</w:t>
      </w:r>
    </w:p>
    <w:p>
      <w:r>
        <w:rPr>
          <w:b w:val="0"/>
          <w:i w:val="0"/>
          <w:sz w:val="18"/>
        </w:rPr>
        <w:t>Numerales cubiertos: TÉRMINOS USUARIO 11.1–11.34; GUÍA T&amp;C USUARIO 11.1–11.34</w:t>
      </w:r>
    </w:p>
    <w:p>
      <w:r>
        <w:rPr>
          <w:b w:val="0"/>
          <w:i w:val="0"/>
          <w:sz w:val="18"/>
        </w:rPr>
        <w:t>Dependencias: MP-12, MP-41</w:t>
      </w:r>
    </w:p>
    <w:p>
      <w:pPr>
        <w:pStyle w:val="Heading3"/>
      </w:pPr>
      <w:r>
        <w:t>Objetivo</w:t>
      </w:r>
    </w:p>
    <w:p>
      <w:r>
        <w:rPr>
          <w:b w:val="0"/>
          <w:i w:val="0"/>
        </w:rPr>
        <w:t>La utilización de Llaves en una operación distingue formalmente simulación, selección, reserva temporal y consumo definitivo, exige confirmación expresa del Usuario, y protege contra manipulación de interfaz que altere su voluntad real como comprador.</w:t>
      </w:r>
    </w:p>
    <w:p>
      <w:pPr>
        <w:pStyle w:val="Heading3"/>
      </w:pPr>
      <w:r>
        <w:t>Qué existe hoy</w:t>
      </w:r>
    </w:p>
    <w:p>
      <w:r>
        <w:rPr>
          <w:b w:val="0"/>
          <w:i w:val="0"/>
        </w:rPr>
        <w:t>Copayment aplica Llaves directamente en el checkout (keysUsed + cashAmountCents) sin un estado intermedio de “reserva” formal previo a la confirmación, ni distinción explícita entre simulación, Redención, reserva y consumo. No existe un “resumen previo de la operación” como paso backend obligatorio antes de confirmar.</w:t>
      </w:r>
    </w:p>
    <w:p>
      <w:pPr>
        <w:pStyle w:val="Heading3"/>
      </w:pPr>
      <w:r>
        <w:t>Entregables</w:t>
      </w:r>
    </w:p>
    <w:p>
      <w:pPr>
        <w:pStyle w:val="ListBullet"/>
      </w:pPr>
      <w:r>
        <w:t>Estados REVISAR ≠ CONFIRMAR con resumen previo obligatorio (producto/precio/Porción en Llaves/Porción Monetaria/costos adicionales) antes de perfeccionar la operación (TÉRMINOS 11.5–11.6).</w:t>
      </w:r>
    </w:p>
    <w:p>
      <w:pPr>
        <w:pStyle w:val="ListBullet"/>
      </w:pPr>
      <w:r>
        <w:t>Reserva temporal de Llaves durante el procesamiento, liberada si la operación no se perfecciona (TÉRMINOS 11.10, 11.26).</w:t>
      </w:r>
    </w:p>
    <w:p>
      <w:pPr>
        <w:pStyle w:val="ListBullet"/>
      </w:pPr>
      <w:r>
        <w:t>Utilización parcial: sólo se descuenta lo efectivamente aplicado, el remanente conserva vigencia (TÉRMINOS 11.12).</w:t>
      </w:r>
    </w:p>
    <w:p>
      <w:pPr>
        <w:pStyle w:val="ListBullet"/>
      </w:pPr>
      <w:r>
        <w:t>Controles anti dark-pattern: ningún mecanismo de interfaz debe provocar consumo de Llaves, aumento de Copago o contratación no seleccionada razonablemente por el Usuario (TÉRMINOS 11.31).</w:t>
      </w:r>
    </w:p>
    <w:p>
      <w:pPr>
        <w:pStyle w:val="ListBullet"/>
      </w:pPr>
      <w:r>
        <w:t>Prevención de doble gasto reforzada con idempotencia ante reintentos o concurrencia (TÉRMINOS 11.27–11.28).</w:t>
      </w:r>
    </w:p>
    <w:p>
      <w:pPr>
        <w:pStyle w:val="Heading3"/>
      </w:pPr>
      <w:r>
        <w:t>Criterios de aceptación (pruebas mínimas)</w:t>
      </w:r>
    </w:p>
    <w:p>
      <w:r>
        <w:rPr>
          <w:b w:val="0"/>
          <w:i w:val="0"/>
          <w:sz w:val="19"/>
        </w:rPr>
        <w:t>La selección de un producto no descuenta Llaves; la reserva se libera si la compra se cancela; la utilización parcial conserva el remanente; un reintento de red no duplica el consumo; una diferencia entre lo mostrado y lo procesado se detecta y corrige.</w:t>
      </w:r>
    </w:p>
    <w:p>
      <w:pPr>
        <w:pStyle w:val="Heading3"/>
      </w:pPr>
      <w:r>
        <w:t>Rol sugerido</w:t>
      </w:r>
    </w:p>
    <w:p>
      <w:r>
        <w:rPr>
          <w:b w:val="0"/>
          <w:i w:val="0"/>
          <w:sz w:val="19"/>
        </w:rPr>
        <w:t>Backend semi-senior. Depende de MP-12, MP-41.</w:t>
      </w:r>
    </w:p>
    <w:p>
      <w:r>
        <w:br w:type="page"/>
      </w:r>
    </w:p>
    <w:p>
      <w:pPr>
        <w:pStyle w:val="Heading2"/>
      </w:pPr>
      <w:r>
        <w:t>MP-44 · Copago y Porción en Llaves: Límite 50 % Ordinario y Fórmula de Combinación</w:t>
      </w:r>
    </w:p>
    <w:p>
      <w:r>
        <w:rPr>
          <w:b/>
          <w:i w:val="0"/>
          <w:sz w:val="19"/>
        </w:rPr>
        <w:t>Fase 2 · Prioridad P2 · Complejidad Media · Estado actual: Pulir · Estimación: 1.5 semanas‑desarrollador (1 persona, 4 h/día)</w:t>
      </w:r>
    </w:p>
    <w:p>
      <w:r>
        <w:rPr>
          <w:b w:val="0"/>
          <w:i w:val="0"/>
          <w:sz w:val="18"/>
        </w:rPr>
        <w:t>Numerales cubiertos: TÉRMINOS USUARIO 12.1–12.6; GUÍA T&amp;C USUARIO 12.1–12.6</w:t>
      </w:r>
    </w:p>
    <w:p>
      <w:r>
        <w:rPr>
          <w:b w:val="0"/>
          <w:i w:val="0"/>
          <w:sz w:val="18"/>
        </w:rPr>
        <w:t>Dependencias: MP-12, MP-43</w:t>
      </w:r>
    </w:p>
    <w:p>
      <w:pPr>
        <w:pStyle w:val="Heading3"/>
      </w:pPr>
      <w:r>
        <w:t>Objetivo</w:t>
      </w:r>
    </w:p>
    <w:p>
      <w:r>
        <w:rPr>
          <w:b w:val="0"/>
          <w:i w:val="0"/>
        </w:rPr>
        <w:t>Toda operación combinable formaliza PORCIÓN_EN_LLAVES = MIN(capacidad disponible, límite autorizado) con tope ordinario del 50 %, y PORCIÓN_MONETARIA = VALOR_A_CARGO − PORCIÓN_EN_LLAVES, sin que el Copago constituya nunca compra de Llaves ni pago por el derecho a jugar.</w:t>
      </w:r>
    </w:p>
    <w:p>
      <w:pPr>
        <w:pStyle w:val="Heading3"/>
      </w:pPr>
      <w:r>
        <w:t>Qué existe hoy</w:t>
      </w:r>
    </w:p>
    <w:p>
      <w:r>
        <w:rPr>
          <w:b w:val="0"/>
          <w:i w:val="0"/>
        </w:rPr>
        <w:t>Copayment ya calcula keysUsed + cashAmountCents, pero con valor fijo de llave (marcado “Divergente” en MP-12) y sin la fórmula MIN(capacidad, límite) documentada como regla de negocio explícita, ni el tope del 50 % como parámetro propio de esta relación con el consumidor.</w:t>
      </w:r>
    </w:p>
    <w:p>
      <w:pPr>
        <w:pStyle w:val="Heading3"/>
      </w:pPr>
      <w:r>
        <w:t>Entregables</w:t>
      </w:r>
    </w:p>
    <w:p>
      <w:pPr>
        <w:pStyle w:val="ListBullet"/>
      </w:pPr>
      <w:r>
        <w:t>Key Portion Calculator: PORCIÓN_EN_LLAVES = MIN(SALDO_DISPONIBLE, LÍMITE_PROMOCIONAL_PERMITIDO), con límite ordinario parametrizado en 50 % (TÉRMINOS 12.5–12.6).</w:t>
      </w:r>
    </w:p>
    <w:p>
      <w:pPr>
        <w:pStyle w:val="ListBullet"/>
      </w:pPr>
      <w:r>
        <w:t>Copayment Calculator: PORCIÓN_MONETARIA = VALOR_A_CARGO_DEL_USUARIO − PORCIÓN_EN_LLAVES, con regla de redondeo consistente (TÉRMINOS 12.4).</w:t>
      </w:r>
    </w:p>
    <w:p>
      <w:pPr>
        <w:pStyle w:val="ListBullet"/>
      </w:pPr>
      <w:r>
        <w:t>Separación conceptual reforzada en UI/API: Copago ≠ compra de Llaves ≠ pago por jugar (TÉRMINOS 12.4).</w:t>
      </w:r>
    </w:p>
    <w:p>
      <w:pPr>
        <w:pStyle w:val="Heading3"/>
      </w:pPr>
      <w:r>
        <w:t>Criterios de aceptación (pruebas mínimas)</w:t>
      </w:r>
    </w:p>
    <w:p>
      <w:r>
        <w:rPr>
          <w:b w:val="0"/>
          <w:i w:val="0"/>
          <w:sz w:val="19"/>
        </w:rPr>
        <w:t>Una operación ordinaria nunca cubre más del 50 % con Llaves; el cálculo de Copago es consistente con el redondeo; un saldo insuficiente permite un Copago mayor sin bloquear la compra.</w:t>
      </w:r>
    </w:p>
    <w:p>
      <w:pPr>
        <w:pStyle w:val="Heading3"/>
      </w:pPr>
      <w:r>
        <w:t>Rol sugerido</w:t>
      </w:r>
    </w:p>
    <w:p>
      <w:r>
        <w:rPr>
          <w:b w:val="0"/>
          <w:i w:val="0"/>
          <w:sz w:val="19"/>
        </w:rPr>
        <w:t>Backend semi-senior. Depende de MP-12, MP-43; conviene desarrollarlo junto con MP-43 por el mismo equipo.</w:t>
      </w:r>
    </w:p>
    <w:p>
      <w:r>
        <w:br w:type="page"/>
      </w:r>
    </w:p>
    <w:p>
      <w:pPr>
        <w:pStyle w:val="Heading2"/>
      </w:pPr>
      <w:r>
        <w:t>MP-45 · Separación de Ledgers por Naturaleza de Beneficio (Llaves/Puntos/Excelencia/Oportunidades/Participaciones/Dinero)</w:t>
      </w:r>
    </w:p>
    <w:p>
      <w:r>
        <w:rPr>
          <w:b/>
          <w:i w:val="0"/>
          <w:sz w:val="19"/>
        </w:rPr>
        <w:t>Fase 1 · Prioridad P1 · Complejidad Alta · Estado actual: Nuevo · Estimación: 3 semanas‑desarrollador (1 persona, 4 h/día)</w:t>
      </w:r>
    </w:p>
    <w:p>
      <w:r>
        <w:rPr>
          <w:b w:val="0"/>
          <w:i w:val="0"/>
          <w:sz w:val="18"/>
        </w:rPr>
        <w:t>Numerales cubiertos: TÉRMINOS USUARIO 2.12; GUÍA T&amp;C USUARIO 2.12</w:t>
      </w:r>
    </w:p>
    <w:p>
      <w:r>
        <w:rPr>
          <w:b w:val="0"/>
          <w:i w:val="0"/>
          <w:sz w:val="18"/>
        </w:rPr>
        <w:t>Dependencias: MP-17, MP-41</w:t>
      </w:r>
    </w:p>
    <w:p>
      <w:pPr>
        <w:pStyle w:val="Heading3"/>
      </w:pPr>
      <w:r>
        <w:t>Objetivo</w:t>
      </w:r>
    </w:p>
    <w:p>
      <w:r>
        <w:rPr>
          <w:b w:val="0"/>
          <w:i w:val="0"/>
        </w:rPr>
        <w:t>Cada tipo de beneficio interno (Llaves, Puntos de Progreso, Puntos de Excelencia, Oportunidades de Tercera Interacción, Participaciones Promocionales, dinero) se administra en un ledger propio e independiente, con metadatos ASSET_TYPE/LEGAL_NATURE/CASH_REDEEMABLE=false/INTEREST_BEARING=false, sin conversión automática entre ellos.</w:t>
      </w:r>
    </w:p>
    <w:p>
      <w:pPr>
        <w:pStyle w:val="Heading3"/>
      </w:pPr>
      <w:r>
        <w:t>Qué existe hoy</w:t>
      </w:r>
    </w:p>
    <w:p>
      <w:r>
        <w:rPr>
          <w:b w:val="0"/>
          <w:i w:val="0"/>
        </w:rPr>
        <w:t>Cada mecanismo vive hoy en su propia tabla (KeyTransaction, XpKeyTransactionLog, etc.) pero sin un modelo común de “ledger tipado” ni metadatos formales que impidan mezclar o convertir tipos de beneficio entre sí a nivel de dominio. MP-17 ya identificó la falta de separación entre Puntos de Progreso/Excelencia y Oportunidad de Tercera Interacción respecto de Llaves; este hallazgo formaliza el patrón de ledger común que debe regir a todos.</w:t>
      </w:r>
    </w:p>
    <w:p>
      <w:pPr>
        <w:pStyle w:val="Heading3"/>
      </w:pPr>
      <w:r>
        <w:t>Entregables</w:t>
      </w:r>
    </w:p>
    <w:p>
      <w:pPr>
        <w:pStyle w:val="ListBullet"/>
      </w:pPr>
      <w:r>
        <w:t>Interfaz/patrón común de Ledger (KEY_LEDGER, PROGRESS_POINTS_LEDGER, EXCELLENCE_POINTS_LEDGER, THIRD_INTERACTION_LEDGER, PROMOTIONAL_PARTICIPATION_LEDGER, MONEY_LEDGER) con SALDO_ANTERIOR + MOVIMIENTO = SALDO_RESULTANTE (TÉRMINOS 2.12; GUÍA 2.12).</w:t>
      </w:r>
    </w:p>
    <w:p>
      <w:pPr>
        <w:pStyle w:val="ListBullet"/>
      </w:pPr>
      <w:r>
        <w:t>Metadatos ASSET_TYPE/LEGAL_NATURE/CASH_REDEEMABLE/INTEREST_BEARING/TRANSFERABLE por tipo, con CASH_REDEEMABLE=false e INTEREST_BEARING=false fijos para todo beneficio promocional (TÉRMINOS 2.12).</w:t>
      </w:r>
    </w:p>
    <w:p>
      <w:pPr>
        <w:pStyle w:val="ListBullet"/>
      </w:pPr>
      <w:r>
        <w:t>Bloqueo estructural de conversión cruzada entre ledgers (p. ej. Puntos → Llaves) salvo regla expresa (TÉRMINOS 2.12).</w:t>
      </w:r>
    </w:p>
    <w:p>
      <w:pPr>
        <w:pStyle w:val="Heading3"/>
      </w:pPr>
      <w:r>
        <w:t>Criterios de aceptación (pruebas mínimas)</w:t>
      </w:r>
    </w:p>
    <w:p>
      <w:r>
        <w:rPr>
          <w:b w:val="0"/>
          <w:i w:val="0"/>
          <w:sz w:val="19"/>
        </w:rPr>
        <w:t>Cada tipo de beneficio vive en su propio ledger consultable; un intento de convertir un tipo en otro se rechaza; ningún beneficio genera intereses; un retiro bancario de cualquier beneficio no monetario se rechaza.</w:t>
      </w:r>
    </w:p>
    <w:p>
      <w:pPr>
        <w:pStyle w:val="Heading3"/>
      </w:pPr>
      <w:r>
        <w:t>Rol sugerido</w:t>
      </w:r>
    </w:p>
    <w:p>
      <w:r>
        <w:rPr>
          <w:b w:val="0"/>
          <w:i w:val="0"/>
          <w:sz w:val="19"/>
        </w:rPr>
        <w:t>Backend senior/arquitecto. Transversal — conviene ejecutarlo junto con MP-17 y MP-41.</w:t>
      </w:r>
    </w:p>
    <w:p>
      <w:r>
        <w:br w:type="page"/>
      </w:r>
    </w:p>
    <w:p>
      <w:pPr>
        <w:pStyle w:val="Heading2"/>
      </w:pPr>
      <w:r>
        <w:t>MP-46 · Diferenciación Legal de Juego Promocional, Juego de Entretenimiento y Actividad Sometida al Azar</w:t>
      </w:r>
    </w:p>
    <w:p>
      <w:r>
        <w:rPr>
          <w:b/>
          <w:i w:val="0"/>
          <w:sz w:val="19"/>
        </w:rPr>
        <w:t>Fase 2 · Prioridad P2 · Complejidad Media · Estado actual: Pulir · Estimación: 2 semanas‑desarrollador (1 persona, 4 h/día)</w:t>
      </w:r>
    </w:p>
    <w:p>
      <w:r>
        <w:rPr>
          <w:b w:val="0"/>
          <w:i w:val="0"/>
          <w:sz w:val="18"/>
        </w:rPr>
        <w:t>Numerales cubiertos: TÉRMINOS USUARIO 2.2, 2.13, 3.21–3.23; GUÍA T&amp;C USUARIO 2.2, 2.13, 3.21–3.23</w:t>
      </w:r>
    </w:p>
    <w:p>
      <w:r>
        <w:rPr>
          <w:b w:val="0"/>
          <w:i w:val="0"/>
          <w:sz w:val="18"/>
        </w:rPr>
        <w:t>Dependencias: MP-16, MP-20</w:t>
      </w:r>
    </w:p>
    <w:p>
      <w:pPr>
        <w:pStyle w:val="Heading3"/>
      </w:pPr>
      <w:r>
        <w:t>Objetivo</w:t>
      </w:r>
    </w:p>
    <w:p>
      <w:r>
        <w:rPr>
          <w:b w:val="0"/>
          <w:i w:val="0"/>
        </w:rPr>
        <w:t>Cada juego se clasifica explícitamente como Juego Promocional (genera beneficios), Juego de Entretenimiento (no garantiza beneficios) o Actividad Sometida al Azar (requiere autorización especial, ya cubierta como Ruleta Excepcional en MP-20), de forma que una misma plantilla tecnológica pueda usarse para dos finalidades distintas sin confundir su naturaleza jurídica.</w:t>
      </w:r>
    </w:p>
    <w:p>
      <w:pPr>
        <w:pStyle w:val="Heading3"/>
      </w:pPr>
      <w:r>
        <w:t>Qué existe hoy</w:t>
      </w:r>
    </w:p>
    <w:p>
      <w:r>
        <w:rPr>
          <w:b w:val="0"/>
          <w:i w:val="0"/>
        </w:rPr>
        <w:t>El módulo `games` (Game, GameConfigDefinition, CampaignServiceImpl) no distingue formalmente GAME_TYPE=PROMOTIONAL vs. ENTERTAINMENT como atributo de primera clase; la clasificación hoy es implícita por la configuración de recompensa.</w:t>
      </w:r>
    </w:p>
    <w:p>
      <w:pPr>
        <w:pStyle w:val="Heading3"/>
      </w:pPr>
      <w:r>
        <w:t>Entregables</w:t>
      </w:r>
    </w:p>
    <w:p>
      <w:pPr>
        <w:pStyle w:val="ListBullet"/>
      </w:pPr>
      <w:r>
        <w:t>Legal Classification and Compliance Gate: ACTIVITY_ID, ACTIVITY_CLASSIFICATION (operación comercial / Juego Promocional / Juego de Entretenimiento / actividad de gamificación / actividad sometida al azar / funcionalidad con autorización especial), AUTHORIZATION_REQUIRED, AUTHORIZATION_STATUS (TÉRMINOS 2.2; GUÍA 2.2).</w:t>
      </w:r>
    </w:p>
    <w:p>
      <w:pPr>
        <w:pStyle w:val="ListBullet"/>
      </w:pPr>
      <w:r>
        <w:t>GAME_TYPE={PROMOTIONAL, ENTERTAINMENT} explícito en la configuración del juego, con REWARD_ENABLED condicionado al tipo (TÉRMINOS 3.21–3.22; GUÍA 3.21–3.22).</w:t>
      </w:r>
    </w:p>
    <w:p>
      <w:pPr>
        <w:pStyle w:val="ListBullet"/>
      </w:pPr>
      <w:r>
        <w:t>Activity Classification Router transversal (GAMIFICATION/COMMERCIAL_OPERATION/PROMOTIONAL_ACTIVITY/REGULATED_CHANCE_ACTIVITY) reutilizado por compras, Llaves y Participaciones Promocionales (TÉRMINOS 2.13; GUÍA 2.13).</w:t>
      </w:r>
    </w:p>
    <w:p>
      <w:pPr>
        <w:pStyle w:val="Heading3"/>
      </w:pPr>
      <w:r>
        <w:t>Criterios de aceptación (pruebas mínimas)</w:t>
      </w:r>
    </w:p>
    <w:p>
      <w:r>
        <w:rPr>
          <w:b w:val="0"/>
          <w:i w:val="0"/>
          <w:sz w:val="19"/>
        </w:rPr>
        <w:t>Un Juego de Entretenimiento sin recompensa configurada no genera beneficios aunque el frontend lo prometa; un Juego Promocional gratuito nunca exige pago por participar; una actividad de azar sin autorización permanece bloqueada (reutiliza MP-20).</w:t>
      </w:r>
    </w:p>
    <w:p>
      <w:pPr>
        <w:pStyle w:val="Heading3"/>
      </w:pPr>
      <w:r>
        <w:t>Rol sugerido</w:t>
      </w:r>
    </w:p>
    <w:p>
      <w:r>
        <w:rPr>
          <w:b w:val="0"/>
          <w:i w:val="0"/>
          <w:sz w:val="19"/>
        </w:rPr>
        <w:t>Backend semi-senior. Depende de MP-16, MP-20.</w:t>
      </w:r>
    </w:p>
    <w:p>
      <w:r>
        <w:br w:type="page"/>
      </w:r>
    </w:p>
    <w:p>
      <w:pPr>
        <w:pStyle w:val="Heading2"/>
      </w:pPr>
      <w:r>
        <w:t>MP-47 · Registro de Funciones y Motor de Responsabilidad según Función Real Desempeñada</w:t>
      </w:r>
    </w:p>
    <w:p>
      <w:r>
        <w:rPr>
          <w:b/>
          <w:i w:val="0"/>
          <w:sz w:val="19"/>
        </w:rPr>
        <w:t>Fase 3 · Prioridad P3 · Complejidad Media · Estado actual: Nuevo · Estimación: 2.5 semanas‑desarrollador (1 persona, 4 h/día)</w:t>
      </w:r>
    </w:p>
    <w:p>
      <w:r>
        <w:rPr>
          <w:b w:val="0"/>
          <w:i w:val="0"/>
          <w:sz w:val="18"/>
        </w:rPr>
        <w:t>Numerales cubiertos: TÉRMINOS USUARIO 4.1–4.20; GUÍA T&amp;C USUARIO 3.1, 3.30, 4.1</w:t>
      </w:r>
    </w:p>
    <w:p>
      <w:r>
        <w:rPr>
          <w:b w:val="0"/>
          <w:i w:val="0"/>
          <w:sz w:val="18"/>
        </w:rPr>
        <w:t>Dependencias: MP-32</w:t>
      </w:r>
    </w:p>
    <w:p>
      <w:pPr>
        <w:pStyle w:val="Heading3"/>
      </w:pPr>
      <w:r>
        <w:t>Objetivo</w:t>
      </w:r>
    </w:p>
    <w:p>
      <w:r>
        <w:rPr>
          <w:b w:val="0"/>
          <w:i w:val="0"/>
        </w:rPr>
        <w:t>Cada operación identifica la función real desempeñada por VERYGANA, el Empresario, la Empresa Premium/patrocinador y terceros (vendedor, comprador, patrocinador, facilitador de Conectividad, administrador del PFE), de modo que la responsabilidad se asigne según esa función y nunca por defecto ni por el solo hecho de la intervención tecnológica.</w:t>
      </w:r>
    </w:p>
    <w:p>
      <w:pPr>
        <w:pStyle w:val="Heading3"/>
      </w:pPr>
      <w:r>
        <w:t>Qué existe hoy</w:t>
      </w:r>
    </w:p>
    <w:p>
      <w:r>
        <w:rPr>
          <w:b w:val="0"/>
          <w:i w:val="0"/>
        </w:rPr>
        <w:t>No existe un registro central de roles por operación; la responsabilidad se infiere implícitamente del módulo (marketplace vs. pet vs. mobilePlans) sin un registro explícito de rol/función por operación.</w:t>
      </w:r>
    </w:p>
    <w:p>
      <w:pPr>
        <w:pStyle w:val="Heading3"/>
      </w:pPr>
      <w:r>
        <w:t>Entregables</w:t>
      </w:r>
    </w:p>
    <w:p>
      <w:pPr>
        <w:pStyle w:val="ListBullet"/>
      </w:pPr>
      <w:r>
        <w:t>Platform Function Registry: FUNCTION_ID, FUNCTION_TYPE, ACTOR_ID, LEGAL_ROLE, RULE_VERSION por operación relevante (TÉRMINOS 4.1–4.2; GUÍA 3.1).</w:t>
      </w:r>
    </w:p>
    <w:p>
      <w:pPr>
        <w:pStyle w:val="ListBullet"/>
      </w:pPr>
      <w:r>
        <w:t>Regla estructural “responsabilidad = función real desempeñada”, aplicada explícitamente a Compra Institucional (MP-09), Patrocinios (MP-22), PFE (MP-08) y Conectividad (MP-08/MP-49), sin exonerar automáticamente a VERYGANA ni trasladar automáticamente obligaciones del Empresario (TÉRMINOS 4.3–4.5, 4.11–4.14).</w:t>
      </w:r>
    </w:p>
    <w:p>
      <w:pPr>
        <w:pStyle w:val="ListBullet"/>
      </w:pPr>
      <w:r>
        <w:t>Marcado explícito de participación directa de VERYGANA (comprador, contratante, financiador, organizador, administrador de un beneficio) cuando corresponda (TÉRMINOS 4.5).</w:t>
      </w:r>
    </w:p>
    <w:p>
      <w:pPr>
        <w:pStyle w:val="Heading3"/>
      </w:pPr>
      <w:r>
        <w:t>Criterios de aceptación (pruebas mínimas)</w:t>
      </w:r>
    </w:p>
    <w:p>
      <w:r>
        <w:rPr>
          <w:b w:val="0"/>
          <w:i w:val="0"/>
          <w:sz w:val="19"/>
        </w:rPr>
        <w:t>Una operación con Empresario directo asigna la responsabilidad de calidad/entrega al Empresario; un error técnico de VERYGANA no se traslada automáticamente al Empresario; una Compra Institucional identifica a VERYGANA como comprador frente al Empresario.</w:t>
      </w:r>
    </w:p>
    <w:p>
      <w:pPr>
        <w:pStyle w:val="Heading3"/>
      </w:pPr>
      <w:r>
        <w:t>Rol sugerido</w:t>
      </w:r>
    </w:p>
    <w:p>
      <w:r>
        <w:rPr>
          <w:b w:val="0"/>
          <w:i w:val="0"/>
          <w:sz w:val="19"/>
        </w:rPr>
        <w:t>Backend senior/arquitecto. Transversal, sin dependencias duras — conviene alinearlo con MP-32.</w:t>
      </w:r>
    </w:p>
    <w:p>
      <w:r>
        <w:br w:type="page"/>
      </w:r>
    </w:p>
    <w:p>
      <w:pPr>
        <w:pStyle w:val="Heading2"/>
      </w:pPr>
      <w:r>
        <w:t>MP-48 · Fortalecimiento del Programa de Recomendación de Usuarios: CUV, Atribución y Prevención de Esquemas Piramidales</w:t>
      </w:r>
    </w:p>
    <w:p>
      <w:r>
        <w:rPr>
          <w:b/>
          <w:i w:val="0"/>
          <w:sz w:val="19"/>
        </w:rPr>
        <w:t>Fase 2 · Prioridad P2 · Complejidad Media · Estado actual: Pulir · Estimación: 2 semanas‑desarrollador (1 persona, 4 h/día)</w:t>
      </w:r>
    </w:p>
    <w:p>
      <w:r>
        <w:rPr>
          <w:b w:val="0"/>
          <w:i w:val="0"/>
          <w:sz w:val="18"/>
        </w:rPr>
        <w:t>Numerales cubiertos: TÉRMINOS USUARIO 3.40–3.47, 9.19–9.20; GUÍA T&amp;C USUARIO 3.40–3.47, 9.19–9.20</w:t>
      </w:r>
    </w:p>
    <w:p>
      <w:r>
        <w:rPr>
          <w:b w:val="0"/>
          <w:i w:val="0"/>
          <w:sz w:val="18"/>
        </w:rPr>
        <w:t>Dependencias: MP-23</w:t>
      </w:r>
    </w:p>
    <w:p>
      <w:pPr>
        <w:pStyle w:val="Heading3"/>
      </w:pPr>
      <w:r>
        <w:t>Objetivo</w:t>
      </w:r>
    </w:p>
    <w:p>
      <w:r>
        <w:rPr>
          <w:b w:val="0"/>
          <w:i w:val="0"/>
        </w:rPr>
        <w:t>El Código Único de Vinculación (CUV) del consumidor atribuye correctamente cada recomendación a un único originador cuando existen varios candidatos, distingue “Empresa Recomendada” de “Empresa Vinculada” y de “Vinculación Empresarial Efectiva”, y blinda legalmente el programa contra su caracterización como esquema de inversión o pirámide.</w:t>
      </w:r>
    </w:p>
    <w:p>
      <w:pPr>
        <w:pStyle w:val="Heading3"/>
      </w:pPr>
      <w:r>
        <w:t>Qué existe hoy</w:t>
      </w:r>
    </w:p>
    <w:p>
      <w:r>
        <w:rPr>
          <w:b w:val="0"/>
          <w:i w:val="0"/>
        </w:rPr>
        <w:t>El módulo `referrals` (ReferralService, ReferralInfoService, ReferralController) ya expone referralCode/referredBy en ConsumerDetails — la base funcional existe. Falta un motor de Atribución de Vinculación cuando varios Usuarios recomiendan a la misma persona/empresa, la distinción formal entre Programa de Recomendaciones (Usuario→Usuario) y Programa de Vinculación e Incentivos (Usuario→Empresa), y los descargos anti-pirámide como reglas de negocio verificables, no sólo texto.</w:t>
      </w:r>
    </w:p>
    <w:p>
      <w:pPr>
        <w:pStyle w:val="Heading3"/>
      </w:pPr>
      <w:r>
        <w:t>Entregables</w:t>
      </w:r>
    </w:p>
    <w:p>
      <w:pPr>
        <w:pStyle w:val="ListBullet"/>
      </w:pPr>
      <w:r>
        <w:t>Attribution Engine: CANDIDATE_REFERRERS, ATTRIBUTED_TO, RULE_VERSION, con regla determinista ante concurrencia de varios CUV sobre la misma persona o empresa (TÉRMINOS 3.45; GUÍA 3.45).</w:t>
      </w:r>
    </w:p>
    <w:p>
      <w:pPr>
        <w:pStyle w:val="ListBullet"/>
      </w:pPr>
      <w:r>
        <w:t>Entidades diferenciadas: Empresa Recomendada (referencia) vs. Vinculación Empresarial Efectiva (registro + contrato + pago + activación) vs. Empresa Vinculada (TÉRMINOS 3.43–3.44).</w:t>
      </w:r>
    </w:p>
    <w:p>
      <w:pPr>
        <w:pStyle w:val="ListBullet"/>
      </w:pPr>
      <w:r>
        <w:t>Reglas anti-captación explícitas en el motor de incentivos: el incentivo nunca deriva del dinero aportado por nuevos participantes, sin devolución de capital, intereses, rentabilidad o dividendos por recomendar (TÉRMINOS 9.20) — alimenta y refuerza MP-42.</w:t>
      </w:r>
    </w:p>
    <w:p>
      <w:pPr>
        <w:pStyle w:val="Heading3"/>
      </w:pPr>
      <w:r>
        <w:t>Criterios de aceptación (pruebas mínimas)</w:t>
      </w:r>
    </w:p>
    <w:p>
      <w:r>
        <w:rPr>
          <w:b w:val="0"/>
          <w:i w:val="0"/>
          <w:sz w:val="19"/>
        </w:rPr>
        <w:t>Dos Usuarios recomiendan a la misma persona → un solo originador según regla determinista; una invitación sin vinculación efectiva no genera incentivo; el sistema no permite configurar un “rendimiento” por recomendación.</w:t>
      </w:r>
    </w:p>
    <w:p>
      <w:pPr>
        <w:pStyle w:val="Heading3"/>
      </w:pPr>
      <w:r>
        <w:t>Rol sugerido</w:t>
      </w:r>
    </w:p>
    <w:p>
      <w:r>
        <w:rPr>
          <w:b w:val="0"/>
          <w:i w:val="0"/>
          <w:sz w:val="19"/>
        </w:rPr>
        <w:t>Backend semi-senior. Depende de MP-23.</w:t>
      </w:r>
    </w:p>
    <w:p>
      <w:r>
        <w:br w:type="page"/>
      </w:r>
    </w:p>
    <w:p>
      <w:pPr>
        <w:pStyle w:val="Heading2"/>
      </w:pPr>
      <w:r>
        <w:t>MP-49 · Beneficios de Conectividad del Usuario: Ciclo Diario, Conectividad Dual y Nuevo Usuario Beneficiario</w:t>
      </w:r>
    </w:p>
    <w:p>
      <w:r>
        <w:rPr>
          <w:b/>
          <w:i w:val="0"/>
          <w:sz w:val="19"/>
        </w:rPr>
        <w:t>Fase 2 · Prioridad P2 · Complejidad Alta · Estado actual: Nuevo · Estimación: 4 semanas‑desarrollador (1 persona, 4 h/día)</w:t>
      </w:r>
    </w:p>
    <w:p>
      <w:r>
        <w:rPr>
          <w:b w:val="0"/>
          <w:i w:val="0"/>
          <w:sz w:val="18"/>
        </w:rPr>
        <w:t>Numerales cubiertos: TÉRMINOS USUARIO 3.13–3.20; GUÍA T&amp;C USUARIO 3.13–3.20</w:t>
      </w:r>
    </w:p>
    <w:p>
      <w:r>
        <w:rPr>
          <w:b w:val="0"/>
          <w:i w:val="0"/>
          <w:sz w:val="18"/>
        </w:rPr>
        <w:t>Dependencias: MP-08, MP-12, MP-36</w:t>
      </w:r>
    </w:p>
    <w:p>
      <w:pPr>
        <w:pStyle w:val="Heading3"/>
      </w:pPr>
      <w:r>
        <w:t>Objetivo</w:t>
      </w:r>
    </w:p>
    <w:p>
      <w:r>
        <w:rPr>
          <w:b w:val="0"/>
          <w:i w:val="0"/>
        </w:rPr>
        <w:t>El Usuario completa un Ciclo Diario de Conectividad (progreso provisional que no es Llaves disponibles) para consolidar un Beneficio de Conectividad Dual (conectividad propia + conectividad para un Nuevo Usuario Beneficiario, otorgada una única vez por persona de por vida), separado del saldo ordinario de Llaves y de un eventual Plan Propio de Conectividad del Usuario.</w:t>
      </w:r>
    </w:p>
    <w:p>
      <w:pPr>
        <w:pStyle w:val="Heading3"/>
      </w:pPr>
      <w:r>
        <w:t>Qué existe hoy</w:t>
      </w:r>
    </w:p>
    <w:p>
      <w:r>
        <w:rPr>
          <w:b w:val="0"/>
          <w:i w:val="0"/>
        </w:rPr>
        <w:t>MobilePlan es un stub (provider/price/dataAmount/validityDays) y KeyWallet.connectivityKeysCents ya separa un sub-saldo de Conectividad, pero no existe ningún Ciclo Diario, Progreso Promocional Provisional, mecanismo de Conectividad Dual, ni el registro de por-vida “Nuevo Usuario Beneficiario” que impide repetir el beneficio de incorporación aunque cambie de número, dispositivo o Cuenta.</w:t>
      </w:r>
    </w:p>
    <w:p>
      <w:pPr>
        <w:pStyle w:val="Heading3"/>
      </w:pPr>
      <w:r>
        <w:t>Entregables</w:t>
      </w:r>
    </w:p>
    <w:p>
      <w:pPr>
        <w:pStyle w:val="ListBullet"/>
      </w:pPr>
      <w:r>
        <w:t>Daily Connectivity Cycle: CYCLE_ID, CYCLE_DATE, PROGRESS, COMPLETED — independiente por día, sin arrastre de progreso incompleto (TÉRMINOS 3.15; GUÍA 3.15).</w:t>
      </w:r>
    </w:p>
    <w:p>
      <w:pPr>
        <w:pStyle w:val="ListBullet"/>
      </w:pPr>
      <w:r>
        <w:t>Provisional Progress Ledger: PROVISIONAL_AMOUNT/AVAILABLE=false/CYCLE_ID, separado del saldo disponible de Llaves (TÉRMINOS 3.16; GUÍA 3.16).</w:t>
      </w:r>
    </w:p>
    <w:p>
      <w:pPr>
        <w:pStyle w:val="ListBullet"/>
      </w:pPr>
      <w:r>
        <w:t>Cycle Consolidation Engine: transición atómica e idempotente de provisional a definitivo, con distribución vigente entre componente propio y componente para Nuevo Usuario (TÉRMINOS 3.17; GUÍA 3.17).</w:t>
      </w:r>
    </w:p>
    <w:p>
      <w:pPr>
        <w:pStyle w:val="ListBullet"/>
      </w:pPr>
      <w:r>
        <w:t>Dual Connectivity Engine: CONECTIVIDAD_DUAL = CONECTIVIDAD_USUARIO + CONECTIVIDAD_NUEVO_USUARIO (TÉRMINOS 3.14; GUÍA 3.14).</w:t>
      </w:r>
    </w:p>
    <w:p>
      <w:pPr>
        <w:pStyle w:val="ListBullet"/>
      </w:pPr>
      <w:r>
        <w:t>Lifetime New Beneficiary Registry: PERSON_ID/BENEFIT_USED/FIRST_REGISTRATION_AT — un beneficio de incorporación por persona para siempre, sin reinicio por cambio de número, operador o Cuenta (TÉRMINOS 3.18; GUÍA 3.18).</w:t>
      </w:r>
    </w:p>
    <w:p>
      <w:pPr>
        <w:pStyle w:val="ListBullet"/>
      </w:pPr>
      <w:r>
        <w:t>Own Connectivity Plan Flow para Usuarios con plan propio, independiente del Ciclo Diario (TÉRMINOS 3.19; GUÍA 3.19).</w:t>
      </w:r>
    </w:p>
    <w:p>
      <w:pPr>
        <w:pStyle w:val="ListBullet"/>
      </w:pPr>
      <w:r>
        <w:t>Connectivity Resource Recirculation Engine: los recursos no consumidos por expiración se liberan hacia el Programa de Fortalecimiento Empresarial, sin crear derecho de retiro del Usuario (TÉRMINOS 3.20; GUÍA 3.20) — conecta con MP-08.</w:t>
      </w:r>
    </w:p>
    <w:p>
      <w:pPr>
        <w:pStyle w:val="Heading3"/>
      </w:pPr>
      <w:r>
        <w:t>Criterios de aceptación (pruebas mínimas)</w:t>
      </w:r>
    </w:p>
    <w:p>
      <w:r>
        <w:rPr>
          <w:b w:val="0"/>
          <w:i w:val="0"/>
          <w:sz w:val="19"/>
        </w:rPr>
        <w:t>Un ciclo incompleto al cierre expira sin consolidar; un ciclo completo consolida y distribuye la Conectividad Dual; una persona ya beneficiaria no puede volver a recibir el beneficio de incorporación aunque cambie de número; un recurso no consumido se recircula al PFE, no al Usuario.</w:t>
      </w:r>
    </w:p>
    <w:p>
      <w:pPr>
        <w:pStyle w:val="Heading3"/>
      </w:pPr>
      <w:r>
        <w:t>Rol sugerido</w:t>
      </w:r>
    </w:p>
    <w:p>
      <w:r>
        <w:rPr>
          <w:b w:val="0"/>
          <w:i w:val="0"/>
          <w:sz w:val="19"/>
        </w:rPr>
        <w:t>Backend senior. Depende de MP-08, MP-12, MP-36 (régimen de Aliados Estratégicos para la integración real del operador).</w:t>
      </w:r>
    </w:p>
    <w:p>
      <w:r>
        <w:br w:type="page"/>
      </w:r>
    </w:p>
    <w:p>
      <w:pPr>
        <w:pStyle w:val="Heading2"/>
      </w:pPr>
      <w:r>
        <w:t>MP-50 · Motor de Suscripción Mensual y Renovación de EMPRESA TIPO A (BASIC): activación, vigencia, vencimiento y estado Inactivo por Falta de Renovación Mensual</w:t>
      </w:r>
    </w:p>
    <w:p>
      <w:pPr/>
      <w:r>
        <w:t>Fase 1 · Prioridad P1 · Complejidad Alta · Estado actual: Pulir/Nuevo · Estimación: 4 semanas‑desarrollador (1 persona, 4 h/día)</w:t>
      </w:r>
    </w:p>
    <w:p>
      <w:pPr/>
      <w:r>
        <w:t>Numerales cubiertos: Contrato A 1.13(g) (pág. 6), 2.14, 2.20–2.21 (pág. 11–12), 4.8–4.9, 4.13 (pág. 19–21), 5.2, 5.16 (pág. 22–23, 29–30); HOJA FINAL secciones 5 y 11 (pág. 89–90, 93–94)</w:t>
      </w:r>
    </w:p>
    <w:p>
      <w:pPr/>
      <w:r>
        <w:t>Dependencias: MP-01, MP-24</w:t>
      </w:r>
    </w:p>
    <w:p>
      <w:pPr>
        <w:pStyle w:val="Heading3"/>
      </w:pPr>
      <w:r>
        <w:t>Objetivo</w:t>
      </w:r>
    </w:p>
    <w:p>
      <w:pPr/>
      <w:r>
        <w:t>El Pago Mensual de EMPRESA TIPO A ($300.000 COP + IVA discriminado) se cobra, activa y renueva mes a mes de forma automática; cuando no se renueva oportunamente la cuenta pasa a INACTIVO POR FALTA DE RENOVACIÓN MENSUAL (bloquea sólo nuevas funcionalidades comerciales, sin terminar el contrato ni borrar el historial) y se reactiva sin fricción en cuanto se valida el pago.</w:t>
      </w:r>
    </w:p>
    <w:p>
      <w:pPr>
        <w:pStyle w:val="Heading3"/>
      </w:pPr>
      <w:r>
        <w:t>Qué existe hoy</w:t>
      </w:r>
    </w:p>
    <w:p>
      <w:pPr/>
      <w:r>
        <w:t>Ya existen Subscription (commercial, plan, wompiReference, amountPaidCents, startDate/endDate, renewalReminderSentAt) y SubscriptionStatus (PENDING_PAYMENT/ACTIVE/EXPIRED/RENEWED/CANCELLED/PAYMENT_FAILED) con métodos activate()/expire()/markAsRenewed()/isCurrentlyActive(), y Plan.BASIC ya trae saleCommissionPct=20 y maxKeysPct=20 (coinciden con el 20 % del contrato). Pero SubscriptionService es un stub vacío (“HACER ESTE MODULO CUANDO SE TENGA LA PASARELA”) y EffectivePlanResolver.resolve() nunca consulta Subscription: para BASIC siempre construye el estado a partir de Plan/PlanFeature/CommercialOnboarding sin comprobar si la Subscription sigue ACTIVE, así que un comercial con la mensualidad vencida conserva canSellDirectly=true y maxProducts=10 indefinidamente. Además Plan.BASIC.monthlyPriceCents = 20.000.000 ($200.000 COP) sin desglose de IVA, mientras el contrato exige $300.000 COP + IVA (2.14, 5.2) y Subscription.amountPaidCents no discrimina IVA.</w:t>
      </w:r>
    </w:p>
    <w:p>
      <w:pPr>
        <w:pStyle w:val="Heading3"/>
      </w:pPr>
      <w:r>
        <w:t>Entregables</w:t>
      </w:r>
    </w:p>
    <w:p>
      <w:pPr>
        <w:pStyle w:val="ListBullet"/>
      </w:pPr>
      <w:r>
        <w:t>Implementar SubscriptionService real: generación de checkout Wompi por referencia (“VG-SUB-{id}-{timestamp}”), confirmación por webhook → activate(), scheduler diario ACTIVE→EXPIRED cuando endDate &lt; now (job análogo al de PayoutScheduler), envío de recordatorio previo al vencimiento usando renewalReminderSentAt (5.16 primer párrafo).</w:t>
      </w:r>
    </w:p>
    <w:p>
      <w:pPr>
        <w:pStyle w:val="ListBullet"/>
      </w:pPr>
      <w:r>
        <w:t>Corregir Plan.BASIC.monthlyPriceCents a 30.000.000 ($300.000 COP) y agregar el desglose de IVA (campo ivaCents o monthlyPriceTotalCents) tanto en Plan como en Subscription, mostrado en el resumen previo a la aceptación (HOJA FINAL sección 5) y en la constancia electrónica (HOJA FINAL sección 12).</w:t>
      </w:r>
    </w:p>
    <w:p>
      <w:pPr>
        <w:pStyle w:val="ListBullet"/>
      </w:pPr>
      <w:r>
        <w:t>Conectar EffectivePlanResolver a Subscription.isCurrentlyActive() para BASIC: hoy el resolver ignora por completo la suscripción; debe bloquear canSellDirectly, la publicación de nuevas Ofertas y la solicitud de nuevos patrocinios cuando la Subscription no esté ACTIVE, sin afectar operaciones, garantías ni reclamaciones anteriores (5.16 literales a–j).</w:t>
      </w:r>
    </w:p>
    <w:p>
      <w:pPr>
        <w:pStyle w:val="ListBullet"/>
      </w:pPr>
      <w:r>
        <w:t>Nuevo estado empresarial INACTIVO_POR_FALTA_DE_RENOVACION_MENSUAL integrado a la máquina única de estados de MP-24 (Contrato B) — mismo nombre y mismos efectos que el numeral 1.13(g)/2.21/4.10(g) del Contrato A, para no duplicar el motor de estados entre modalidades.</w:t>
      </w:r>
    </w:p>
    <w:p>
      <w:pPr>
        <w:pStyle w:val="ListBullet"/>
      </w:pPr>
      <w:r>
        <w:t>Reactivación automática al validar un nuevo pago, sin nueva vinculación y sin reiniciar historial contractual, económico ni reputacional (4.13, 5.16 penúltimo párrafo).</w:t>
      </w:r>
    </w:p>
    <w:p>
      <w:pPr>
        <w:pStyle w:val="Heading3"/>
      </w:pPr>
      <w:r>
        <w:t>Criterios de aceptación (pruebas mínimas)</w:t>
      </w:r>
    </w:p>
    <w:p>
      <w:pPr/>
      <w:r>
        <w:t>Primer pago activa la Subscription (ACTIVE, endDate = +1 mes); pago no confirmado no activa nada; vencimiento sin renovación pasa a EXPIRED y dispara INACTIVO_POR_FALTA_DE_RENOVACION_MENSUAL; mientras está inactivo no se pueden publicar nuevas Ofertas ni solicitar patrocinios, pero sí consultar operaciones anteriores y atender reclamaciones; pago posterior reactiva sin perder historial; recordatorio de renovación no se reenvía dos veces en la misma ventana; IVA mostrado antes de aceptar coincide con $300.000 + IVA.</w:t>
      </w:r>
    </w:p>
    <w:p>
      <w:pPr>
        <w:pStyle w:val="Heading3"/>
      </w:pPr>
      <w:r>
        <w:t>Rol sugerido</w:t>
      </w:r>
    </w:p>
    <w:p>
      <w:pPr/>
      <w:r>
        <w:t>Backend semi-senior/senior con integración Wompi. Coordinar con MP-24 (máquina de estados) para no duplicar la definición del estado.</w:t>
      </w:r>
    </w:p>
    <w:p>
      <w:pPr/>
    </w:p>
    <w:p>
      <w:pPr>
        <w:pStyle w:val="Heading2"/>
      </w:pPr>
      <w:r>
        <w:t>MP-51 · Vocación Empresarial Principal aplicada a EMPRESA TIPO A, sin efecto tarifario</w:t>
      </w:r>
    </w:p>
    <w:p>
      <w:pPr/>
      <w:r>
        <w:t>Fase 1 · Prioridad P1 · Complejidad Media · Estado actual: Nuevo · Estimación: 1.5 semanas‑desarrollador (1 persona, 4 h/día)</w:t>
      </w:r>
    </w:p>
    <w:p>
      <w:pPr/>
      <w:r>
        <w:t>Numerales cubiertos: Contrato A 1.3–1.6, 1.8 (pág. 2–4), 2.5–2.7 (pág. 10), 3.4 (pág. 14), 4.2–4.3 (pág. 17–18), Parágrafos 1º y 3º de la Cláusula 1ª/2ª</w:t>
      </w:r>
    </w:p>
    <w:p>
      <w:pPr/>
      <w:r>
        <w:t>Dependencias: MP-02</w:t>
      </w:r>
    </w:p>
    <w:p>
      <w:pPr>
        <w:pStyle w:val="Heading3"/>
      </w:pPr>
      <w:r>
        <w:t>Objetivo</w:t>
      </w:r>
    </w:p>
    <w:p>
      <w:pPr/>
      <w:r>
        <w:t>EMPRESA TIPO A también tiene una única Vocación Empresarial Principal (PRODUCTOS | SERVICIOS), asignada en caracterización con fecha, fundamento y versión, con efectos de organización y trazabilidad — pero, a diferencia del Contrato B, la vocación NUNCA determina una tarifa de comisión distinta dentro de BASIC (siempre 20 %, 1.4 penúltimo párrafo y 5.5).</w:t>
      </w:r>
    </w:p>
    <w:p>
      <w:pPr>
        <w:pStyle w:val="Heading3"/>
      </w:pPr>
      <w:r>
        <w:t>Qué existe hoy</w:t>
      </w:r>
    </w:p>
    <w:p>
      <w:pPr/>
      <w:r>
        <w:t>Nada: CommercialDetails no tiene ningún campo de vocación para ningún plan (mismo vacío detectado para Tipo B en MP-02). Si MP-02 se construye asumiendo que la vocación siempre cambia la tarifa (10 %/15 % de Tipo B), el motor quedará mal diseñado para BASIC, donde la vocación es puramente informativa/organizativa.</w:t>
      </w:r>
    </w:p>
    <w:p>
      <w:pPr>
        <w:pStyle w:val="Heading3"/>
      </w:pPr>
      <w:r>
        <w:t>Entregables</w:t>
      </w:r>
    </w:p>
    <w:p>
      <w:pPr>
        <w:pStyle w:val="ListBullet"/>
      </w:pPr>
      <w:r>
        <w:t>Generalizar el Enum VocacionEmpresarial {PRODUCTOS, SERVICIOS} y el campo versionado de MP-02 para que se pueda asignar a cualquier plan (BASIC incluido), con fecha efectiva y fundamento (4.3).</w:t>
      </w:r>
    </w:p>
    <w:p>
      <w:pPr>
        <w:pStyle w:val="ListBullet"/>
      </w:pPr>
      <w:r>
        <w:t>Parametrizar en el motor de comisión (MP-06/MP-07) si la vocación afecta la tarifa según el plan: BASIC → no afecta (siempre 20 %); STANDARD → sí afecta (10 %/15 %) — evita si-elses hardcodeados por plan.</w:t>
      </w:r>
    </w:p>
    <w:p>
      <w:pPr>
        <w:pStyle w:val="ListBullet"/>
      </w:pPr>
      <w:r>
        <w:t>Reutilizar las reglas de clasificación EMPRESARIO DE PRODUCTOS / EMPRESARIO DE SERVICIOS del Contrato B (2.6–2.7) sin duplicarlas — son textualmente equivalentes en el Contrato A (2.6–2.7).</w:t>
      </w:r>
    </w:p>
    <w:p>
      <w:pPr>
        <w:pStyle w:val="ListBullet"/>
      </w:pPr>
      <w:r>
        <w:t>Caracterización mínima adicional exigida en 1.3 (calidad en la que actúa, capacidad de facturación, licencias) ya queda cubierta por MP-01/MP-03; sólo falta enlazarla al campo de vocación cuando el plan es BASIC.</w:t>
      </w:r>
    </w:p>
    <w:p>
      <w:pPr>
        <w:pStyle w:val="Heading3"/>
      </w:pPr>
      <w:r>
        <w:t>Criterios de aceptación (pruebas mínimas)</w:t>
      </w:r>
    </w:p>
    <w:p>
      <w:pPr/>
      <w:r>
        <w:t>Clasificación PRODUCTOS o SERVICIOS en un comercial BASIC; comisión sigue siendo 20 % sin importar la vocación asignada; reclasificación prospectiva sin efecto retroactivo; intento de vocación mixta (rechazo); vocación de un comercial BASIC no hereda ni modifica la tarifa de otro plan.</w:t>
      </w:r>
    </w:p>
    <w:p>
      <w:pPr>
        <w:pStyle w:val="Heading3"/>
      </w:pPr>
      <w:r>
        <w:t>Rol sugerido</w:t>
      </w:r>
    </w:p>
    <w:p>
      <w:pPr/>
      <w:r>
        <w:t>Backend semi-senior. Es principalmente generalizar el diseño de MP-02, no construirlo desde cero.</w:t>
      </w:r>
    </w:p>
    <w:p>
      <w:pPr/>
    </w:p>
    <w:p>
      <w:pPr>
        <w:pStyle w:val="Heading2"/>
      </w:pPr>
      <w:r>
        <w:t>MP-52 · Patrocinios de Empresas Premium a EMPRESA TIPO A: restricción del patrocinador por plan y tope del 10 % de la Oferta</w:t>
      </w:r>
    </w:p>
    <w:p>
      <w:pPr/>
      <w:r>
        <w:t>Fase 2 · Prioridad P2 · Complejidad Alta · Estado actual: Pulir/Nuevo · Estimación: 3 semanas‑desarrollador (1 persona, 4 h/día)</w:t>
      </w:r>
    </w:p>
    <w:p>
      <w:pPr/>
      <w:r>
        <w:t>Numerales cubiertos: Contrato A 3.9 (pág. 15–16), 6.8 (pág. 32), 6.10–6.11 (pág. 33–34), 8.10 (pág. 49–50), 9.1–9.12 (pág. 54–59, en particular 9.4 pág. 55–56)</w:t>
      </w:r>
    </w:p>
    <w:p>
      <w:pPr/>
      <w:r>
        <w:t>Dependencias: MP-22, MP-10</w:t>
      </w:r>
    </w:p>
    <w:p>
      <w:pPr>
        <w:pStyle w:val="Heading3"/>
      </w:pPr>
      <w:r>
        <w:t>Objetivo</w:t>
      </w:r>
    </w:p>
    <w:p>
      <w:pPr/>
      <w:r>
        <w:t>Una EMPRESA TIPO A activa y al día puede solicitar y recibir un patrocinio de una Empresa Premium (nunca de una Empresa Tipo B) que incorpore un componente patrocinado dentro de una Oferta propia, con vigencia, condiciones de redención y trazabilidad, cuyo valor comercial de referencia no exceda el 10 % del valor final total de esa Oferta (9.4).</w:t>
      </w:r>
    </w:p>
    <w:p>
      <w:pPr>
        <w:pStyle w:val="Heading3"/>
      </w:pPr>
      <w:r>
        <w:t>Qué existe hoy</w:t>
      </w:r>
    </w:p>
    <w:p>
      <w:pPr/>
      <w:r>
        <w:t>AllyPromotionServiceImpl / AllyProductPromotion resuelve un problema distinto: deja que una Empresa Premium exhiba, en el popup final de sus propios juegos (feature CAN_PROMOTE_ALLY_PRODUCTS), un producto ya publicado por un aliado — hoy isEligibleAlly() acepta como “aliado” a cualquier comercial BASIC o STANDARD, sin componente incorporado dentro de la Oferta del aliado, sin tope de valor, sin vigencia propia ni condiciones de redención, y sin distinguir quién puede actuar como patrocinador. No existe ninguna entidad “Componente Patrocinado” vinculada a una Oferta, ni la validación de que sólo una Empresa Premium (nunca Tipo B, 6.8 último párrafo/8.10) puede patrocinar a una Tipo A.</w:t>
      </w:r>
    </w:p>
    <w:p>
      <w:pPr>
        <w:pStyle w:val="Heading3"/>
      </w:pPr>
      <w:r>
        <w:t>Entregables</w:t>
      </w:r>
    </w:p>
    <w:p>
      <w:pPr>
        <w:pStyle w:val="ListBullet"/>
      </w:pPr>
      <w:r>
        <w:t>Nueva entidad Componente Patrocinado vinculada a una Oferta/Product específica (no al comercial completo como AllyProductPromotion): patrocinador, producto/beneficio patrocinado, valor comercial de referencia, vigencia, condiciones de utilización/redención (9.4, 9.5).</w:t>
      </w:r>
    </w:p>
    <w:p>
      <w:pPr>
        <w:pStyle w:val="ListBullet"/>
      </w:pPr>
      <w:r>
        <w:t>Validación VALOR_COMPONENTE_PATROCINADO ≤ 10 % × VALOR_FINAL_TOTAL_OFERTA, rechazando o recortando el registro que exceda el tope (9.4).</w:t>
      </w:r>
    </w:p>
    <w:p>
      <w:pPr>
        <w:pStyle w:val="ListBullet"/>
      </w:pPr>
      <w:r>
        <w:t>Regla de elegibilidad del patrocinador: sólo PlanCode.PREMIUM puede patrocinar una Oferta de EMPRESA TIPO A; explícitamente prohibido para PlanCode.STANDARD (Empresa Tipo B) — inversa de la regla actual de isEligibleAlly(), que hoy sólo mira quién puede ser el “aliado” promocionado, no quién puede patrocinar.</w:t>
      </w:r>
    </w:p>
    <w:p>
      <w:pPr>
        <w:pStyle w:val="ListBullet"/>
      </w:pPr>
      <w:r>
        <w:t>Flujo de solicitud → evaluación → estructuración → aceptación del patrocinio (6.10) diferenciado del toggle simple de AllyPromotionServiceImpl; reutilizar el diseño de MP-22 (Contrato B) generalizándolo para ambas modalidades en vez de duplicar el modelo.</w:t>
      </w:r>
    </w:p>
    <w:p>
      <w:pPr>
        <w:pStyle w:val="ListBullet"/>
      </w:pPr>
      <w:r>
        <w:t>Sustitución de un componente patrocinado sólo con autorización expresa de la Empresa Premium, conservando evidencia del cambio (9.6).</w:t>
      </w:r>
    </w:p>
    <w:p>
      <w:pPr>
        <w:pStyle w:val="Heading3"/>
      </w:pPr>
      <w:r>
        <w:t>Criterios de aceptación (pruebas mínimas)</w:t>
      </w:r>
    </w:p>
    <w:p>
      <w:pPr/>
      <w:r>
        <w:t>Solicitud de patrocinio de Tipo A a Premium; aceptación y registro del componente; componente al 10 % exacto del valor de la Oferta (aceptado); componente al 10,01 % (rechazado); intento de que una Empresa Tipo B patrocine a una Tipo A (bloqueado); sustitución no autorizada del componente (bloqueada); vencimiento del patrocinio no afecta Operaciones ya perfeccionadas.</w:t>
      </w:r>
    </w:p>
    <w:p>
      <w:pPr>
        <w:pStyle w:val="Heading3"/>
      </w:pPr>
      <w:r>
        <w:t>Rol sugerido</w:t>
      </w:r>
    </w:p>
    <w:p>
      <w:pPr/>
      <w:r>
        <w:t>Backend semi-senior/senior. Depende de que MP-22 (Contrato B) ya tenga definido el modelo de patrocinio a generalizar.</w:t>
      </w:r>
    </w:p>
    <w:p>
      <w:pPr/>
    </w:p>
    <w:p>
      <w:pPr>
        <w:pStyle w:val="Heading2"/>
      </w:pPr>
      <w:r>
        <w:t>MP-53 · Compromiso Precontractual de Confidencialidad del aspirante, independiente del contrato y previo al acceso a información reservada</w:t>
      </w:r>
    </w:p>
    <w:p>
      <w:pPr/>
      <w:r>
        <w:t>Fase 3 · Prioridad P3 · Complejidad Media · Estado actual: Nuevo · Estimación: 2 semanas‑desarrollador (1 persona, 4 h/día)</w:t>
      </w:r>
    </w:p>
    <w:p>
      <w:pPr/>
      <w:r>
        <w:t>Numerales cubiertos: Contrato A 12.2–12.3 (pág. 70–71), 12.7–12.8 (pág. 72–73), 12.12–12.13 (pág. 74), Parágrafo 1º Cláusula 12ª (pág. 76); HOJA FINAL secciones 7 y 9 literales r)–u) (pág. 91, 92–93)</w:t>
      </w:r>
    </w:p>
    <w:p>
      <w:pPr/>
      <w:r>
        <w:t>Dependencias: MP-32, MP-33</w:t>
      </w:r>
    </w:p>
    <w:p>
      <w:pPr>
        <w:pStyle w:val="Heading3"/>
      </w:pPr>
      <w:r>
        <w:t>Objetivo</w:t>
      </w:r>
    </w:p>
    <w:p>
      <w:pPr/>
      <w:r>
        <w:t>Antes de que un aspirante a EMPRESA TIPO A (o cualquier modalidad) acceda a documentación interna, manuales o información reservada durante la caracterización, debe aceptar electrónicamente un Compromiso Precontractual de Confidencialidad, Reserva y Uso Autorizado de Información — un documento y una aceptación INDEPENDIENTES del Contrato Marco, que producen efectos y sobreviven aunque el aspirante sea finalmente rechazado, abandone el proceso o no llegue a celebrar contrato.</w:t>
      </w:r>
    </w:p>
    <w:p>
      <w:pPr>
        <w:pStyle w:val="Heading3"/>
      </w:pPr>
      <w:r>
        <w:t>Qué existe hoy</w:t>
      </w:r>
    </w:p>
    <w:p>
      <w:pPr/>
      <w:r>
        <w:t>LegalDocumentType sólo enumera USERS_TERMS_AND_CONDITIONS, BUSINESS_OWNER_TERMS_AND_CONDITIONS, BASIC/STANDARD/PREMIUM_PLAN_CONTRACT, PRIVACY_POLICY, DATA_PROCESSING_POLICY y COOKIES_POLICY — no existe un tipo de documento para este compromiso previo. CommercialOnboarding (12 pasos) y ESignatureServiceImpl firman el Contrato Marco en los pasos 9–11, pero no hay un paso anterior que condicione el acceso a información reservada a una aceptación separada, ni una entidad que conserve esa aceptación de forma autónoma si el aspirante nunca llega a los pasos 9–11 o es RECHAZADO.</w:t>
      </w:r>
    </w:p>
    <w:p>
      <w:pPr>
        <w:pStyle w:val="Heading3"/>
      </w:pPr>
      <w:r>
        <w:t>Entregables</w:t>
      </w:r>
    </w:p>
    <w:p>
      <w:pPr>
        <w:pStyle w:val="ListBullet"/>
      </w:pPr>
      <w:r>
        <w:t>Nuevo LegalDocumentType.PRECONTRACTUAL_CONFIDENTIALITY_COMMITMENT (o equivalente) con su propio versionamiento, reutilizando el motor de consentimiento electrónico de MP-33.</w:t>
      </w:r>
    </w:p>
    <w:p>
      <w:pPr>
        <w:pStyle w:val="ListBullet"/>
      </w:pPr>
      <w:r>
        <w:t>Paso de aceptación obligatorio, previo a habilitar cualquier contenido reservado/manual durante la caracterización (antes del paso 1 actual del onboarding), con Evidencia Digital propia: identidad del aceptante, versión, fecha/hora, mecanismo de autenticación (12.3).</w:t>
      </w:r>
    </w:p>
    <w:p>
      <w:pPr>
        <w:pStyle w:val="ListBullet"/>
      </w:pPr>
      <w:r>
        <w:t>Persistencia independiente del ContractStatus del Contrato Marco: la aceptación de este compromiso debe seguir siendo consultable y seguir produciendo sus efectos de confidencialidad aunque el onboarding termine en RECHAZADO o el aspirante abandone (Parágrafo 1º Cláusula 12ª).</w:t>
      </w:r>
    </w:p>
    <w:p>
      <w:pPr>
        <w:pStyle w:val="ListBullet"/>
      </w:pPr>
      <w:r>
        <w:t>Referencia cruzada en la Hoja Final de Aceptación Electrónica (sección 7 y 9.r–s) que muestre la versión y fecha de este compromiso como un hecho distinto de la aceptación del contrato mismo.</w:t>
      </w:r>
    </w:p>
    <w:p>
      <w:pPr>
        <w:pStyle w:val="Heading3"/>
      </w:pPr>
      <w:r>
        <w:t>Criterios de aceptación (pruebas mínimas)</w:t>
      </w:r>
    </w:p>
    <w:p>
      <w:pPr/>
      <w:r>
        <w:t>Acceso a información reservada bloqueado sin aceptación previa del compromiso; aceptación registrada con Evidencia Digital completa; aspirante rechazado conserva la trazabilidad de su aceptación previa; la aceptación del contrato no sustituye ni presupone la aceptación de este compromiso; versión del compromiso mostrada en la Hoja Final coincide con la efectivamente aceptada.</w:t>
      </w:r>
    </w:p>
    <w:p>
      <w:pPr>
        <w:pStyle w:val="Heading3"/>
      </w:pPr>
      <w:r>
        <w:t>Rol sugerido</w:t>
      </w:r>
    </w:p>
    <w:p>
      <w:pPr/>
      <w:r>
        <w:t>Backend semi-senior. Depende de que MP-32/MP-33 (Contrato B) ya tengan el motor de consentimiento/versionamiento documental construido, para no duplicarlo.</w:t>
      </w:r>
    </w:p>
    <w:p>
      <w:pPr/>
    </w:p>
    <w:p>
      <w:pPr>
        <w:pStyle w:val="Heading2"/>
      </w:pPr>
      <w:r>
        <w:t>MP-54 · Material físico de referido (tarjetas/QR por establecimiento), mensajería autorizada y prevención de promesas prohibidas de conectividad</w:t>
      </w:r>
    </w:p>
    <w:p>
      <w:pPr/>
      <w:r>
        <w:t>Fase 2 · Prioridad P2 · Complejidad Media · Estado actual: Pulir · Estimación: 2.5 semanas‑desarrollador (1 persona, 4 h/día)</w:t>
      </w:r>
    </w:p>
    <w:p>
      <w:pPr/>
      <w:r>
        <w:t>Numerales cubiertos: Contrato A 3.8 (pág. 15), 6.12 (pág. 34–37), 6.13 (pág. 37–38), 6.16 (pág. 38–39), Parágrafo 1º Cláusula 6ª (pág. 39)</w:t>
      </w:r>
    </w:p>
    <w:p>
      <w:pPr/>
      <w:r>
        <w:t>Dependencias: MP-23</w:t>
      </w:r>
    </w:p>
    <w:p>
      <w:pPr>
        <w:pStyle w:val="Heading3"/>
      </w:pPr>
      <w:r>
        <w:t>Objetivo</w:t>
      </w:r>
    </w:p>
    <w:p>
      <w:pPr/>
      <w:r>
        <w:t>EL EMPRESARIO TIPO A puede entregar material informativo/promocional (avisos, adhesivos, códigos QR, tarjetas físicas) por establecimiento, con trazabilidad del origen del referido, comunicando únicamente mensajes autorizados sobre beneficios de VERYGANA (nunca frases prohibidas como “por registrarse tendrá minutos gratis” o “VERYGANA le pagará la conectividad”), y VERYGANA puede reconocer periódicamente recomendaciones válidas mediante actividades específicas — todo separado de una rifa, sorteo o juego de azar.</w:t>
      </w:r>
    </w:p>
    <w:p>
      <w:pPr>
        <w:pStyle w:val="Heading3"/>
      </w:pPr>
      <w:r>
        <w:t>Qué existe hoy</w:t>
      </w:r>
    </w:p>
    <w:p>
      <w:pPr/>
      <w:r>
        <w:t>Sólo existe referralCode a nivel de Usuario/consumidor; no hay Código Único de Recomendación Empresarial (gap ya señalado para el Contrato B en MP-23) ni, más específicamente, ningún mecanismo de: (a) emisión/control de códigos QR o materiales físicos por establecimiento (no sólo por empresario), (b) catálogo de mensajes autorizados vs. prohibidos para validar las comunicaciones del empresario sobre beneficios de conectividad, o (c) eventos de “reconocimiento de referidos” con vigencia y criterios propios, separados de la simple atribución automática.</w:t>
      </w:r>
    </w:p>
    <w:p>
      <w:pPr>
        <w:pStyle w:val="Heading3"/>
      </w:pPr>
      <w:r>
        <w:t>Entregables</w:t>
      </w:r>
    </w:p>
    <w:p>
      <w:pPr>
        <w:pStyle w:val="ListBullet"/>
      </w:pPr>
      <w:r>
        <w:t>Extender el diseño de MP-23 (Código Único de Recomendación Empresarial, Contrato B) con emisión de códigos QR/identificadores por establecimiento —no sólo por empresario— y registro de trazabilidad del origen (establecimiento, fecha/hora, estado del proceso de registro) (6.12 “Trazabilidad del referido”).</w:t>
      </w:r>
    </w:p>
    <w:p>
      <w:pPr>
        <w:pStyle w:val="ListBullet"/>
      </w:pPr>
      <w:r>
        <w:t>Catálogo parametrizable de plantillas de mensaje autorizadas para divulgar beneficios de conectividad, con un validador que bloquee o marque para revisión las frases prohibidas listadas en el contrato (6.12 “Información sobre beneficios de VERYGANA”).</w:t>
      </w:r>
    </w:p>
    <w:p>
      <w:pPr>
        <w:pStyle w:val="ListBullet"/>
      </w:pPr>
      <w:r>
        <w:t>Motor de “actividades de reconocimiento por recomendaciones” independiente de la atribución automática del referido: cada actividad define sus propias condiciones, vigencia y criterios de validación, sin generar derecho adquirido a repetirse (6.13).</w:t>
      </w:r>
    </w:p>
    <w:p>
      <w:pPr>
        <w:pStyle w:val="ListBullet"/>
      </w:pPr>
      <w:r>
        <w:t>Regla explícita de separación frente a juegos de azar: la entrega de tarjetas/QR/registro de una persona nunca constituye por sí misma una rifa o sorteo (6.12 “Separación frente a juegos y actividades de suerte y azar”, 6.16).</w:t>
      </w:r>
    </w:p>
    <w:p>
      <w:pPr>
        <w:pStyle w:val="Heading3"/>
      </w:pPr>
      <w:r>
        <w:t>Criterios de aceptación (pruebas mínimas)</w:t>
      </w:r>
    </w:p>
    <w:p>
      <w:pPr/>
      <w:r>
        <w:t>Emisión de código QR por establecimiento; registro de un acceso vía QR con trazabilidad de origen; mensaje con frase prohibida bloqueado por el validador; mensaje autorizado publicado sin bloqueo; actividad de reconocimiento con vigencia vencida no genera beneficio; registro ficticio/duplicado de referido rechazado.</w:t>
      </w:r>
    </w:p>
    <w:p>
      <w:pPr>
        <w:pStyle w:val="Heading3"/>
      </w:pPr>
      <w:r>
        <w:t>Rol sugerido</w:t>
      </w:r>
    </w:p>
    <w:p>
      <w:pPr/>
      <w:r>
        <w:t>Backend semi-senior. Depende de que MP-23 (Contrato B) ya tenga el Código Único de Recomendación Empresarial construido.</w:t>
      </w:r>
    </w:p>
    <w:p>
      <w:pPr/>
    </w:p>
    <w:p>
      <w:pPr>
        <w:pStyle w:val="Heading1"/>
      </w:pPr>
      <w:r>
        <w:t>4. Roadmap por fases y resumen de esfuerzo</w:t>
      </w:r>
    </w:p>
    <w:p>
      <w:r>
        <w:rPr>
          <w:b/>
          <w:i w:val="0"/>
        </w:rPr>
        <w:t>Fase 1 — Núcleo económico y transversales base (59 semanas‑dev)</w:t>
      </w:r>
    </w:p>
    <w:p>
      <w:r>
        <w:rPr>
          <w:b w:val="0"/>
          <w:i w:val="0"/>
        </w:rPr>
        <w:t>Ruta crítica. Nada del régimen de Prosperidad/comisión del Empresario ni del ciclo de vida de Llaves del Usuario funciona sin esto. Recomendado: 3 seniors durante ~3,5–4 meses. Orden interno sugerido: MP-34 y MP-32 (patrones) → MP-01/MP-02/MP-03/MP-04 → MP-05 → MP-06 → MP-07/MP-08 → MP-09; en paralelo, del lado del Usuario/Consumidor: MP-37/MP-38 (consentimiento y cuenta) → MP-45 (ledgers) → MP-41 (libro mayor de Llaves) → MP-42 (causación).</w:t>
      </w:r>
    </w:p>
    <w:p>
      <w:pPr>
        <w:pStyle w:val="ListBullet"/>
      </w:pPr>
      <w:r>
        <w:t>MP-01 · Registro, identidad y expediente único del empresario Tipo B — 3 sem (Media)</w:t>
      </w:r>
    </w:p>
    <w:p>
      <w:pPr>
        <w:pStyle w:val="ListBullet"/>
      </w:pPr>
      <w:r>
        <w:t>MP-02 · Vocación Empresarial Principal y clasificación comercial de operaciones — 3 sem (Alta)</w:t>
      </w:r>
    </w:p>
    <w:p>
      <w:pPr>
        <w:pStyle w:val="ListBullet"/>
      </w:pPr>
      <w:r>
        <w:t>MP-03 · Caracterización tributaria y alertas de crecimiento (UVT) — 2.5 sem (Media)</w:t>
      </w:r>
    </w:p>
    <w:p>
      <w:pPr>
        <w:pStyle w:val="ListBullet"/>
      </w:pPr>
      <w:r>
        <w:t>MP-04 · Inversión Computable, Período de Inversión y Matriz Económica (distribución funcional) — 4 sem (Alta)</w:t>
      </w:r>
    </w:p>
    <w:p>
      <w:pPr>
        <w:pStyle w:val="ListBullet"/>
      </w:pPr>
      <w:r>
        <w:t>MP-05 · Motor de Prosperidad: Umbral, Saldo y Libro Mayor Económico — 6 sem (Muy alta)</w:t>
      </w:r>
    </w:p>
    <w:p>
      <w:pPr>
        <w:pStyle w:val="ListBullet"/>
      </w:pPr>
      <w:r>
        <w:t>MP-06 · Reconocimiento económico de operaciones: Venta Computable y Base Comisionable — 4 sem (Alta)</w:t>
      </w:r>
    </w:p>
    <w:p>
      <w:pPr>
        <w:pStyle w:val="ListBullet"/>
      </w:pPr>
      <w:r>
        <w:t>MP-07 · Causación, facturación electrónica y dispersión de comisiones — 5 sem (Muy alta)</w:t>
      </w:r>
    </w:p>
    <w:p>
      <w:pPr>
        <w:pStyle w:val="ListBullet"/>
      </w:pPr>
      <w:r>
        <w:t>MP-08 · Bolsas económicas, Programa de Conectividad y Programa de Fortalecimiento Empresarial — 4 sem (Alta)</w:t>
      </w:r>
    </w:p>
    <w:p>
      <w:pPr>
        <w:pStyle w:val="ListBullet"/>
      </w:pPr>
      <w:r>
        <w:t>MP-09 · Compra institucional de VERYGANA y reconocimientos por mérito — 3.5 sem (Alta)</w:t>
      </w:r>
    </w:p>
    <w:p>
      <w:pPr>
        <w:pStyle w:val="ListBullet"/>
      </w:pPr>
      <w:r>
        <w:t>MP-34 · Trazabilidad transversal, idempotencia y auditoría integral (controles transversales de la guía) — 3 sem (Alta)</w:t>
      </w:r>
    </w:p>
    <w:p>
      <w:pPr>
        <w:pStyle w:val="ListBullet"/>
      </w:pPr>
      <w:r>
        <w:t>MP-37 · Motor de Consentimiento Electrónico y Versionamiento Contractual del Usuario (Consumidor) — 3.5 sem (Alta)</w:t>
      </w:r>
    </w:p>
    <w:p>
      <w:pPr>
        <w:pStyle w:val="ListBullet"/>
      </w:pPr>
      <w:r>
        <w:t>MP-38 · Registro, Cuenta Única y Mayoría de Edad del Usuario (Consumidor) — 2.5 sem (Media)</w:t>
      </w:r>
    </w:p>
    <w:p>
      <w:pPr>
        <w:pStyle w:val="ListBullet"/>
      </w:pPr>
      <w:r>
        <w:t>MP-41 · Naturaleza y Libro Mayor de Llaves del Usuario: Estados, Vigencia Mensual y Prioridad de Vencimiento — 3.5 sem (Alta)</w:t>
      </w:r>
    </w:p>
    <w:p>
      <w:pPr>
        <w:pStyle w:val="ListBullet"/>
      </w:pPr>
      <w:r>
        <w:t>MP-42 · Motor de Causación de Llaves: Actividad Válida, Tiempo Efectivo y Reconocimiento Condicionado — 3 sem (Alta)</w:t>
      </w:r>
    </w:p>
    <w:p>
      <w:pPr>
        <w:pStyle w:val="ListBullet"/>
      </w:pPr>
      <w:r>
        <w:t>MP-45 · Separación de Ledgers por Naturaleza de Beneficio (Llaves/Puntos/Excelencia/Oportunidades/Participaciones/Dinero) — 3 sem (Alta)</w:t>
      </w:r>
    </w:p>
    <w:p>
      <w:pPr>
        <w:pStyle w:val="ListBullet"/>
      </w:pPr>
      <w:r>
        <w:t>MP-50 · Motor de Suscripción Mensual y Renovación de EMPRESA TIPO A (BASIC) — 4 sem (Alta)</w:t>
      </w:r>
    </w:p>
    <w:p>
      <w:pPr>
        <w:pStyle w:val="ListBullet"/>
      </w:pPr>
      <w:r>
        <w:t>MP-51 · Vocación Empresarial Principal aplicada a EMPRESA TIPO A, sin efecto tarifario — 1.5 sem (Media)</w:t>
      </w:r>
    </w:p>
    <w:p>
      <w:r>
        <w:rPr>
          <w:b/>
          <w:i w:val="0"/>
        </w:rPr>
        <w:t>Fase 2 — Oferta comercial y herramientas promocionales (71 semanas‑dev)</w:t>
      </w:r>
    </w:p>
    <w:p>
      <w:r>
        <w:rPr>
          <w:b w:val="0"/>
          <w:i w:val="0"/>
        </w:rPr>
        <w:t>Arranca cuando MP-04/MP-05/MP-06 (Empresario) y MP-41/MP-42/MP-45 (Usuario) estén estables. Paralelizable en varios frentes: (a) oferta/operación MP-10→MP-11→MP-13→MP-14→MP-15; (b) llaves/promoción del Empresario MP-12→MP-18→MP-19; (c) campañas/progreso MP-21→MP-16→MP-17→MP-20; (d) utilización de Llaves del Usuario MP-43→MP-44; (e) Conectividad del Usuario MP-49; (f) Mascota Virtual MP-40; más MP-22/MP-23, MP-39, MP-46, MP-48.</w:t>
      </w:r>
    </w:p>
    <w:p>
      <w:pPr>
        <w:pStyle w:val="ListBullet"/>
      </w:pPr>
      <w:r>
        <w:t>MP-10 · Cupo de Ofertas y catálogo unificado (producto, servicio, paquete, experiencia) — 3.5 sem (Media)</w:t>
      </w:r>
    </w:p>
    <w:p>
      <w:pPr>
        <w:pStyle w:val="ListBullet"/>
      </w:pPr>
      <w:r>
        <w:t>MP-11 · Bonos Comerciales y Bonos de Desbloqueo — 4.5 sem (Alta)</w:t>
      </w:r>
    </w:p>
    <w:p>
      <w:pPr>
        <w:pStyle w:val="ListBullet"/>
      </w:pPr>
      <w:r>
        <w:t>MP-12 · Llaves Promocionales: Libro Mayor, porción en llaves 50/70 % y porción monetaria — 3.5 sem (Alta)</w:t>
      </w:r>
    </w:p>
    <w:p>
      <w:pPr>
        <w:pStyle w:val="ListBullet"/>
      </w:pPr>
      <w:r>
        <w:t>MP-13 · Compra Válida, estados de operación (orden/pago/cumplimiento/reclamación) y trazabilidad transaccional — 4 sem (Alta)</w:t>
      </w:r>
    </w:p>
    <w:p>
      <w:pPr>
        <w:pStyle w:val="ListBullet"/>
      </w:pPr>
      <w:r>
        <w:t>MP-14 · Entrega, prestación, redención y validación efectiva — 2.5 sem (Media)</w:t>
      </w:r>
    </w:p>
    <w:p>
      <w:pPr>
        <w:pStyle w:val="ListBullet"/>
      </w:pPr>
      <w:r>
        <w:t>MP-15 · Establecimientos, inventario y reservas temporales — 2 sem (Media)</w:t>
      </w:r>
    </w:p>
    <w:p>
      <w:pPr>
        <w:pStyle w:val="ListBullet"/>
      </w:pPr>
      <w:r>
        <w:t>MP-16 · Campañas, Sala de Juegos y juegos habilitables por Inversión Computable — 4 sem (Alta)</w:t>
      </w:r>
    </w:p>
    <w:p>
      <w:pPr>
        <w:pStyle w:val="ListBullet"/>
      </w:pPr>
      <w:r>
        <w:t>MP-17 · Puntos de Progreso, Puntos de Excelencia, escalafón y Oportunidad de Tercera Interacción (7 Acciones Calificadas) — 6 sem (Muy alta)</w:t>
      </w:r>
    </w:p>
    <w:p>
      <w:pPr>
        <w:pStyle w:val="ListBullet"/>
      </w:pPr>
      <w:r>
        <w:t>MP-18 · Contenidos reconocidos por tiempo efectivo (banners, videos, audios: 16 llaves / 60 s) — 3 sem (Media)</w:t>
      </w:r>
    </w:p>
    <w:p>
      <w:pPr>
        <w:pStyle w:val="ListBullet"/>
      </w:pPr>
      <w:r>
        <w:t>MP-19 · Encuestas ordinarias y Encuesta Calificada de Dedicación Sustancial — 2.5 sem (Media)</w:t>
      </w:r>
    </w:p>
    <w:p>
      <w:pPr>
        <w:pStyle w:val="ListBullet"/>
      </w:pPr>
      <w:r>
        <w:t>MP-20 · Ruleta Promocional Excepcional (solicitud, autorización, licencia temporal) — 3 sem (Alta)</w:t>
      </w:r>
    </w:p>
    <w:p>
      <w:pPr>
        <w:pStyle w:val="ListBullet"/>
      </w:pPr>
      <w:r>
        <w:t>MP-21 · Banco de Recursos Publicitarios y gestión de piezas de oferta — 2.5 sem (Media)</w:t>
      </w:r>
    </w:p>
    <w:p>
      <w:pPr>
        <w:pStyle w:val="ListBullet"/>
      </w:pPr>
      <w:r>
        <w:t>MP-22 · Patrocinios de Empresas Premium y Componentes Patrocinados — 4.5 sem (Alta)</w:t>
      </w:r>
    </w:p>
    <w:p>
      <w:pPr>
        <w:pStyle w:val="ListBullet"/>
      </w:pPr>
      <w:r>
        <w:t>MP-23 · Código Único de Recomendación Empresarial y reconocimiento por vinculación efectiva — 2 sem (Media)</w:t>
      </w:r>
    </w:p>
    <w:p>
      <w:pPr>
        <w:pStyle w:val="ListBullet"/>
      </w:pPr>
      <w:r>
        <w:t>MP-39 · Seguridad de la Cuenta del Usuario: Autenticación, Dispositivos, Recuperación y Alertas — 3 sem (Alta)</w:t>
      </w:r>
    </w:p>
    <w:p>
      <w:pPr>
        <w:pStyle w:val="ListBullet"/>
      </w:pPr>
      <w:r>
        <w:t>MP-40 · Mascota Virtual y Asistente Inteligente VERYGANA: Plan de Cuidado, Clínica y Salvaguardas Legales — 3 sem (Media)</w:t>
      </w:r>
    </w:p>
    <w:p>
      <w:pPr>
        <w:pStyle w:val="ListBullet"/>
      </w:pPr>
      <w:r>
        <w:t>MP-43 · Utilización de Llaves: Confirmación, Reserva, Simulación y Prevención de Doble Gasto — 2.5 sem (Media)</w:t>
      </w:r>
    </w:p>
    <w:p>
      <w:pPr>
        <w:pStyle w:val="ListBullet"/>
      </w:pPr>
      <w:r>
        <w:t>MP-44 · Copago y Porción en Llaves: Límite 50 % Ordinario y Fórmula de Combinación — 1.5 sem (Media)</w:t>
      </w:r>
    </w:p>
    <w:p>
      <w:pPr>
        <w:pStyle w:val="ListBullet"/>
      </w:pPr>
      <w:r>
        <w:t>MP-46 · Diferenciación Legal de Juego Promocional, Juego de Entretenimiento y Actividad Sometida al Azar — 2 sem (Media)</w:t>
      </w:r>
    </w:p>
    <w:p>
      <w:pPr>
        <w:pStyle w:val="ListBullet"/>
      </w:pPr>
      <w:r>
        <w:t>MP-48 · Fortalecimiento del Programa de Recomendación de Usuarios: CUV, Atribución y Prevención de Esquemas Piramidales — 2 sem (Media)</w:t>
      </w:r>
    </w:p>
    <w:p>
      <w:pPr>
        <w:pStyle w:val="ListBullet"/>
      </w:pPr>
      <w:r>
        <w:t>MP-49 · Beneficios de Conectividad del Usuario: Ciclo Diario, Conectividad Dual y Nuevo Usuario Beneficiario — 4 sem (Alta)</w:t>
      </w:r>
    </w:p>
    <w:p>
      <w:pPr>
        <w:pStyle w:val="ListBullet"/>
      </w:pPr>
      <w:r>
        <w:t>MP-52 · Patrocinios de Empresas Premium a EMPRESA TIPO A: restricción del patrocinador por plan y tope del 10 % de la Oferta — 3 sem (Alta)</w:t>
      </w:r>
    </w:p>
    <w:p>
      <w:pPr>
        <w:pStyle w:val="ListBullet"/>
      </w:pPr>
      <w:r>
        <w:t>MP-54 · Material físico de referido (tarjetas/QR por establecimiento), mensajería autorizada y prevención de promesas prohibidas de conectividad — 2.5 sem (Media)</w:t>
      </w:r>
    </w:p>
    <w:p>
      <w:r>
        <w:rPr>
          <w:b/>
          <w:i w:val="0"/>
        </w:rPr>
        <w:t>Fase 3 — Ciclo de vida, cumplimiento, gobierno y transversales (44.5 semanas‑dev)</w:t>
      </w:r>
    </w:p>
    <w:p>
      <w:r>
        <w:rPr>
          <w:b w:val="0"/>
          <w:i w:val="0"/>
        </w:rPr>
        <w:t>Puede solaparse con la Fase 2 en los frentes de estados (MP-24→MP-25→MP-26→MP-27), fraude/datos (MP-28), posventa/ajustes (MP-29→MP-30), métricas (MP-31), documental (MP-33), comunicaciones (MP-35), aliados (MP-36) y el registro de funciones/responsabilidad del Usuario (MP-47).</w:t>
      </w:r>
    </w:p>
    <w:p>
      <w:pPr>
        <w:pStyle w:val="ListBullet"/>
      </w:pPr>
      <w:r>
        <w:t>MP-24 · Máquina única de Estados Empresariales + Estado de Continuidad + Suspensión Preventiva — 4.5 sem (Alta)</w:t>
      </w:r>
    </w:p>
    <w:p>
      <w:pPr>
        <w:pStyle w:val="ListBullet"/>
      </w:pPr>
      <w:r>
        <w:t>MP-25 · Vigencia, renovación, nuevas inversiones, cambio y recuperación de modalidad; retiro y cierre — 3 sem (Media)</w:t>
      </w:r>
    </w:p>
    <w:p>
      <w:pPr>
        <w:pStyle w:val="ListBullet"/>
      </w:pPr>
      <w:r>
        <w:t>MP-26 · Administración centralizada de obligaciones e incumplimientos del empresario — 3 sem (Media)</w:t>
      </w:r>
    </w:p>
    <w:p>
      <w:pPr>
        <w:pStyle w:val="ListBullet"/>
      </w:pPr>
      <w:r>
        <w:t>MP-27 · Medidas graduales por incumplimiento (restricción / suspensión preventiva / contractual / terminación) con causales concurrentes — 3.5 sem (Alta)</w:t>
      </w:r>
    </w:p>
    <w:p>
      <w:pPr>
        <w:pStyle w:val="ListBullet"/>
      </w:pPr>
      <w:r>
        <w:t>MP-28 · SGSI de prevención del fraude por dominio (alertas tipificadas, falsos positivos, cadena de custodia) y protección de datos — 4.5 sem (Alta)</w:t>
      </w:r>
    </w:p>
    <w:p>
      <w:pPr>
        <w:pStyle w:val="ListBullet"/>
      </w:pPr>
      <w:r>
        <w:t>MP-29 · Posventa: garantías, cambios, devoluciones, retracto y reversión del pago con ajuste integral — 3.5 sem (Alta)</w:t>
      </w:r>
    </w:p>
    <w:p>
      <w:pPr>
        <w:pStyle w:val="ListBullet"/>
      </w:pPr>
      <w:r>
        <w:t>MP-30 · Motor transversal de anulaciones, devoluciones, reversos y ajustes económicos — 3 sem (Alta)</w:t>
      </w:r>
    </w:p>
    <w:p>
      <w:pPr>
        <w:pStyle w:val="ListBullet"/>
      </w:pPr>
      <w:r>
        <w:t>MP-31 · Métricas del empresario: ordinarias, económicas/dispersión, campañas/patrocinios/posventa, marcas de IA — 3.5 sem (Media)</w:t>
      </w:r>
    </w:p>
    <w:p>
      <w:pPr>
        <w:pStyle w:val="ListBullet"/>
      </w:pPr>
      <w:r>
        <w:t>MP-32 · Motor central de reglas parametrizables, versionamiento contractual y jerarquía documental — 3.5 sem (Alta)</w:t>
      </w:r>
    </w:p>
    <w:p>
      <w:pPr>
        <w:pStyle w:val="ListBullet"/>
      </w:pPr>
      <w:r>
        <w:t>MP-33 · Consentimiento electrónico, gestión documental contractual y Evidencia Digital — 2.5 sem (Media)</w:t>
      </w:r>
    </w:p>
    <w:p>
      <w:pPr>
        <w:pStyle w:val="ListBullet"/>
      </w:pPr>
      <w:r>
        <w:t>MP-35 · Comunicaciones multicanal y registro central (web como fuente oficial + WhatsApp/SMS/email) — 2.5 sem (Media)</w:t>
      </w:r>
    </w:p>
    <w:p>
      <w:pPr>
        <w:pStyle w:val="ListBullet"/>
      </w:pPr>
      <w:r>
        <w:t>MP-36 · Régimen de Aliados Estratégicos (telecom/conectividad/streaming) — contratos independientes — 3 sem (Alta)</w:t>
      </w:r>
    </w:p>
    <w:p>
      <w:pPr>
        <w:pStyle w:val="ListBullet"/>
      </w:pPr>
      <w:r>
        <w:t>MP-47 · Registro de Funciones y Motor de Responsabilidad según Función Real Desempeñada — 2.5 sem (Media)</w:t>
      </w:r>
    </w:p>
    <w:p>
      <w:pPr>
        <w:pStyle w:val="ListBullet"/>
      </w:pPr>
      <w:r>
        <w:t>MP-53 · Compromiso Precontractual de Confidencialidad del aspirante, independiente del contrato y previo al acceso a información reservada — 2 sem (Media)</w:t>
      </w:r>
    </w:p>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52"/>
          </w:tcPr>
          <w:p>
            <w:r/>
            <w:r>
              <w:rPr>
                <w:b/>
                <w:sz w:val="18"/>
              </w:rPr>
              <w:t>Fase</w:t>
            </w:r>
          </w:p>
        </w:tc>
        <w:tc>
          <w:tcPr>
            <w:tcW w:type="dxa" w:w="1872"/>
          </w:tcPr>
          <w:p>
            <w:r/>
            <w:r>
              <w:rPr>
                <w:b/>
                <w:sz w:val="18"/>
              </w:rPr>
              <w:t>Macroprocesos</w:t>
            </w:r>
          </w:p>
        </w:tc>
        <w:tc>
          <w:tcPr>
            <w:tcW w:type="dxa" w:w="1584"/>
          </w:tcPr>
          <w:p>
            <w:r/>
            <w:r>
              <w:rPr>
                <w:b/>
                <w:sz w:val="18"/>
              </w:rPr>
              <w:t>Semanas‑dev</w:t>
            </w:r>
          </w:p>
        </w:tc>
        <w:tc>
          <w:tcPr>
            <w:tcW w:type="dxa" w:w="2592"/>
          </w:tcPr>
          <w:p>
            <w:r/>
            <w:r>
              <w:rPr>
                <w:b/>
                <w:sz w:val="18"/>
              </w:rPr>
              <w:t>Con 2 devs</w:t>
            </w:r>
          </w:p>
        </w:tc>
        <w:tc>
          <w:tcPr>
            <w:tcW w:type="dxa" w:w="3744"/>
          </w:tcPr>
          <w:p>
            <w:r/>
            <w:r>
              <w:rPr>
                <w:b/>
                <w:sz w:val="18"/>
              </w:rPr>
              <w:t>Con 4 devs</w:t>
            </w:r>
          </w:p>
        </w:tc>
      </w:tr>
      <w:tr>
        <w:tc>
          <w:tcPr>
            <w:tcW w:type="dxa" w:w="1152"/>
          </w:tcPr>
          <w:p>
            <w:pPr/>
            <w:r>
              <w:t>Fase 1</w:t>
            </w:r>
          </w:p>
        </w:tc>
        <w:tc>
          <w:tcPr>
            <w:tcW w:type="dxa" w:w="1872"/>
          </w:tcPr>
          <w:p>
            <w:pPr/>
            <w:r>
              <w:t>17</w:t>
            </w:r>
          </w:p>
        </w:tc>
        <w:tc>
          <w:tcPr>
            <w:tcW w:type="dxa" w:w="1584"/>
          </w:tcPr>
          <w:p>
            <w:pPr/>
            <w:r>
              <w:t>59</w:t>
            </w:r>
          </w:p>
        </w:tc>
        <w:tc>
          <w:tcPr>
            <w:tcW w:type="dxa" w:w="2592"/>
          </w:tcPr>
          <w:p>
            <w:pPr/>
            <w:r>
              <w:t>~6.9 meses</w:t>
            </w:r>
          </w:p>
        </w:tc>
        <w:tc>
          <w:tcPr>
            <w:tcW w:type="dxa" w:w="3744"/>
          </w:tcPr>
          <w:p>
            <w:pPr/>
            <w:r>
              <w:t>~4.6 meses (3 devs en ruta crítica)</w:t>
            </w:r>
          </w:p>
        </w:tc>
      </w:tr>
      <w:tr>
        <w:tc>
          <w:tcPr>
            <w:tcW w:type="dxa" w:w="1152"/>
          </w:tcPr>
          <w:p>
            <w:pPr/>
            <w:r>
              <w:t>Fase 2</w:t>
            </w:r>
          </w:p>
        </w:tc>
        <w:tc>
          <w:tcPr>
            <w:tcW w:type="dxa" w:w="1872"/>
          </w:tcPr>
          <w:p>
            <w:pPr/>
            <w:r>
              <w:t>23</w:t>
            </w:r>
          </w:p>
        </w:tc>
        <w:tc>
          <w:tcPr>
            <w:tcW w:type="dxa" w:w="1584"/>
          </w:tcPr>
          <w:p>
            <w:pPr/>
            <w:r>
              <w:t>71</w:t>
            </w:r>
          </w:p>
        </w:tc>
        <w:tc>
          <w:tcPr>
            <w:tcW w:type="dxa" w:w="2592"/>
          </w:tcPr>
          <w:p>
            <w:pPr/>
            <w:r>
              <w:t>~8.3 meses</w:t>
            </w:r>
          </w:p>
        </w:tc>
        <w:tc>
          <w:tcPr>
            <w:tcW w:type="dxa" w:w="3744"/>
          </w:tcPr>
          <w:p>
            <w:pPr/>
            <w:r>
              <w:t>~4.1 meses</w:t>
            </w:r>
          </w:p>
        </w:tc>
      </w:tr>
      <w:tr>
        <w:tc>
          <w:tcPr>
            <w:tcW w:type="dxa" w:w="1152"/>
          </w:tcPr>
          <w:p>
            <w:pPr/>
            <w:r>
              <w:t>Fase 3</w:t>
            </w:r>
          </w:p>
        </w:tc>
        <w:tc>
          <w:tcPr>
            <w:tcW w:type="dxa" w:w="1872"/>
          </w:tcPr>
          <w:p>
            <w:pPr/>
            <w:r>
              <w:t>14</w:t>
            </w:r>
          </w:p>
        </w:tc>
        <w:tc>
          <w:tcPr>
            <w:tcW w:type="dxa" w:w="1584"/>
          </w:tcPr>
          <w:p>
            <w:pPr/>
            <w:r>
              <w:t>44.5</w:t>
            </w:r>
          </w:p>
        </w:tc>
        <w:tc>
          <w:tcPr>
            <w:tcW w:type="dxa" w:w="2592"/>
          </w:tcPr>
          <w:p>
            <w:pPr/>
            <w:r>
              <w:t>~5.2 meses</w:t>
            </w:r>
          </w:p>
        </w:tc>
        <w:tc>
          <w:tcPr>
            <w:tcW w:type="dxa" w:w="3744"/>
          </w:tcPr>
          <w:p>
            <w:pPr/>
            <w:r>
              <w:t>~2.6 meses</w:t>
            </w:r>
          </w:p>
        </w:tc>
      </w:tr>
      <w:tr>
        <w:tc>
          <w:tcPr>
            <w:tcW w:type="dxa" w:w="1152"/>
          </w:tcPr>
          <w:p>
            <w:pPr/>
            <w:r>
              <w:t>TOTAL</w:t>
            </w:r>
          </w:p>
        </w:tc>
        <w:tc>
          <w:tcPr>
            <w:tcW w:type="dxa" w:w="1872"/>
          </w:tcPr>
          <w:p>
            <w:pPr/>
            <w:r>
              <w:t>54</w:t>
            </w:r>
          </w:p>
        </w:tc>
        <w:tc>
          <w:tcPr>
            <w:tcW w:type="dxa" w:w="1584"/>
          </w:tcPr>
          <w:p>
            <w:pPr/>
            <w:r>
              <w:t>174.5</w:t>
            </w:r>
          </w:p>
        </w:tc>
        <w:tc>
          <w:tcPr>
            <w:tcW w:type="dxa" w:w="2592"/>
          </w:tcPr>
          <w:p>
            <w:pPr/>
            <w:r>
              <w:t>~20.3 meses</w:t>
            </w:r>
          </w:p>
        </w:tc>
        <w:tc>
          <w:tcPr>
            <w:tcW w:type="dxa" w:w="3744"/>
          </w:tcPr>
          <w:p>
            <w:pPr/>
            <w:r>
              <w:t>~10–13 meses (con solape entre fases)</w:t>
            </w:r>
          </w:p>
        </w:tc>
      </w:tr>
    </w:tbl>
    <w:p>
      <w:r>
        <w:rPr>
          <w:b w:val="0"/>
          <w:i/>
          <w:sz w:val="18"/>
        </w:rPr>
        <w:t>El cálculo “meses” asume 4,3 semanas/mes y desarrolladores dedicados. La cifra de 10–13 meses con 4 devs considera el solape real entre Fase 2 y Fase 3 y descuenta las dependencias que serializan la Fase 1 (que ahora incluye, además del núcleo económico del Contrato B, los transversales del Usuario y la suscripción mensual del Contrato A: consentimiento, cuenta, ledgers, ciclo de vida de Llaves y renovación de BASIC).</w:t>
      </w:r>
    </w:p>
    <w:p>
      <w:r>
        <w:br w:type="page"/>
      </w:r>
    </w:p>
    <w:p>
      <w:pPr>
        <w:pStyle w:val="Heading1"/>
      </w:pPr>
      <w:r>
        <w:t>5. Cómo extender este documento con contratos futuros</w:t>
      </w:r>
    </w:p>
    <w:p>
      <w:r>
        <w:rPr>
          <w:b w:val="0"/>
          <w:i w:val="0"/>
        </w:rPr>
        <w:t>Este documento cubre hoy tres familias de fuentes: el Contrato B (MP-01 a MP-36, columna “Depende de” y numerales citados como “Contrato X.Y” / “GUÍA X.Y”), los Términos y Condiciones para Usuarios / Consumidor (MP-37 a MP-49, citados como “TÉRMINOS USUARIO X.Y” / “GUÍA T&amp;C USUARIO X.Y”) y el Contrato A / EMPRESA TIPO A, plan BASIC (MP-50 en adelante, citados como “Contrato A X.Y” / “HOJA FINAL, sección N”). Cuando lleguen otros contratos (Premium, Aliados, Política de Tratamiento de Datos, etc.), el procedimiento es el mismo que se usó para incorporar los Términos de Usuario y el Contrato A:</w:t>
      </w:r>
    </w:p>
    <w:p>
      <w:pPr>
        <w:pStyle w:val="ListNumber"/>
      </w:pPr>
      <w:r>
        <w:t>Extraer el texto del contrato y de su guía de programación (si la tiene).</w:t>
      </w:r>
    </w:p>
    <w:p>
      <w:pPr>
        <w:pStyle w:val="ListNumber"/>
      </w:pPr>
      <w:r>
        <w:t>Repetir el análisis “qué promete / qué exige la guía / qué existe hoy” por cláusula (como en el documento de comparación).</w:t>
      </w:r>
    </w:p>
    <w:p>
      <w:pPr>
        <w:pStyle w:val="ListNumber"/>
      </w:pPr>
      <w:r>
        <w:t>Para cada bloque de numerales con un objetivo común, decidir: ¿es un MP nuevo, o amplía un MP existente de este documento?</w:t>
      </w:r>
    </w:p>
    <w:p>
      <w:pPr>
        <w:pStyle w:val="ListNumber"/>
      </w:pPr>
      <w:r>
        <w:t>Si amplía uno existente (frecuente: Premium comparte Prosperidad, Llaves, campañas, estados), agregar una sub-sección “Ampliación por Contrato Premium” dentro de ese MP con sus entregables y semanas adicionales.</w:t>
      </w:r>
    </w:p>
    <w:p>
      <w:pPr>
        <w:pStyle w:val="ListNumber"/>
      </w:pPr>
      <w:r>
        <w:t>Si es nuevo (p. ej. “Escalafón de Empresas Premium”, “Programa de Conectividad — cara de usuario”), agregar una fila MP-NN en la tabla maestra y su detalle, con la misma estructura.</w:t>
      </w:r>
    </w:p>
    <w:p>
      <w:pPr>
        <w:pStyle w:val="ListNumber"/>
      </w:pPr>
      <w:r>
        <w:t>Revisar el roadmap: los MP compartidos deben construirse una sola vez, con el diseño más general (normalmente el de Premium).</w:t>
      </w:r>
    </w:p>
    <w:p>
      <w:r>
        <w:rPr>
          <w:b w:val="0"/>
          <w:i/>
          <w:sz w:val="18"/>
        </w:rPr>
        <w:t>Campos recomendados para mantener la trazabilidad multi-contrato: añadir a cada MP una columna “Fuente” (Contrato B / Contrato A / Contrato Premium / …) y marcar los entregables que son específicos de una modalidad.</w:t>
      </w:r>
    </w:p>
    <w:p/>
    <w:p>
      <w:r>
        <w:rPr>
          <w:b/>
          <w:i w:val="0"/>
        </w:rPr>
        <w:t>Notas de citación</w:t>
      </w:r>
    </w:p>
    <w:p>
      <w:r>
        <w:rPr>
          <w:b w:val="0"/>
          <w:i w:val="0"/>
          <w:sz w:val="18"/>
        </w:rPr>
        <w:t>MP-01 a MP-36 (Contrato B): páginas del PDF “Contrato tipo B.pdf” (381 pág.). Numerales estables entre contrato y guía. En la GUÍA, cada numeral trae A. Macroproceso / B. Proceso / C. Microprocesos / D. Datos obligatorios / E. Reglas y fórmulas / F. Controles y alertas / H. Pruebas mínimas obligatorias.</w:t>
      </w:r>
    </w:p>
    <w:p>
      <w:r>
        <w:rPr>
          <w:b w:val="0"/>
          <w:i w:val="0"/>
          <w:sz w:val="18"/>
        </w:rPr>
        <w:t>MP-37 en adelante (Usuario/Consumidor): numerales estables entre “TÉRMINOS Y CONDICIONES PARA USUARIOS” y su “MANUAL DE PROGRAMACIÓN” asociado — ambos documentos comparten la misma numeración capítulo a capítulo (p. ej. 3.10 “Llaves Promocionales” es el mismo numeral en los dos). En la GUÍA, cada numeral trae objetivo técnico / qué debe programarse / flujo técnico y microprocesos / datos, estados y reglas obligatorias / controles, validaciones y alertas / ejemplo y fórmula aplicable / pruebas positivas, negativas, de ruptura y resultado esperado — estas pruebas son la base de la columna “Criterios de aceptación” de cada MP.</w:t>
      </w:r>
    </w:p>
    <w:p>
      <w:pPr/>
      <w:r>
        <w:t>MP-50 a MP-54 (Contrato A / EMPRESA TIPO A, plan BASIC): páginas del PDF “CONTRATO PARTICULAR DE VINCULACIÓN EMPRESARIAL — MODALIDAD EMPRESA TIPO A” (incluye Hoja Final de Aceptación Electrónica). Esta ronda no vino acompañada de una guía de programación propia; la columna “Qué existe hoy” surge de comparación directa cláusula por cláusula contra el código del repositorio, el mismo método usado en “Analisis Contrato Tipo B vs Sistema Actual.docx”, sin generar un documento de análisis separado esta vez.</w:t>
      </w:r>
    </w:p>
    <w:p>
      <w:r>
        <w:rPr>
          <w:b w:val="0"/>
          <w:i w:val="0"/>
          <w:sz w:val="18"/>
        </w:rPr>
        <w:t>En las tres familias, las pruebas mínimas/obligatorias de la guía correspondiente (o, para MP-50 a MP-54, del análisis comparativo directo) son la base de la columna “Criterios de aceptación” de cada 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