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b/>
          <w:color w:val="1F3864"/>
          <w:sz w:val="32"/>
          <w:rFonts w:ascii="Calibri" w:hAnsi="Calibri"/>
        </w:rPr>
        <w:t>Tabla comparativa de planes VERYGANA</w:t>
      </w:r>
    </w:p>
    <w:p>
      <w:pPr>
        <w:jc w:val="center"/>
        <w:spacing w:after="200"/>
      </w:pPr>
      <w:r>
        <w:rPr>
          <w:i/>
          <w:color w:val="595959"/>
          <w:sz w:val="20"/>
          <w:rFonts w:ascii="Calibri" w:hAnsi="Calibri"/>
        </w:rPr>
        <w:t>Version para aprobacion de direccion - 22 de julio de 2026</w:t>
      </w:r>
    </w:p>
    <w:p>
      <w:pPr>
        <w:spacing w:after="240"/>
      </w:pPr>
      <w:r>
        <w:rPr>
          <w:i/>
          <w:color w:val="595959"/>
          <w:sz w:val="18"/>
          <w:rFonts w:ascii="Calibri" w:hAnsi="Calibri"/>
        </w:rPr>
        <w:t>Leyenda: [Ya disponible] la funcionalidad ya existe en el sistema hoy  -  [En desarrollo] se construye para el lanzamiento (2-3 semanas)  -  [Pendiente] queda para una actualizacion futura, fuera del alcance del piloto.</w:t>
      </w:r>
    </w:p>
    <w:p>
      <w:pPr>
        <w:spacing w:before="120" w:after="120"/>
      </w:pPr>
      <w:r>
        <w:rPr>
          <w:b/>
          <w:color w:val="1F3864"/>
          <w:sz w:val="26"/>
          <w:rFonts w:ascii="Calibri" w:hAnsi="Calibri"/>
        </w:rPr>
        <w:t>1. Economico y ventas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600"/>
        <w:gridCol w:w="3933"/>
        <w:gridCol w:w="3933"/>
        <w:gridCol w:w="3932"/>
      </w:tblGrid>
      <w:tr>
        <w:tc>
          <w:tcPr>
            <w:tcW w:w="3600" w:type="dxa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  <w:rFonts w:ascii="Calibri" w:hAnsi="Calibri"/>
              </w:rPr>
              <w:t> </w:t>
            </w:r>
          </w:p>
        </w:tc>
        <w:tc>
          <w:tcPr>
            <w:tcW w:w="3933" w:type="dxa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ascii="Calibri" w:hAnsi="Calibri"/>
              </w:rPr>
              <w:t>Basico</w:t>
            </w:r>
          </w:p>
        </w:tc>
        <w:tc>
          <w:tcPr>
            <w:tcW w:w="3933" w:type="dxa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ascii="Calibri" w:hAnsi="Calibri"/>
              </w:rPr>
              <w:t>Estandar</w:t>
            </w:r>
          </w:p>
        </w:tc>
        <w:tc>
          <w:tcPr>
            <w:tcW w:w="3932" w:type="dxa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ascii="Calibri" w:hAnsi="Calibri"/>
              </w:rPr>
              <w:t>Premium</w:t>
            </w:r>
          </w:p>
        </w:tc>
      </w:tr>
      <w:tr>
        <w:tc>
          <w:tcPr>
            <w:tcW w:w="3600" w:type="dxa"/>
            <w:shd w:val="clear" w:color="auto" w:fill="EDEDED"/>
          </w:tcPr>
          <w:p>
            <w:r>
              <w:rPr>
                <w:b/>
                <w:sz w:val="20"/>
                <w:rFonts w:ascii="Calibri" w:hAnsi="Calibri"/>
              </w:rPr>
              <w:t>Valor base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$200.000/mes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$1.000.000 - $9.999.999/mes</w:t>
            </w:r>
          </w:p>
        </w:tc>
        <w:tc>
          <w:tcPr>
            <w:tcW w:w="3932" w:type="dxa"/>
          </w:tcPr>
          <w:p>
            <w:r>
              <w:rPr>
                <w:sz w:val="20"/>
                <w:rFonts w:ascii="Calibri" w:hAnsi="Calibri"/>
              </w:rPr>
              <w:t>Desde $10.000.000/mes</w:t>
            </w:r>
          </w:p>
        </w:tc>
      </w:tr>
      <w:tr>
        <w:tc>
          <w:tcPr>
            <w:tcW w:w="3600" w:type="dxa"/>
            <w:shd w:val="clear" w:color="auto" w:fill="EDEDED"/>
          </w:tcPr>
          <w:p>
            <w:r>
              <w:rPr>
                <w:b/>
                <w:sz w:val="20"/>
                <w:rFonts w:ascii="Calibri" w:hAnsi="Calibri"/>
              </w:rPr>
              <w:t>Venta directa en la plataforma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Si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Si</w:t>
            </w:r>
          </w:p>
        </w:tc>
        <w:tc>
          <w:tcPr>
            <w:tcW w:w="3932" w:type="dxa"/>
          </w:tcPr>
          <w:p>
            <w:r>
              <w:rPr>
                <w:b/>
                <w:color w:val="C00000"/>
                <w:sz w:val="20"/>
                <w:rFonts w:ascii="Calibri" w:hAnsi="Calibri"/>
              </w:rPr>
              <w:t>No</w:t>
            </w:r>
          </w:p>
        </w:tc>
      </w:tr>
      <w:tr>
        <w:tc>
          <w:tcPr>
            <w:tcW w:w="3600" w:type="dxa"/>
            <w:shd w:val="clear" w:color="auto" w:fill="EDEDED"/>
          </w:tcPr>
          <w:p>
            <w:r>
              <w:rPr>
                <w:b/>
                <w:sz w:val="20"/>
                <w:rFonts w:ascii="Calibri" w:hAnsi="Calibri"/>
              </w:rPr>
              <w:t>Comision sobre ventas propias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15%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10%</w:t>
            </w:r>
          </w:p>
        </w:tc>
        <w:tc>
          <w:tcPr>
            <w:tcW w:w="3932" w:type="dxa"/>
          </w:tcPr>
          <w:p>
            <w:r>
              <w:rPr>
                <w:sz w:val="20"/>
                <w:rFonts w:ascii="Calibri" w:hAnsi="Calibri"/>
              </w:rPr>
              <w:t>No aplica (no vende)</w:t>
            </w:r>
          </w:p>
        </w:tc>
      </w:tr>
      <w:tr>
        <w:tc>
          <w:tcPr>
            <w:tcW w:w="3600" w:type="dxa"/>
            <w:shd w:val="clear" w:color="auto" w:fill="EDEDED"/>
          </w:tcPr>
          <w:p>
            <w:r>
              <w:rPr>
                <w:b/>
                <w:sz w:val="20"/>
                <w:rFonts w:ascii="Calibri" w:hAnsi="Calibri"/>
              </w:rPr>
              <w:t>% maximo de Llaves en compra propia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20%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45% (ver nota 1)</w:t>
            </w:r>
          </w:p>
        </w:tc>
        <w:tc>
          <w:tcPr>
            <w:tcW w:w="3932" w:type="dxa"/>
          </w:tcPr>
          <w:p>
            <w:r>
              <w:rPr>
                <w:sz w:val="20"/>
                <w:rFonts w:ascii="Calibri" w:hAnsi="Calibri"/>
              </w:rPr>
              <w:t>No aplica (no vende)</w:t>
            </w:r>
          </w:p>
        </w:tc>
      </w:tr>
      <w:tr>
        <w:tc>
          <w:tcPr>
            <w:tcW w:w="3600" w:type="dxa"/>
            <w:shd w:val="clear" w:color="auto" w:fill="EDEDED"/>
          </w:tcPr>
          <w:p>
            <w:r>
              <w:rPr>
                <w:b/>
                <w:sz w:val="20"/>
                <w:rFonts w:ascii="Calibri" w:hAnsi="Calibri"/>
              </w:rPr>
              <w:t>Limite de productos activos propios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10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50 (ver nota 1)</w:t>
            </w:r>
          </w:p>
        </w:tc>
        <w:tc>
          <w:tcPr>
            <w:tcW w:w="3932" w:type="dxa"/>
          </w:tcPr>
          <w:p>
            <w:r>
              <w:rPr>
                <w:sz w:val="20"/>
                <w:rFonts w:ascii="Calibri" w:hAnsi="Calibri"/>
              </w:rPr>
              <w:t>No aplica (no vende)</w:t>
            </w:r>
          </w:p>
        </w:tc>
      </w:tr>
    </w:tbl>
    <w:p>
      <w:pPr>
        <w:spacing w:before="120" w:after="240"/>
      </w:pPr>
      <w:r>
        <w:rPr>
          <w:i/>
          <w:color w:val="595959"/>
          <w:sz w:val="17"/>
          <w:rFonts w:ascii="Calibri" w:hAnsi="Calibri"/>
        </w:rPr>
        <w:t>Nota 1: el manual funcional original sugiere 40% de Llaves para Estandar y el sistema actual tiene configurado un limite de 100 productos activos. El equipo ajusto estos valores a 45% y 50 respectivamente; se recomienda confirmar explicitamente con direccion antes de implementar, ya que difieren de lo documentado previamente.</w:t>
      </w:r>
    </w:p>
    <w:p>
      <w:pPr>
        <w:spacing w:before="120" w:after="120"/>
      </w:pPr>
      <w:r>
        <w:rPr>
          <w:b/>
          <w:color w:val="1F3864"/>
          <w:sz w:val="26"/>
          <w:rFonts w:ascii="Calibri" w:hAnsi="Calibri"/>
        </w:rPr>
        <w:t>2. Publicidad, juegos y visibilidad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600"/>
        <w:gridCol w:w="3933"/>
        <w:gridCol w:w="3933"/>
        <w:gridCol w:w="3932"/>
      </w:tblGrid>
      <w:tr>
        <w:tc>
          <w:tcPr>
            <w:tcW w:w="3600" w:type="dxa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  <w:rFonts w:ascii="Calibri" w:hAnsi="Calibri"/>
              </w:rPr>
              <w:t> </w:t>
            </w:r>
          </w:p>
        </w:tc>
        <w:tc>
          <w:tcPr>
            <w:tcW w:w="3933" w:type="dxa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ascii="Calibri" w:hAnsi="Calibri"/>
              </w:rPr>
              <w:t>Basico</w:t>
            </w:r>
          </w:p>
        </w:tc>
        <w:tc>
          <w:tcPr>
            <w:tcW w:w="3933" w:type="dxa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ascii="Calibri" w:hAnsi="Calibri"/>
              </w:rPr>
              <w:t>Estandar</w:t>
            </w:r>
          </w:p>
        </w:tc>
        <w:tc>
          <w:tcPr>
            <w:tcW w:w="3932" w:type="dxa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ascii="Calibri" w:hAnsi="Calibri"/>
              </w:rPr>
              <w:t>Premium</w:t>
            </w:r>
          </w:p>
        </w:tc>
      </w:tr>
      <w:tr>
        <w:tc>
          <w:tcPr>
            <w:tcW w:w="3600" w:type="dxa"/>
            <w:shd w:val="clear" w:color="auto" w:fill="EDEDED"/>
          </w:tcPr>
          <w:p>
            <w:r>
              <w:rPr>
                <w:b/>
                <w:sz w:val="20"/>
                <w:rFonts w:ascii="Calibri" w:hAnsi="Calibri"/>
              </w:rPr>
              <w:t>Publicar anuncios (Ads)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No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Si, hasta 20 activos</w:t>
            </w:r>
          </w:p>
        </w:tc>
        <w:tc>
          <w:tcPr>
            <w:tcW w:w="3932" w:type="dxa"/>
          </w:tcPr>
          <w:p>
            <w:r>
              <w:rPr>
                <w:sz w:val="20"/>
                <w:rFonts w:ascii="Calibri" w:hAnsi="Calibri"/>
              </w:rPr>
              <w:t>Si, hasta 100 activos</w:t>
            </w:r>
          </w:p>
        </w:tc>
      </w:tr>
      <w:tr>
        <w:tc>
          <w:tcPr>
            <w:tcW w:w="3600" w:type="dxa"/>
            <w:shd w:val="clear" w:color="auto" w:fill="EDEDED"/>
          </w:tcPr>
          <w:p>
            <w:r>
              <w:rPr>
                <w:b/>
                <w:sz w:val="20"/>
                <w:rFonts w:ascii="Calibri" w:hAnsi="Calibri"/>
              </w:rPr>
              <w:t>Juegos brandeados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No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Si, hasta 5 activos</w:t>
            </w:r>
          </w:p>
        </w:tc>
        <w:tc>
          <w:tcPr>
            <w:tcW w:w="3932" w:type="dxa"/>
          </w:tcPr>
          <w:p>
            <w:r>
              <w:rPr>
                <w:sz w:val="20"/>
                <w:rFonts w:ascii="Calibri" w:hAnsi="Calibri"/>
              </w:rPr>
              <w:t>Si, hasta 20 activos</w:t>
            </w:r>
          </w:p>
        </w:tc>
      </w:tr>
      <w:tr>
        <w:tc>
          <w:tcPr>
            <w:tcW w:w="3600" w:type="dxa"/>
            <w:shd w:val="clear" w:color="auto" w:fill="EDEDED"/>
          </w:tcPr>
          <w:p>
            <w:r>
              <w:rPr>
                <w:b/>
                <w:sz w:val="20"/>
                <w:rFonts w:ascii="Calibri" w:hAnsi="Calibri"/>
              </w:rPr>
              <w:t>Encuestas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No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Si, hasta 10 activas</w:t>
            </w:r>
          </w:p>
        </w:tc>
        <w:tc>
          <w:tcPr>
            <w:tcW w:w="3932" w:type="dxa"/>
          </w:tcPr>
          <w:p>
            <w:r>
              <w:rPr>
                <w:sz w:val="20"/>
                <w:rFonts w:ascii="Calibri" w:hAnsi="Calibri"/>
              </w:rPr>
              <w:t>Si, hasta 50 activas</w:t>
            </w:r>
          </w:p>
        </w:tc>
      </w:tr>
      <w:tr>
        <w:tc>
          <w:tcPr>
            <w:tcW w:w="3600" w:type="dxa"/>
            <w:shd w:val="clear" w:color="auto" w:fill="EDEDED"/>
          </w:tcPr>
          <w:p>
            <w:r>
              <w:rPr>
                <w:b/>
                <w:sz w:val="20"/>
                <w:rFonts w:ascii="Calibri" w:hAnsi="Calibri"/>
              </w:rPr>
              <w:t>Boost de prioridad en visibilidad (banners/recomendaciones)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0%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20%</w:t>
            </w:r>
          </w:p>
        </w:tc>
        <w:tc>
          <w:tcPr>
            <w:tcW w:w="3932" w:type="dxa"/>
          </w:tcPr>
          <w:p>
            <w:r>
              <w:rPr>
                <w:sz w:val="20"/>
                <w:rFonts w:ascii="Calibri" w:hAnsi="Calibri"/>
              </w:rPr>
              <w:t>50%</w:t>
            </w:r>
          </w:p>
        </w:tc>
      </w:tr>
      <w:tr>
        <w:tc>
          <w:tcPr>
            <w:tcW w:w="3600" w:type="dxa"/>
            <w:shd w:val="clear" w:color="auto" w:fill="EDEDED"/>
          </w:tcPr>
          <w:p>
            <w:r>
              <w:rPr>
                <w:b/>
                <w:sz w:val="20"/>
                <w:rFonts w:ascii="Calibri" w:hAnsi="Calibri"/>
              </w:rPr>
              <w:t>Patrocinio de mascotas/avatares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No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No</w:t>
            </w:r>
          </w:p>
        </w:tc>
        <w:tc>
          <w:tcPr>
            <w:tcW w:w="3932" w:type="dxa"/>
          </w:tcPr>
          <w:p>
            <w:r>
              <w:rPr>
                <w:b/>
                <w:color w:val="1F6B3A"/>
                <w:sz w:val="20"/>
                <w:rFonts w:ascii="Calibri" w:hAnsi="Calibri"/>
              </w:rPr>
              <w:t>Exclusivo Premium</w:t>
            </w:r>
          </w:p>
        </w:tc>
      </w:tr>
    </w:tbl>
    <w:p>
      <w:pPr>
        <w:spacing w:before="120" w:after="120"/>
      </w:pPr>
      <w:r>
        <w:rPr>
          <w:b/>
          <w:color w:val="1F3864"/>
          <w:sz w:val="26"/>
          <w:rFonts w:ascii="Calibri" w:hAnsi="Calibri"/>
        </w:rPr>
        <w:t>3. Aliados y recomendaciones patrocinadas (la pieza que compensa la venta)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600"/>
        <w:gridCol w:w="3933"/>
        <w:gridCol w:w="3933"/>
        <w:gridCol w:w="3932"/>
      </w:tblGrid>
      <w:tr>
        <w:tc>
          <w:tcPr>
            <w:tcW w:w="3600" w:type="dxa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  <w:rFonts w:ascii="Calibri" w:hAnsi="Calibri"/>
              </w:rPr>
              <w:t> </w:t>
            </w:r>
          </w:p>
        </w:tc>
        <w:tc>
          <w:tcPr>
            <w:tcW w:w="3933" w:type="dxa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ascii="Calibri" w:hAnsi="Calibri"/>
              </w:rPr>
              <w:t>Basico</w:t>
            </w:r>
          </w:p>
        </w:tc>
        <w:tc>
          <w:tcPr>
            <w:tcW w:w="3933" w:type="dxa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ascii="Calibri" w:hAnsi="Calibri"/>
              </w:rPr>
              <w:t>Estandar</w:t>
            </w:r>
          </w:p>
        </w:tc>
        <w:tc>
          <w:tcPr>
            <w:tcW w:w="3932" w:type="dxa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ascii="Calibri" w:hAnsi="Calibri"/>
              </w:rPr>
              <w:t>Premium</w:t>
            </w:r>
          </w:p>
        </w:tc>
      </w:tr>
      <w:tr>
        <w:tc>
          <w:tcPr>
            <w:tcW w:w="3600" w:type="dxa"/>
            <w:shd w:val="clear" w:color="auto" w:fill="EDEDED"/>
          </w:tcPr>
          <w:p>
            <w:r>
              <w:rPr>
                <w:b/>
                <w:sz w:val="20"/>
                <w:rFonts w:ascii="Calibri" w:hAnsi="Calibri"/>
              </w:rPr>
              <w:t>Puede ser recomendado como aliado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Si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Si</w:t>
            </w:r>
          </w:p>
        </w:tc>
        <w:tc>
          <w:tcPr>
            <w:tcW w:w="3932" w:type="dxa"/>
          </w:tcPr>
          <w:p>
            <w:r>
              <w:rPr>
                <w:sz w:val="20"/>
                <w:rFonts w:ascii="Calibri" w:hAnsi="Calibri"/>
              </w:rPr>
              <w:t>No aplica (no recibe, patrocina)</w:t>
            </w:r>
          </w:p>
        </w:tc>
      </w:tr>
      <w:tr>
        <w:tc>
          <w:tcPr>
            <w:tcW w:w="3600" w:type="dxa"/>
            <w:shd w:val="clear" w:color="auto" w:fill="EDEDED"/>
          </w:tcPr>
          <w:p>
            <w:r>
              <w:rPr>
                <w:b/>
                <w:sz w:val="20"/>
                <w:rFonts w:ascii="Calibri" w:hAnsi="Calibri"/>
              </w:rPr>
              <w:t>Puede seleccionar y patrocinar aliados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No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No</w:t>
            </w:r>
          </w:p>
        </w:tc>
        <w:tc>
          <w:tcPr>
            <w:tcW w:w="3932" w:type="dxa"/>
          </w:tcPr>
          <w:p>
            <w:r>
              <w:rPr>
                <w:b/>
                <w:color w:val="1F6B3A"/>
                <w:sz w:val="20"/>
                <w:rFonts w:ascii="Calibri" w:hAnsi="Calibri"/>
              </w:rPr>
              <w:t>Si - motor nuevo [En desarrollo]</w:t>
            </w:r>
          </w:p>
        </w:tc>
      </w:tr>
      <w:tr>
        <w:tc>
          <w:tcPr>
            <w:tcW w:w="3600" w:type="dxa"/>
            <w:shd w:val="clear" w:color="auto" w:fill="EDEDED"/>
          </w:tcPr>
          <w:p>
            <w:r>
              <w:rPr>
                <w:b/>
                <w:sz w:val="20"/>
                <w:rFonts w:ascii="Calibri" w:hAnsi="Calibri"/>
              </w:rPr>
              <w:t>Ranking de aliados patrocinados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No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No</w:t>
            </w:r>
          </w:p>
        </w:tc>
        <w:tc>
          <w:tcPr>
            <w:tcW w:w="3932" w:type="dxa"/>
          </w:tcPr>
          <w:p>
            <w:r>
              <w:rPr>
                <w:sz w:val="20"/>
                <w:rFonts w:ascii="Calibri" w:hAnsi="Calibri"/>
              </w:rPr>
              <w:t>Si [En desarrollo]</w:t>
            </w:r>
          </w:p>
        </w:tc>
      </w:tr>
    </w:tbl>
    <w:p>
      <w:pPr>
        <w:spacing w:before="120" w:after="120"/>
      </w:pPr>
      <w:r>
        <w:rPr>
          <w:b/>
          <w:color w:val="1F3864"/>
          <w:sz w:val="26"/>
          <w:rFonts w:ascii="Calibri" w:hAnsi="Calibri"/>
        </w:rPr>
        <w:t>4. Metricas (diferenciacion por plan)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600"/>
        <w:gridCol w:w="3933"/>
        <w:gridCol w:w="3933"/>
        <w:gridCol w:w="3932"/>
      </w:tblGrid>
      <w:tr>
        <w:tc>
          <w:tcPr>
            <w:tcW w:w="3600" w:type="dxa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  <w:rFonts w:ascii="Calibri" w:hAnsi="Calibri"/>
              </w:rPr>
              <w:t> </w:t>
            </w:r>
          </w:p>
        </w:tc>
        <w:tc>
          <w:tcPr>
            <w:tcW w:w="3933" w:type="dxa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ascii="Calibri" w:hAnsi="Calibri"/>
              </w:rPr>
              <w:t>Basico</w:t>
            </w:r>
          </w:p>
        </w:tc>
        <w:tc>
          <w:tcPr>
            <w:tcW w:w="3933" w:type="dxa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ascii="Calibri" w:hAnsi="Calibri"/>
              </w:rPr>
              <w:t>Estandar</w:t>
            </w:r>
          </w:p>
        </w:tc>
        <w:tc>
          <w:tcPr>
            <w:tcW w:w="3932" w:type="dxa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ascii="Calibri" w:hAnsi="Calibri"/>
              </w:rPr>
              <w:t>Premium</w:t>
            </w:r>
          </w:p>
        </w:tc>
      </w:tr>
      <w:tr>
        <w:tc>
          <w:tcPr>
            <w:tcW w:w="3600" w:type="dxa"/>
            <w:shd w:val="clear" w:color="auto" w:fill="EDEDED"/>
          </w:tcPr>
          <w:p>
            <w:r>
              <w:rPr>
                <w:b/>
                <w:sz w:val="20"/>
                <w:rFonts w:ascii="Calibri" w:hAnsi="Calibri"/>
              </w:rPr>
              <w:t>Acceso a metricas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Ninguna</w:t>
            </w:r>
          </w:p>
        </w:tc>
        <w:tc>
          <w:tcPr>
            <w:tcW w:w="3933" w:type="dxa"/>
          </w:tcPr>
          <w:p>
            <w:r>
              <w:rPr>
                <w:b/>
                <w:sz w:val="20"/>
                <w:rFonts w:ascii="Calibri" w:hAnsi="Calibri"/>
              </w:rPr>
              <w:t>Operativas (nivel base)</w:t>
            </w:r>
          </w:p>
        </w:tc>
        <w:tc>
          <w:tcPr>
            <w:tcW w:w="3932" w:type="dxa"/>
          </w:tcPr>
          <w:p>
            <w:r>
              <w:rPr>
                <w:b/>
                <w:sz w:val="20"/>
                <w:rFonts w:ascii="Calibri" w:hAnsi="Calibri"/>
              </w:rPr>
              <w:t>Operativas + avanzadas</w:t>
            </w:r>
          </w:p>
        </w:tc>
      </w:tr>
      <w:tr>
        <w:tc>
          <w:tcPr>
            <w:tcW w:w="3600" w:type="dxa"/>
            <w:shd w:val="clear" w:color="auto" w:fill="EDEDED"/>
          </w:tcPr>
          <w:p>
            <w:r>
              <w:rPr>
                <w:b/>
                <w:sz w:val="20"/>
                <w:rFonts w:ascii="Calibri" w:hAnsi="Calibri"/>
              </w:rPr>
              <w:t>Estadisticas de anuncios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No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Si [Ya disponible]</w:t>
            </w:r>
          </w:p>
        </w:tc>
        <w:tc>
          <w:tcPr>
            <w:tcW w:w="3932" w:type="dxa"/>
          </w:tcPr>
          <w:p>
            <w:r>
              <w:rPr>
                <w:sz w:val="20"/>
                <w:rFonts w:ascii="Calibri" w:hAnsi="Calibri"/>
              </w:rPr>
              <w:t>Si, todo lo de Estandar</w:t>
            </w:r>
          </w:p>
        </w:tc>
      </w:tr>
      <w:tr>
        <w:tc>
          <w:tcPr>
            <w:tcW w:w="3600" w:type="dxa"/>
            <w:shd w:val="clear" w:color="auto" w:fill="EDEDED"/>
          </w:tcPr>
          <w:p>
            <w:r>
              <w:rPr>
                <w:b/>
                <w:sz w:val="20"/>
                <w:rFonts w:ascii="Calibri" w:hAnsi="Calibri"/>
              </w:rPr>
              <w:t>Estadisticas de encuestas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No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Si [Ya disponible]</w:t>
            </w:r>
          </w:p>
        </w:tc>
        <w:tc>
          <w:tcPr>
            <w:tcW w:w="3932" w:type="dxa"/>
          </w:tcPr>
          <w:p>
            <w:r>
              <w:rPr>
                <w:sz w:val="20"/>
                <w:rFonts w:ascii="Calibri" w:hAnsi="Calibri"/>
              </w:rPr>
              <w:t>Si, todo lo de Estandar</w:t>
            </w:r>
          </w:p>
        </w:tc>
      </w:tr>
      <w:tr>
        <w:tc>
          <w:tcPr>
            <w:tcW w:w="3600" w:type="dxa"/>
            <w:shd w:val="clear" w:color="auto" w:fill="EDEDED"/>
          </w:tcPr>
          <w:p>
            <w:r>
              <w:rPr>
                <w:b/>
                <w:sz w:val="20"/>
                <w:rFonts w:ascii="Calibri" w:hAnsi="Calibri"/>
              </w:rPr>
              <w:t>Estadisticas de juegos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No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Si, con los datos ya existentes</w:t>
            </w:r>
          </w:p>
        </w:tc>
        <w:tc>
          <w:tcPr>
            <w:tcW w:w="3932" w:type="dxa"/>
          </w:tcPr>
          <w:p>
            <w:r>
              <w:rPr>
                <w:sz w:val="20"/>
                <w:rFonts w:ascii="Calibri" w:hAnsi="Calibri"/>
              </w:rPr>
              <w:t>Si, todo lo de Estandar</w:t>
            </w:r>
          </w:p>
        </w:tc>
      </w:tr>
      <w:tr>
        <w:tc>
          <w:tcPr>
            <w:tcW w:w="3600" w:type="dxa"/>
            <w:shd w:val="clear" w:color="auto" w:fill="EDEDED"/>
          </w:tcPr>
          <w:p>
            <w:r>
              <w:rPr>
                <w:b/>
                <w:sz w:val="20"/>
                <w:rFonts w:ascii="Calibri" w:hAnsi="Calibri"/>
              </w:rPr>
              <w:t>Metricas de remision y atribucion de aliados (impresiones y clics)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No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No</w:t>
            </w:r>
          </w:p>
        </w:tc>
        <w:tc>
          <w:tcPr>
            <w:tcW w:w="3932" w:type="dxa"/>
          </w:tcPr>
          <w:p>
            <w:r>
              <w:rPr>
                <w:b/>
                <w:color w:val="1F6B3A"/>
                <w:sz w:val="20"/>
                <w:rFonts w:ascii="Calibri" w:hAnsi="Calibri"/>
              </w:rPr>
              <w:t>Exclusivo Premium [En desarrollo]</w:t>
            </w:r>
          </w:p>
        </w:tc>
      </w:tr>
      <w:tr>
        <w:tc>
          <w:tcPr>
            <w:tcW w:w="3600" w:type="dxa"/>
            <w:shd w:val="clear" w:color="auto" w:fill="EDEDED"/>
          </w:tcPr>
          <w:p>
            <w:r>
              <w:rPr>
                <w:b/>
                <w:sz w:val="20"/>
                <w:rFonts w:ascii="Calibri" w:hAnsi="Calibri"/>
              </w:rPr>
              <w:t>Cantidad de visualizaciones a pagina oficial del empresario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No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No</w:t>
            </w:r>
          </w:p>
        </w:tc>
        <w:tc>
          <w:tcPr>
            <w:tcW w:w="3932" w:type="dxa"/>
          </w:tcPr>
          <w:p>
            <w:r>
              <w:rPr>
                <w:b/>
                <w:color w:val="1F6B3A"/>
                <w:sz w:val="20"/>
                <w:rFonts w:ascii="Calibri" w:hAnsi="Calibri"/>
              </w:rPr>
              <w:t>Exclusivo Premium [En desarrollo]</w:t>
            </w:r>
          </w:p>
        </w:tc>
      </w:tr>
      <w:tr>
        <w:tc>
          <w:tcPr>
            <w:tcW w:w="3600" w:type="dxa"/>
            <w:shd w:val="clear" w:color="auto" w:fill="EDEDED"/>
          </w:tcPr>
          <w:p>
            <w:r>
              <w:rPr>
                <w:b/>
                <w:sz w:val="20"/>
                <w:rFonts w:ascii="Calibri" w:hAnsi="Calibri"/>
              </w:rPr>
              <w:t>Consumos en la tienda virtual de mascotas por producto patrocinado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No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No</w:t>
            </w:r>
          </w:p>
        </w:tc>
        <w:tc>
          <w:tcPr>
            <w:tcW w:w="3932" w:type="dxa"/>
          </w:tcPr>
          <w:p>
            <w:r>
              <w:rPr>
                <w:b/>
                <w:color w:val="1F6B3A"/>
                <w:sz w:val="20"/>
                <w:rFonts w:ascii="Calibri" w:hAnsi="Calibri"/>
              </w:rPr>
              <w:t>Exclusivo Premium [En desarrollo - equipo de mascotas]</w:t>
            </w:r>
          </w:p>
        </w:tc>
      </w:tr>
      <w:tr>
        <w:tc>
          <w:tcPr>
            <w:tcW w:w="3600" w:type="dxa"/>
            <w:shd w:val="clear" w:color="auto" w:fill="EDEDED"/>
          </w:tcPr>
          <w:p>
            <w:r>
              <w:rPr>
                <w:b/>
                <w:sz w:val="20"/>
                <w:rFonts w:ascii="Calibri" w:hAnsi="Calibri"/>
              </w:rPr>
              <w:t>Reporte ejecutivo exportable (PDF)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No</w:t>
            </w:r>
          </w:p>
        </w:tc>
        <w:tc>
          <w:tcPr>
            <w:tcW w:w="3933" w:type="dxa"/>
          </w:tcPr>
          <w:p>
            <w:r>
              <w:rPr>
                <w:sz w:val="20"/>
                <w:rFonts w:ascii="Calibri" w:hAnsi="Calibri"/>
              </w:rPr>
              <w:t>No</w:t>
            </w:r>
          </w:p>
        </w:tc>
        <w:tc>
          <w:tcPr>
            <w:tcW w:w="3932" w:type="dxa"/>
          </w:tcPr>
          <w:p>
            <w:r>
              <w:rPr>
                <w:b/>
                <w:color w:val="1F6B3A"/>
                <w:sz w:val="20"/>
                <w:rFonts w:ascii="Calibri" w:hAnsi="Calibri"/>
              </w:rPr>
              <w:t>Exclusivo Premium [En desarrollo]</w:t>
            </w:r>
          </w:p>
        </w:tc>
      </w:tr>
    </w:tbl>
    <w:p>
      <w:pPr>
        <w:spacing w:before="120" w:after="240"/>
      </w:pPr>
      <w:r>
        <w:rPr>
          <w:i/>
          <w:color w:val="595959"/>
          <w:sz w:val="17"/>
          <w:rFonts w:ascii="Calibri" w:hAnsi="Calibri"/>
        </w:rPr>
        <w:t>Regla de diseno: Premium no recibe una metrica distinta de cero - recibe todo lo que ya tiene Estandar, mas las metricas nuevas de remision, mascotas y reporte ejecutivo que hoy no existen para ningun plan. Asi se cumple 'si paga mas, recibe mas' sin inventar dos sistemas de metricas paralelos.</w:t>
      </w:r>
    </w:p>
    <w:p>
      <w:pPr>
        <w:spacing w:before="120" w:after="120"/>
      </w:pPr>
      <w:r>
        <w:rPr>
          <w:b/>
          <w:color w:val="1F3864"/>
          <w:sz w:val="26"/>
          <w:rFonts w:ascii="Calibri" w:hAnsi="Calibri"/>
        </w:rPr>
        <w:t>5. Notas y alcance del piloto</w:t>
      </w:r>
    </w:p>
    <w:p>
      <w:pPr>
        <w:ind w:left="284" w:hanging="284"/>
        <w:spacing w:after="80"/>
      </w:pPr>
      <w:r>
        <w:rPr>
          <w:sz w:val="20"/>
          <w:rFonts w:ascii="Calibri" w:hAnsi="Calibri"/>
        </w:rPr>
        <w:t>-  El plan Personalizado / Negociable queda pendiente para una futura actualizacion: se evaluara segun la necesidad real observada en el piloto, no se construye para este lanzamiento.</w:t>
      </w:r>
    </w:p>
    <w:p>
      <w:pPr>
        <w:ind w:left="284" w:hanging="284"/>
        <w:spacing w:after="80"/>
      </w:pPr>
      <w:r>
        <w:rPr>
          <w:sz w:val="20"/>
          <w:rFonts w:ascii="Calibri" w:hAnsi="Calibri"/>
        </w:rPr>
        <w:t>-  La metrica de ventas y valor generado para aliados (en pesos) queda como mejora posterior al piloto: requiere que el motor de recomendaciones este estable antes de construir la atribucion financiera sobre el flujo de pagos, que es una parte sensible del sistema.</w:t>
      </w:r>
    </w:p>
    <w:p>
      <w:pPr>
        <w:ind w:left="284" w:hanging="284"/>
        <w:spacing w:after="80"/>
      </w:pPr>
      <w:r>
        <w:rPr>
          <w:sz w:val="20"/>
          <w:rFonts w:ascii="Calibri" w:hAnsi="Calibri"/>
        </w:rPr>
        <w:t>-  Los elementos marcados como [En desarrollo] estan priorizados para completarse dentro de las 2-3 semanas previas al lanzamiento a produccion.</w:t>
      </w:r>
    </w:p>
    <w:sectPr>
      <w:pgSz w:w="16838" w:h="11906" w:orient="landscape"/>
      <w:pgMar w:top="720" w:right="720" w:bottom="720" w:left="720" w:header="708" w:footer="708" w:gutter="0"/>
    </w:sectPr>
  </w:body>
</w:document>
</file>

<file path=word/_rels/document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VerYGana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Tabla comparativa de planes VERYGANA</dc:title>
  <dc:creator>VERYGANA</dc:creator>
  <dcterms:created xsi:type="dcterms:W3CDTF">2026-07-22T00:00:00Z</dcterms:created>
  <dcterms:modified xsi:type="dcterms:W3CDTF">2026-07-22T00:00:00Z</dcterms:modified>
</cp:coreProperties>
</file>