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40"/>
          <w:szCs w:val="40"/>
          <w:rFonts w:ascii="Calibri" w:cs="Calibri" w:eastAsia="Calibri" w:hAnsi="Calibri"/>
        </w:rPr>
        <w:t xml:space="preserve">Pruebas de integración del sistema financiero (finance)</w:t>
      </w:r>
    </w:p>
    <w:p>
      <w:pPr>
        <w:spacing w:after="200" w:before="0"/>
      </w:pPr>
      <w:r>
        <w:rPr>
          <w:sz w:val="22"/>
          <w:szCs w:val="22"/>
          <w:rFonts w:ascii="Calibri" w:cs="Calibri" w:eastAsia="Calibri" w:hAnsi="Calibri"/>
        </w:rPr>
        <w:t xml:space="preserve">Este documento es el inventario completo de las pruebas de integración del dominio finance de VERYGANA. Recoge las 83 pruebas repartidas en 7 clases de test: los *SecurityIntegrationTest de payouts, métodos de pago, tesorería, wallet de comercial, cambio de plan y wallet de llaves del consumer — repartidos en varios paquetes (controllers.admin, controllers.commercial, controllers.finance.plans, controllers.keys) porque el dominio finance atraviesa varias capas de rol (ADMIN, COMMERCIAL, CONSUMER).</w:t>
      </w:r>
    </w:p>
    <w:p>
      <w:pPr>
        <w:spacing w:after="200" w:before="0"/>
      </w:pPr>
      <w:r>
        <w:rPr>
          <w:b/>
          <w:bCs/>
          <w:sz w:val="22"/>
          <w:szCs w:val="22"/>
          <w:rFonts w:ascii="Calibri" w:cs="Calibri" w:eastAsia="Calibri" w:hAnsi="Calibri"/>
        </w:rPr>
        <w:t xml:space="preserve">Las 83 pruebas pasan.</w:t>
      </w:r>
    </w:p>
    <w:p>
      <w:pPr>
        <w:spacing w:after="200" w:before="0"/>
      </w:pPr>
      <w:r>
        <w:rPr>
          <w:sz w:val="22"/>
          <w:szCs w:val="22"/>
          <w:rFonts w:ascii="Calibri" w:cs="Calibri" w:eastAsia="Calibri" w:hAnsi="Calibri"/>
        </w:rPr>
        <w:t xml:space="preserve">Qué se entiende por prueba de integración aquí. Igual que en los documentos de marketplace y raffles: @WebMvcTest sobre un único controller + @Import(SecurityConfig.class) para traer la configuración de Spring Security REAL (filtros JWT, @PreAuthorize/hasRole/hasAnyRole, la regla por defecto anyRequest().authenticated()). El service se reemplaza con @MockitoBean — no se prueba lógica de negocio financiera (cálculo de comisiones, reservas, etc.), solo que la petición HTTP real, contra el filtro de seguridad real, con un JWT real, recibe el código de estado correcto y solo llega al service cuando la autorización lo permite.</w:t>
      </w:r>
    </w:p>
    <w:p>
      <w:pPr>
        <w:spacing w:after="200" w:before="0"/>
      </w:pPr>
      <w:r>
        <w:rPr>
          <w:sz w:val="22"/>
          <w:szCs w:val="22"/>
          <w:rFonts w:ascii="Calibri" w:cs="Calibri" w:eastAsia="Calibri" w:hAnsi="Calibri"/>
        </w:rPr>
        <w:t xml:space="preserve">Qué NO cubre este documento. Se documentan aparte las pruebas unitarias de la misma capa (controllers con Mockito puro, sin Spring) y las pruebas de repositorio (ver «Pruebas de repositorio finance»). Ninguna clase de este documento ejercita Wompi real, cálculo de payouts, ni movimientos de tesorería reales — todo eso vive detrás del service mockeado.</w:t>
      </w:r>
    </w:p>
    <w:p>
      <w:pPr>
        <w:spacing w:after="60" w:before="0"/>
      </w:pPr>
      <w:r>
        <w:rPr>
          <w:sz w:val="22"/>
          <w:szCs w:val="22"/>
          <w:rFonts w:ascii="Calibri" w:cs="Calibri" w:eastAsia="Calibri" w:hAnsi="Calibri"/>
        </w:rPr>
        <w:t xml:space="preserve">Detalles a tener en cuenta al leer los tests:</w:t>
      </w:r>
    </w:p>
    <w:p>
      <w:pPr>
        <w:spacing w:after="40" w:before="0"/>
      </w:pPr>
      <w:r>
        <w:rPr>
          <w:sz w:val="22"/>
          <w:szCs w:val="22"/>
          <w:rFonts w:ascii="Calibri" w:cs="Calibri" w:eastAsia="Calibri" w:hAnsi="Calibri"/>
        </w:rPr>
        <w:t xml:space="preserve">• TreasuryAdminControllerSecurityIntegrationTest es el caso más rico del documento: /admin/treasury/** exige ADMIN a nivel de clase, PERO GET /config/keys-reserve-pct tiene un override de método a hasAnyRole('ADMIN','COMMERCIAL') — el único endpoint de todo el dominio finance con dos niveles de autorización distintos en el mismo controller. El test cubre las 3 combinaciones: /balance y /movements solo ADMIN (COMMERCIAL se deniega), y /config/keys-reserve-pct permite ADMIN y COMMERCIAL pero deniega CONSUMER.</w:t>
      </w:r>
    </w:p>
    <w:p>
      <w:pPr>
        <w:spacing w:after="40" w:before="0"/>
      </w:pPr>
      <w:r>
        <w:rPr>
          <w:sz w:val="22"/>
          <w:szCs w:val="22"/>
          <w:rFonts w:ascii="Calibri" w:cs="Calibri" w:eastAsia="Calibri" w:hAnsi="Calibri"/>
        </w:rPr>
        <w:t xml:space="preserve">• PayoutMethodAdminControllerSecurityIntegrationTest deja fuera de cobertura funcional (no de autorización) GET /{id}/certificate: como hace streaming directo sobre HttpServletResponse, MockMvc no provee un OutputStream real, así que solo se verifica el código de rechazo (401/403), sin poder afirmar el 200 con ADMIN — está documentado explícitamente en el Javadoc de la clase.</w:t>
      </w:r>
    </w:p>
    <w:p>
      <w:pPr>
        <w:spacing w:after="200" w:before="0"/>
      </w:pPr>
      <w:r>
        <w:rPr>
          <w:sz w:val="22"/>
          <w:szCs w:val="22"/>
          <w:rFonts w:ascii="Calibri" w:cs="Calibri" w:eastAsia="Calibri" w:hAnsi="Calibri"/>
        </w:rPr>
        <w:t xml:space="preserve">• PayoutMethodControllerSecurityIntegrationTest y PlanChangeRequestControllerSecurityIntegrationTest, con 8 y 6 endpoints respectivamente bajo la misma regla hasRole('COMMERCIAL'), priorizan el trío completo (sin token/rol incorrecto/rol correcto) en los endpoints con lógica más sensible (crear, verify-otp, set-default, approve-contract, top-up-checkout) y sin-token+rol-correcto en el resto — mismo criterio que AllyPromotionControllerSecurityIntegrationTest en el documento de marketplace.</w:t>
      </w:r>
    </w:p>
    <w:p>
      <w:pPr>
        <w:pStyle w:val="Heading1"/>
        <w:spacing w:before="320" w:after="160"/>
      </w:pPr>
      <w:r>
        <w:rPr>
          <w:b/>
          <w:bCs/>
          <w:sz w:val="32"/>
          <w:szCs w:val="32"/>
          <w:rFonts w:ascii="Calibri" w:cs="Calibri" w:eastAsia="Calibri" w:hAnsi="Calibri"/>
        </w:rPr>
        <w:t xml:space="preserve">Controladores</w:t>
      </w:r>
    </w:p>
    <w:p>
      <w:pPr>
        <w:pStyle w:val="Heading2"/>
        <w:spacing w:before="260" w:after="120"/>
      </w:pPr>
      <w:r>
        <w:rPr>
          <w:b/>
          <w:bCs/>
          <w:sz w:val="26"/>
          <w:szCs w:val="26"/>
          <w:rFonts w:ascii="Calibri" w:cs="Calibri" w:eastAsia="Calibri" w:hAnsi="Calibri"/>
        </w:rPr>
        <w:t xml:space="preserve">1. PayoutMethodControllerSecurityIntegrationTest cubre PayoutMethodController - 21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4%"/>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5%"/>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create_withoutToken_isDenied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/commercial/payout-methods — hasRole('COMMERCIAL')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create_withWrongRole_isForbidden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POST /commercial/payout-methods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create_asCommercial_respondsCreated</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201.</w:t>
            </w:r>
          </w:p>
        </w:tc>
        <w:tc>
          <w:tcPr>
            <w:tcMar>
              <w:top w:type="dxa" w:w="60"/>
              <w:left w:type="dxa" w:w="100"/>
              <w:bottom w:type="dxa" w:w="60"/>
              <w:right w:type="dxa" w:w="100"/>
            </w:tcMar>
          </w:tcPr>
          <w:p>
            <w:r>
              <w:rPr>
                <w:sz w:val="20"/>
                <w:szCs w:val="20"/>
                <w:rFonts w:ascii="Calibri" w:cs="Calibri" w:eastAsia="Calibri" w:hAnsi="Calibri"/>
              </w:rPr>
              <w:t xml:space="preserve">POST /commercial/payout-methods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getBanks_withoutToken_isDenied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/commercial/payout-methods/banks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getBanks_asCommercial_respondsOk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/commercial/payout-methods/banks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verifyOtp_withoutToken_isDenied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/commercial/payout-methods/{id}/verify-otp</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verifyOtp_withWrongRole_isForbidden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POST /commercial/payout-methods/{id}/verify-otp</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verifyOtp_asCommercial_respondsOk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 y propaga el código OTP al service.</w:t>
            </w:r>
          </w:p>
        </w:tc>
        <w:tc>
          <w:tcPr>
            <w:tcMar>
              <w:top w:type="dxa" w:w="60"/>
              <w:left w:type="dxa" w:w="100"/>
              <w:bottom w:type="dxa" w:w="60"/>
              <w:right w:type="dxa" w:w="100"/>
            </w:tcMar>
          </w:tcPr>
          <w:p>
            <w:r>
              <w:rPr>
                <w:sz w:val="20"/>
                <w:szCs w:val="20"/>
                <w:rFonts w:ascii="Calibri" w:cs="Calibri" w:eastAsia="Calibri" w:hAnsi="Calibri"/>
              </w:rPr>
              <w:t xml:space="preserve">POST /commercial/payout-methods/{id}/verify-otp</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resendOtp_withoutToken_isDenied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/commercial/payout-methods/{id}/resend-otp</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resendOtp_asCommercial_respondsOk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/commercial/payout-methods/{id}/resend-otp</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getAll_withoutToken_isDenied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/commercial/payout-methods (listar)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getAll_asCommercial_respondsOk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/commercial/payout-methods (listar)</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deactivate_withoutToken_isDenied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PUT /commercial/payout-methods/{id}/deactivate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deactivate_asCommercial_respondsOk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PUT /commercial/payout-methods/{id}/deactivate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setDefault_withoutToken_isDenied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PUT /commercial/payout-methods/{id}/set-default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setDefault_withWrongRole_isForbidden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PUT /commercial/payout-methods/{id}/set-default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setDefault_asCommercial_respondsOk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PUT /commercial/payout-methods/{id}/set-default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prepareCertificateUpload_withoutToken_isDenied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/commercial/payout-methods/{id}/certificate/prepare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prepareCertificateUpload_asCommercial_respondsOk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/commercial/payout-methods/{id}/certificate/prepare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confirmCertificateUpload_withoutToken_isDenied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/commercial/payout-methods/{id}/certificate/confirm</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confirmCertificateUpload_asCommercial_respondsOk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/commercial/payout-methods/{id}/certificate/confirm</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2. PlanChangeRequestControllerSecurityIntegrationTest cubre PlanChangeRequestController - 17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4%"/>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5%"/>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previewPlanChange_withoutToken_isDenied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/plans/change-request/preview — hasRole('COMMERCIAL')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previewPlanChange_withWrongRole_isForbidden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GET /plans/change-request/preview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previewPlanChange_asCommercial_respondsOk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/plans/change-request/preview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requestPlanChange_withoutToken_isDenied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/plans/change-request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requestPlanChange_withWrongRole_isForbidden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POST /plans/change-request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requestPlanChange_asCommercial_respondsOk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/plans/change-request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getCurrent_withoutToken_isDenied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/plans/change-request/current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getCurrent_asCommercial_respondsOk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/plans/change-request/current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cancel_withoutToken_isDenied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/plans/change-request/{id}/cancel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cancel_withWrongRole_isForbidden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POST /plans/change-request/{id}/cancel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cancel_asCommercial_respondsOk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/plans/change-request/{id}/cancel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approveContract_withoutToken_isDenied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/plans/change-request/contract/{id}/approve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approveContract_withWrongRole_isForbidden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POST /plans/change-request/contract/{id}/approve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approveContract_asCommercial_respondsOk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/plans/change-request/contract/{id}/approve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generateTopUpCheckout_withoutToken_isDenied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/plans/change-request/{id}/top-up-checkout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generateTopUpCheckout_withWrongRole_isForbidden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POST /plans/change-request/{id}/top-up-checkout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generateTopUpCheckout_asCommercial_respondsOk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 (genera el checkout Wompi del faltante para completar el cambio de plan).</w:t>
            </w:r>
          </w:p>
        </w:tc>
        <w:tc>
          <w:tcPr>
            <w:tcMar>
              <w:top w:type="dxa" w:w="60"/>
              <w:left w:type="dxa" w:w="100"/>
              <w:bottom w:type="dxa" w:w="60"/>
              <w:right w:type="dxa" w:w="100"/>
            </w:tcMar>
          </w:tcPr>
          <w:p>
            <w:r>
              <w:rPr>
                <w:sz w:val="20"/>
                <w:szCs w:val="20"/>
                <w:rFonts w:ascii="Calibri" w:cs="Calibri" w:eastAsia="Calibri" w:hAnsi="Calibri"/>
              </w:rPr>
              <w:t xml:space="preserve">POST /plans/change-request/{id}/top-up-checkout</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3. PayoutAdminControllerSecurityIntegrationTest cubre PayoutAdminController - 11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4%"/>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5%"/>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getPayoutsForDate_withoutToken_isDenied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/admin/payouts — hasRole('ADMIN')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getPayoutsForDate_withWrongRole_isForbidden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/admin/payouts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getPayoutsForDate_asAdmin_respondsOk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/admin/payouts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runNow_withoutToken_isDenied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 ninguno de los dos métodos del service (scheduleDailyPayouts + processScheduledPayouts).</w:t>
            </w:r>
          </w:p>
        </w:tc>
        <w:tc>
          <w:tcPr>
            <w:tcMar>
              <w:top w:type="dxa" w:w="60"/>
              <w:left w:type="dxa" w:w="100"/>
              <w:bottom w:type="dxa" w:w="60"/>
              <w:right w:type="dxa" w:w="100"/>
            </w:tcMar>
          </w:tcPr>
          <w:p>
            <w:r>
              <w:rPr>
                <w:sz w:val="20"/>
                <w:szCs w:val="20"/>
                <w:rFonts w:ascii="Calibri" w:cs="Calibri" w:eastAsia="Calibri" w:hAnsi="Calibri"/>
              </w:rPr>
              <w:t xml:space="preserve">POST /admin/payouts/run-now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runNow_withWrongRole_isForbidden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POST /admin/payouts/run-now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runNow_asAdmin_respondsOk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 y dispara ambos pasos: programa y procesa los payouts del día.</w:t>
            </w:r>
          </w:p>
        </w:tc>
        <w:tc>
          <w:tcPr>
            <w:tcMar>
              <w:top w:type="dxa" w:w="60"/>
              <w:left w:type="dxa" w:w="100"/>
              <w:bottom w:type="dxa" w:w="60"/>
              <w:right w:type="dxa" w:w="100"/>
            </w:tcMar>
          </w:tcPr>
          <w:p>
            <w:r>
              <w:rPr>
                <w:sz w:val="20"/>
                <w:szCs w:val="20"/>
                <w:rFonts w:ascii="Calibri" w:cs="Calibri" w:eastAsia="Calibri" w:hAnsi="Calibri"/>
              </w:rPr>
              <w:t xml:space="preserve">POST /admin/payouts/run-now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retryNow_withoutToken_isDenied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/admin/payouts/retry-now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retryNow_asAdmin_respondsOk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/admin/payouts/retry-now</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getWompiStatus_withoutToken_isDenied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/admin/payouts/{id}/wompi-status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getWompiStatus_withWrongRole_isForbidden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/admin/payouts/{id}/wompi-status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getWompiStatus_asAdmin_respondsOk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/admin/payouts/{id}/wompi-status</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4. PayoutMethodAdminControllerSecurityIntegrationTest cubre PayoutMethodAdminController - 11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4%"/>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5%"/>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getByStatus_withoutToken_isDenied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/admin/payout-methods — hasRole('ADMIN')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getByStatus_withWrongRole_isForbidden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/admin/payout-methods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getByStatus_asAdmin_respondsOk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/admin/payout-methods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verify_withoutToken_isDenied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/admin/payout-methods/{id}/verify</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verify_withWrongRole_isForbidden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POST /admin/payout-methods/{id}/verify</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verify_asAdmin_respondsOk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POST /admin/payout-methods/{id}/verify</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reject_withoutToken_isDenied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/admin/payout-methods/{id}/reject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reject_withWrongRole_isForbidden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POST /admin/payout-methods/{id}/reject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reject_asAdmin_respondsOk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 y propaga el motivo del rechazo.</w:t>
            </w:r>
          </w:p>
        </w:tc>
        <w:tc>
          <w:tcPr>
            <w:tcMar>
              <w:top w:type="dxa" w:w="60"/>
              <w:left w:type="dxa" w:w="100"/>
              <w:bottom w:type="dxa" w:w="60"/>
              <w:right w:type="dxa" w:w="100"/>
            </w:tcMar>
          </w:tcPr>
          <w:p>
            <w:r>
              <w:rPr>
                <w:sz w:val="20"/>
                <w:szCs w:val="20"/>
                <w:rFonts w:ascii="Calibri" w:cs="Calibri" w:eastAsia="Calibri" w:hAnsi="Calibri"/>
              </w:rPr>
              <w:t xml:space="preserve">POST /admin/payout-methods/{id}/reject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getCertificate_withoutToken_isDenied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No se verifica el service (el endpoint hace streaming directo sobre HttpServletResponse, sin OutputStream real en este test).</w:t>
            </w:r>
          </w:p>
        </w:tc>
        <w:tc>
          <w:tcPr>
            <w:tcMar>
              <w:top w:type="dxa" w:w="60"/>
              <w:left w:type="dxa" w:w="100"/>
              <w:bottom w:type="dxa" w:w="60"/>
              <w:right w:type="dxa" w:w="100"/>
            </w:tcMar>
          </w:tcPr>
          <w:p>
            <w:r>
              <w:rPr>
                <w:sz w:val="20"/>
                <w:szCs w:val="20"/>
                <w:rFonts w:ascii="Calibri" w:cs="Calibri" w:eastAsia="Calibri" w:hAnsi="Calibri"/>
              </w:rPr>
              <w:t xml:space="preserve">GET /admin/payout-methods/{id}/certificate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getCertificate_withWrongRole_isForbidden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ADMIN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/admin/payout-methods/{id}/certificate</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5. TreasuryAdminControllerSecurityIntegrationTest cubre TreasuryAdminController - 10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4%"/>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5%"/>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getBalance_withoutToken_isDenied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/admin/treasury/balance — hasRole('ADMIN')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getBalance_withCommercial_isForbidden</w:t>
            </w:r>
          </w:p>
        </w:tc>
        <w:tc>
          <w:tcPr>
            <w:tcMar>
              <w:top w:type="dxa" w:w="60"/>
              <w:left w:type="dxa" w:w="100"/>
              <w:bottom w:type="dxa" w:w="60"/>
              <w:right w:type="dxa" w:w="100"/>
            </w:tcMar>
          </w:tcPr>
          <w:p>
            <w:r>
              <w:rPr>
                <w:sz w:val="20"/>
                <w:szCs w:val="20"/>
                <w:rFonts w:ascii="Calibri" w:cs="Calibri" w:eastAsia="Calibri" w:hAnsi="Calibri"/>
              </w:rPr>
              <w:t xml:space="preserve">Con COMMERCIAL se deniega con 403: este endpoint es solo ADMIN, a diferencia de /config/keys-reserve-pct.</w:t>
            </w:r>
          </w:p>
        </w:tc>
        <w:tc>
          <w:tcPr>
            <w:tcMar>
              <w:top w:type="dxa" w:w="60"/>
              <w:left w:type="dxa" w:w="100"/>
              <w:bottom w:type="dxa" w:w="60"/>
              <w:right w:type="dxa" w:w="100"/>
            </w:tcMar>
          </w:tcPr>
          <w:p>
            <w:r>
              <w:rPr>
                <w:sz w:val="20"/>
                <w:szCs w:val="20"/>
                <w:rFonts w:ascii="Calibri" w:cs="Calibri" w:eastAsia="Calibri" w:hAnsi="Calibri"/>
              </w:rPr>
              <w:t xml:space="preserve">GET /admin/treasury/balance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getBalance_asAdmin_respondsOk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/admin/treasury/balance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getMovements_withoutToken_isDenied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/admin/treasury/movements/{code}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getMovements_withCommercial_isForbidden</w:t>
            </w:r>
          </w:p>
        </w:tc>
        <w:tc>
          <w:tcPr>
            <w:tcMar>
              <w:top w:type="dxa" w:w="60"/>
              <w:left w:type="dxa" w:w="100"/>
              <w:bottom w:type="dxa" w:w="60"/>
              <w:right w:type="dxa" w:w="100"/>
            </w:tcMar>
          </w:tcPr>
          <w:p>
            <w:r>
              <w:rPr>
                <w:sz w:val="20"/>
                <w:szCs w:val="20"/>
                <w:rFonts w:ascii="Calibri" w:cs="Calibri" w:eastAsia="Calibri" w:hAnsi="Calibri"/>
              </w:rPr>
              <w:t xml:space="preserve">Con COMMERCIAL se deniega con 403 (solo ADMIN).</w:t>
            </w:r>
          </w:p>
        </w:tc>
        <w:tc>
          <w:tcPr>
            <w:tcMar>
              <w:top w:type="dxa" w:w="60"/>
              <w:left w:type="dxa" w:w="100"/>
              <w:bottom w:type="dxa" w:w="60"/>
              <w:right w:type="dxa" w:w="100"/>
            </w:tcMar>
          </w:tcPr>
          <w:p>
            <w:r>
              <w:rPr>
                <w:sz w:val="20"/>
                <w:szCs w:val="20"/>
                <w:rFonts w:ascii="Calibri" w:cs="Calibri" w:eastAsia="Calibri" w:hAnsi="Calibri"/>
              </w:rPr>
              <w:t xml:space="preserve">GET /admin/treasury/movements/{code}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getMovements_asAdmin_respondsOk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/admin/treasury/movements/{code}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getKeysReservePct_withoutToken_isDenied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w:t>
            </w:r>
          </w:p>
        </w:tc>
        <w:tc>
          <w:tcPr>
            <w:tcMar>
              <w:top w:type="dxa" w:w="60"/>
              <w:left w:type="dxa" w:w="100"/>
              <w:bottom w:type="dxa" w:w="60"/>
              <w:right w:type="dxa" w:w="100"/>
            </w:tcMar>
          </w:tcPr>
          <w:p>
            <w:r>
              <w:rPr>
                <w:sz w:val="20"/>
                <w:szCs w:val="20"/>
                <w:rFonts w:ascii="Calibri" w:cs="Calibri" w:eastAsia="Calibri" w:hAnsi="Calibri"/>
              </w:rPr>
              <w:t xml:space="preserve">GET /admin/treasury/config/keys-reserve-pct — override de método: hasAnyRole('ADMIN','COMMERCIAL')</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getKeysReservePct_withConsumer_isForbidden</w:t>
            </w:r>
          </w:p>
        </w:tc>
        <w:tc>
          <w:tcPr>
            <w:tcMar>
              <w:top w:type="dxa" w:w="60"/>
              <w:left w:type="dxa" w:w="100"/>
              <w:bottom w:type="dxa" w:w="60"/>
              <w:right w:type="dxa" w:w="100"/>
            </w:tcMar>
          </w:tcPr>
          <w:p>
            <w:r>
              <w:rPr>
                <w:sz w:val="20"/>
                <w:szCs w:val="20"/>
                <w:rFonts w:ascii="Calibri" w:cs="Calibri" w:eastAsia="Calibri" w:hAnsi="Calibri"/>
              </w:rPr>
              <w:t xml:space="preserve">Con CONSUMER se deniega con 403: es el único rol que NO puede ver este dato de configuración.</w:t>
            </w:r>
          </w:p>
        </w:tc>
        <w:tc>
          <w:tcPr>
            <w:tcMar>
              <w:top w:type="dxa" w:w="60"/>
              <w:left w:type="dxa" w:w="100"/>
              <w:bottom w:type="dxa" w:w="60"/>
              <w:right w:type="dxa" w:w="100"/>
            </w:tcMar>
          </w:tcPr>
          <w:p>
            <w:r>
              <w:rPr>
                <w:sz w:val="20"/>
                <w:szCs w:val="20"/>
                <w:rFonts w:ascii="Calibri" w:cs="Calibri" w:eastAsia="Calibri" w:hAnsi="Calibri"/>
              </w:rPr>
              <w:t xml:space="preserve">GET /admin/treasury/config/keys-reserve-pct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getKeysReservePct_asAdmin_respondsOk</w:t>
            </w:r>
          </w:p>
        </w:tc>
        <w:tc>
          <w:tcPr>
            <w:tcMar>
              <w:top w:type="dxa" w:w="60"/>
              <w:left w:type="dxa" w:w="100"/>
              <w:bottom w:type="dxa" w:w="60"/>
              <w:right w:type="dxa" w:w="100"/>
            </w:tcMar>
          </w:tcPr>
          <w:p>
            <w:r>
              <w:rPr>
                <w:sz w:val="20"/>
                <w:szCs w:val="20"/>
                <w:rFonts w:ascii="Calibri" w:cs="Calibri" w:eastAsia="Calibri" w:hAnsi="Calibri"/>
              </w:rPr>
              <w:t xml:space="preserve">Con ADMIN autenticado responde 200.</w:t>
            </w:r>
          </w:p>
        </w:tc>
        <w:tc>
          <w:tcPr>
            <w:tcMar>
              <w:top w:type="dxa" w:w="60"/>
              <w:left w:type="dxa" w:w="100"/>
              <w:bottom w:type="dxa" w:w="60"/>
              <w:right w:type="dxa" w:w="100"/>
            </w:tcMar>
          </w:tcPr>
          <w:p>
            <w:r>
              <w:rPr>
                <w:sz w:val="20"/>
                <w:szCs w:val="20"/>
                <w:rFonts w:ascii="Calibri" w:cs="Calibri" w:eastAsia="Calibri" w:hAnsi="Calibri"/>
              </w:rPr>
              <w:t xml:space="preserve">GET /admin/treasury/config/keys-reserve-pct</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getKeysReservePct_asCommercial_respondsOk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TAMBIÉN responde 200 — a diferencia de /balance y /movements, este endpoint tiene un override de método que amplía el acceso a COMMERCIAL.</w:t>
            </w:r>
          </w:p>
        </w:tc>
        <w:tc>
          <w:tcPr>
            <w:tcMar>
              <w:top w:type="dxa" w:w="60"/>
              <w:left w:type="dxa" w:w="100"/>
              <w:bottom w:type="dxa" w:w="60"/>
              <w:right w:type="dxa" w:w="100"/>
            </w:tcMar>
          </w:tcPr>
          <w:p>
            <w:r>
              <w:rPr>
                <w:sz w:val="20"/>
                <w:szCs w:val="20"/>
                <w:rFonts w:ascii="Calibri" w:cs="Calibri" w:eastAsia="Calibri" w:hAnsi="Calibri"/>
              </w:rPr>
              <w:t xml:space="preserve">GET /admin/treasury/config/keys-reserve-pct</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6. WalletControllerSecurityIntegrationTest cubre WalletController - 7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4%"/>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5%"/>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getBillingSummary_withoutToken_isDenied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/commercial/wallet/me/billing-summary — hasRole('COMMERCIAL')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getBillingSummary_withWrongRole_isForbidden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COMMERCIAL (CONSUMER) se deniega con 403.</w:t>
            </w:r>
          </w:p>
        </w:tc>
        <w:tc>
          <w:tcPr>
            <w:tcMar>
              <w:top w:type="dxa" w:w="60"/>
              <w:left w:type="dxa" w:w="100"/>
              <w:bottom w:type="dxa" w:w="60"/>
              <w:right w:type="dxa" w:w="100"/>
            </w:tcMar>
          </w:tcPr>
          <w:p>
            <w:r>
              <w:rPr>
                <w:sz w:val="20"/>
                <w:szCs w:val="20"/>
                <w:rFonts w:ascii="Calibri" w:cs="Calibri" w:eastAsia="Calibri" w:hAnsi="Calibri"/>
              </w:rPr>
              <w:t xml:space="preserve">GET /commercial/wallet/me/billing-summary</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getBillingSummary_asCommercial_respondsOk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w:t>
            </w:r>
          </w:p>
        </w:tc>
        <w:tc>
          <w:tcPr>
            <w:tcMar>
              <w:top w:type="dxa" w:w="60"/>
              <w:left w:type="dxa" w:w="100"/>
              <w:bottom w:type="dxa" w:w="60"/>
              <w:right w:type="dxa" w:w="100"/>
            </w:tcMar>
          </w:tcPr>
          <w:p>
            <w:r>
              <w:rPr>
                <w:sz w:val="20"/>
                <w:szCs w:val="20"/>
                <w:rFonts w:ascii="Calibri" w:cs="Calibri" w:eastAsia="Calibri" w:hAnsi="Calibri"/>
              </w:rPr>
              <w:t xml:space="preserve">GET /commercial/wallet/me/billing-summary</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getDeposits_withoutToken_isDenied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/commercial/wallet/me/deposits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getDeposits_asCommercial_respondsOk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 y propaga year/month al service.</w:t>
            </w:r>
          </w:p>
        </w:tc>
        <w:tc>
          <w:tcPr>
            <w:tcMar>
              <w:top w:type="dxa" w:w="60"/>
              <w:left w:type="dxa" w:w="100"/>
              <w:bottom w:type="dxa" w:w="60"/>
              <w:right w:type="dxa" w:w="100"/>
            </w:tcMar>
          </w:tcPr>
          <w:p>
            <w:r>
              <w:rPr>
                <w:sz w:val="20"/>
                <w:szCs w:val="20"/>
                <w:rFonts w:ascii="Calibri" w:cs="Calibri" w:eastAsia="Calibri" w:hAnsi="Calibri"/>
              </w:rPr>
              <w:t xml:space="preserve">GET /commercial/wallet/me/deposits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getPayouts_withoutToken_isDenied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/commercial/wallet/me/payouts</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getPayouts_asCommercial_respondsOk</w:t>
            </w:r>
          </w:p>
        </w:tc>
        <w:tc>
          <w:tcPr>
            <w:tcMar>
              <w:top w:type="dxa" w:w="60"/>
              <w:left w:type="dxa" w:w="100"/>
              <w:bottom w:type="dxa" w:w="60"/>
              <w:right w:type="dxa" w:w="100"/>
            </w:tcMar>
          </w:tcPr>
          <w:p>
            <w:r>
              <w:rPr>
                <w:sz w:val="20"/>
                <w:szCs w:val="20"/>
                <w:rFonts w:ascii="Calibri" w:cs="Calibri" w:eastAsia="Calibri" w:hAnsi="Calibri"/>
              </w:rPr>
              <w:t xml:space="preserve">Con COMMERCIAL autenticado responde 200 y propaga year/month al service.</w:t>
            </w:r>
          </w:p>
        </w:tc>
        <w:tc>
          <w:tcPr>
            <w:tcMar>
              <w:top w:type="dxa" w:w="60"/>
              <w:left w:type="dxa" w:w="100"/>
              <w:bottom w:type="dxa" w:w="60"/>
              <w:right w:type="dxa" w:w="100"/>
            </w:tcMar>
          </w:tcPr>
          <w:p>
            <w:r>
              <w:rPr>
                <w:sz w:val="20"/>
                <w:szCs w:val="20"/>
                <w:rFonts w:ascii="Calibri" w:cs="Calibri" w:eastAsia="Calibri" w:hAnsi="Calibri"/>
              </w:rPr>
              <w:t xml:space="preserve">GET /commercial/wallet/me/payouts</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2"/>
        <w:spacing w:before="260" w:after="120"/>
      </w:pPr>
      <w:r>
        <w:rPr>
          <w:b/>
          <w:bCs/>
          <w:sz w:val="26"/>
          <w:szCs w:val="26"/>
          <w:rFonts w:ascii="Calibri" w:cs="Calibri" w:eastAsia="Calibri" w:hAnsi="Calibri"/>
        </w:rPr>
        <w:t xml:space="preserve">7. KeyWalletControllerSecurityIntegrationTest cubre KeyWalletController - 6 pruebas</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gridCol w:w="100"/>
      </w:tblGrid>
      <w:tr>
        <w:trPr>
          <w:tblHeader/>
        </w:trPr>
        <w:tc>
          <w:tcPr>
            <w:tcW w:type="pct" w:w="24%"/>
            <w:shd w:fill="E8E8E8"/>
            <w:tcMar>
              <w:top w:type="dxa" w:w="60"/>
              <w:left w:type="dxa" w:w="100"/>
              <w:bottom w:type="dxa" w:w="60"/>
              <w:right w:type="dxa" w:w="100"/>
            </w:tcMar>
          </w:tcPr>
          <w:p>
            <w:r>
              <w:rPr>
                <w:b/>
                <w:bCs/>
                <w:sz w:val="20"/>
                <w:szCs w:val="20"/>
                <w:rFonts w:ascii="Calibri" w:cs="Calibri" w:eastAsia="Calibri" w:hAnsi="Calibri"/>
              </w:rPr>
              <w:t xml:space="preserve">Prueba</w:t>
            </w:r>
          </w:p>
        </w:tc>
        <w:tc>
          <w:tcPr>
            <w:tcW w:type="pct" w:w="45%"/>
            <w:shd w:fill="E8E8E8"/>
            <w:tcMar>
              <w:top w:type="dxa" w:w="60"/>
              <w:left w:type="dxa" w:w="100"/>
              <w:bottom w:type="dxa" w:w="60"/>
              <w:right w:type="dxa" w:w="100"/>
            </w:tcMar>
          </w:tcPr>
          <w:p>
            <w:r>
              <w:rPr>
                <w:b/>
                <w:bCs/>
                <w:sz w:val="20"/>
                <w:szCs w:val="20"/>
                <w:rFonts w:ascii="Calibri" w:cs="Calibri" w:eastAsia="Calibri" w:hAnsi="Calibri"/>
              </w:rPr>
              <w:t xml:space="preserve">Propósito</w:t>
            </w:r>
          </w:p>
        </w:tc>
        <w:tc>
          <w:tcPr>
            <w:tcW w:type="pct" w:w="22%"/>
            <w:shd w:fill="E8E8E8"/>
            <w:tcMar>
              <w:top w:type="dxa" w:w="60"/>
              <w:left w:type="dxa" w:w="100"/>
              <w:bottom w:type="dxa" w:w="60"/>
              <w:right w:type="dxa" w:w="100"/>
            </w:tcMar>
          </w:tcPr>
          <w:p>
            <w:r>
              <w:rPr>
                <w:b/>
                <w:bCs/>
                <w:sz w:val="20"/>
                <w:szCs w:val="20"/>
                <w:rFonts w:ascii="Calibri" w:cs="Calibri" w:eastAsia="Calibri" w:hAnsi="Calibri"/>
              </w:rPr>
              <w:t xml:space="preserve">Endpoint y rol requerido</w:t>
            </w:r>
          </w:p>
        </w:tc>
        <w:tc>
          <w:tcPr>
            <w:tcW w:type="pct" w:w="9%"/>
            <w:shd w:fill="E8E8E8"/>
            <w:tcMar>
              <w:top w:type="dxa" w:w="60"/>
              <w:left w:type="dxa" w:w="100"/>
              <w:bottom w:type="dxa" w:w="60"/>
              <w:right w:type="dxa" w:w="100"/>
            </w:tcMar>
          </w:tcPr>
          <w:p>
            <w:r>
              <w:rPr>
                <w:b/>
                <w:bCs/>
                <w:sz w:val="20"/>
                <w:szCs w:val="20"/>
                <w:rFonts w:ascii="Calibri" w:cs="Calibri" w:eastAsia="Calibri" w:hAnsi="Calibri"/>
              </w:rPr>
              <w:t xml:space="preserve">Resultado</w:t>
            </w:r>
          </w:p>
        </w:tc>
      </w:tr>
      <w:tr>
        <w:tc>
          <w:tcPr>
            <w:tcMar>
              <w:top w:type="dxa" w:w="60"/>
              <w:left w:type="dxa" w:w="100"/>
              <w:bottom w:type="dxa" w:w="60"/>
              <w:right w:type="dxa" w:w="100"/>
            </w:tcMar>
          </w:tcPr>
          <w:p>
            <w:r>
              <w:rPr>
                <w:sz w:val="20"/>
                <w:szCs w:val="20"/>
                <w:rFonts w:ascii="Calibri" w:cs="Calibri" w:eastAsia="Calibri" w:hAnsi="Calibri"/>
              </w:rPr>
              <w:t xml:space="preserve">getBalance_withoutToken_isDenied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GET /consumer/wallet/keys/balance — hasRole('CONSUMER') a nivel de clase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getBalance_withWrongRole_isForbidden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CONSUMER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GET /consumer/wallet/keys/balance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getBalance_asConsumer_respondsOk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w:t>
            </w:r>
          </w:p>
        </w:tc>
        <w:tc>
          <w:tcPr>
            <w:tcMar>
              <w:top w:type="dxa" w:w="60"/>
              <w:left w:type="dxa" w:w="100"/>
              <w:bottom w:type="dxa" w:w="60"/>
              <w:right w:type="dxa" w:w="100"/>
            </w:tcMar>
          </w:tcPr>
          <w:p>
            <w:r>
              <w:rPr>
                <w:sz w:val="20"/>
                <w:szCs w:val="20"/>
                <w:rFonts w:ascii="Calibri" w:cs="Calibri" w:eastAsia="Calibri" w:hAnsi="Calibri"/>
              </w:rPr>
              <w:t xml:space="preserve">GET /consumer/wallet/keys/balance</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spend_withoutToken_isDenied</w:t>
            </w:r>
          </w:p>
        </w:tc>
        <w:tc>
          <w:tcPr>
            <w:tcMar>
              <w:top w:type="dxa" w:w="60"/>
              <w:left w:type="dxa" w:w="100"/>
              <w:bottom w:type="dxa" w:w="60"/>
              <w:right w:type="dxa" w:w="100"/>
            </w:tcMar>
          </w:tcPr>
          <w:p>
            <w:r>
              <w:rPr>
                <w:sz w:val="20"/>
                <w:szCs w:val="20"/>
                <w:rFonts w:ascii="Calibri" w:cs="Calibri" w:eastAsia="Calibri" w:hAnsi="Calibri"/>
              </w:rPr>
              <w:t xml:space="preserve">Sin token se deniega y no llega al service.</w:t>
            </w:r>
          </w:p>
        </w:tc>
        <w:tc>
          <w:tcPr>
            <w:tcMar>
              <w:top w:type="dxa" w:w="60"/>
              <w:left w:type="dxa" w:w="100"/>
              <w:bottom w:type="dxa" w:w="60"/>
              <w:right w:type="dxa" w:w="100"/>
            </w:tcMar>
          </w:tcPr>
          <w:p>
            <w:r>
              <w:rPr>
                <w:sz w:val="20"/>
                <w:szCs w:val="20"/>
                <w:rFonts w:ascii="Calibri" w:cs="Calibri" w:eastAsia="Calibri" w:hAnsi="Calibri"/>
              </w:rPr>
              <w:t xml:space="preserve">POST /consumer/wallet/keys/spend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spend_withWrongRole_isForbidden</w:t>
            </w:r>
          </w:p>
        </w:tc>
        <w:tc>
          <w:tcPr>
            <w:tcMar>
              <w:top w:type="dxa" w:w="60"/>
              <w:left w:type="dxa" w:w="100"/>
              <w:bottom w:type="dxa" w:w="60"/>
              <w:right w:type="dxa" w:w="100"/>
            </w:tcMar>
          </w:tcPr>
          <w:p>
            <w:r>
              <w:rPr>
                <w:sz w:val="20"/>
                <w:szCs w:val="20"/>
                <w:rFonts w:ascii="Calibri" w:cs="Calibri" w:eastAsia="Calibri" w:hAnsi="Calibri"/>
              </w:rPr>
              <w:t xml:space="preserve">Con rol distinto a CONSUMER (COMMERCIAL) se deniega con 403.</w:t>
            </w:r>
          </w:p>
        </w:tc>
        <w:tc>
          <w:tcPr>
            <w:tcMar>
              <w:top w:type="dxa" w:w="60"/>
              <w:left w:type="dxa" w:w="100"/>
              <w:bottom w:type="dxa" w:w="60"/>
              <w:right w:type="dxa" w:w="100"/>
            </w:tcMar>
          </w:tcPr>
          <w:p>
            <w:r>
              <w:rPr>
                <w:sz w:val="20"/>
                <w:szCs w:val="20"/>
                <w:rFonts w:ascii="Calibri" w:cs="Calibri" w:eastAsia="Calibri" w:hAnsi="Calibri"/>
              </w:rPr>
              <w:t xml:space="preserve">POST /consumer/wallet/keys/spend</w:t>
            </w:r>
          </w:p>
        </w:tc>
        <w:tc>
          <w:tcPr>
            <w:tcMar>
              <w:top w:type="dxa" w:w="60"/>
              <w:left w:type="dxa" w:w="100"/>
              <w:bottom w:type="dxa" w:w="60"/>
              <w:right w:type="dxa" w:w="100"/>
            </w:tcMar>
          </w:tcPr>
          <w:p>
            <w:r>
              <w:rPr>
                <w:sz w:val="20"/>
                <w:szCs w:val="20"/>
                <w:rFonts w:ascii="Calibri" w:cs="Calibri" w:eastAsia="Calibri" w:hAnsi="Calibri"/>
              </w:rPr>
              <w:t xml:space="preserve">✅ Pasa</w:t>
            </w:r>
          </w:p>
        </w:tc>
      </w:tr>
      <w:tr>
        <w:tc>
          <w:tcPr>
            <w:tcMar>
              <w:top w:type="dxa" w:w="60"/>
              <w:left w:type="dxa" w:w="100"/>
              <w:bottom w:type="dxa" w:w="60"/>
              <w:right w:type="dxa" w:w="100"/>
            </w:tcMar>
          </w:tcPr>
          <w:p>
            <w:r>
              <w:rPr>
                <w:sz w:val="20"/>
                <w:szCs w:val="20"/>
                <w:rFonts w:ascii="Calibri" w:cs="Calibri" w:eastAsia="Calibri" w:hAnsi="Calibri"/>
              </w:rPr>
              <w:t xml:space="preserve">spend_asConsumer_respondsOk</w:t>
            </w:r>
          </w:p>
        </w:tc>
        <w:tc>
          <w:tcPr>
            <w:tcMar>
              <w:top w:type="dxa" w:w="60"/>
              <w:left w:type="dxa" w:w="100"/>
              <w:bottom w:type="dxa" w:w="60"/>
              <w:right w:type="dxa" w:w="100"/>
            </w:tcMar>
          </w:tcPr>
          <w:p>
            <w:r>
              <w:rPr>
                <w:sz w:val="20"/>
                <w:szCs w:val="20"/>
                <w:rFonts w:ascii="Calibri" w:cs="Calibri" w:eastAsia="Calibri" w:hAnsi="Calibri"/>
              </w:rPr>
              <w:t xml:space="preserve">Con CONSUMER autenticado responde 200 (gasto de llaves en el minijuego de mascotas).</w:t>
            </w:r>
          </w:p>
        </w:tc>
        <w:tc>
          <w:tcPr>
            <w:tcMar>
              <w:top w:type="dxa" w:w="60"/>
              <w:left w:type="dxa" w:w="100"/>
              <w:bottom w:type="dxa" w:w="60"/>
              <w:right w:type="dxa" w:w="100"/>
            </w:tcMar>
          </w:tcPr>
          <w:p>
            <w:r>
              <w:rPr>
                <w:sz w:val="20"/>
                <w:szCs w:val="20"/>
                <w:rFonts w:ascii="Calibri" w:cs="Calibri" w:eastAsia="Calibri" w:hAnsi="Calibri"/>
              </w:rPr>
              <w:t xml:space="preserve">POST /consumer/wallet/keys/spend</w:t>
            </w:r>
          </w:p>
        </w:tc>
        <w:tc>
          <w:tcPr>
            <w:tcMar>
              <w:top w:type="dxa" w:w="60"/>
              <w:left w:type="dxa" w:w="100"/>
              <w:bottom w:type="dxa" w:w="60"/>
              <w:right w:type="dxa" w:w="100"/>
            </w:tcMar>
          </w:tcPr>
          <w:p>
            <w:r>
              <w:rPr>
                <w:sz w:val="20"/>
                <w:szCs w:val="20"/>
                <w:rFonts w:ascii="Calibri" w:cs="Calibri" w:eastAsia="Calibri" w:hAnsi="Calibri"/>
              </w:rPr>
              <w:t xml:space="preserve">✅ Pasa</w:t>
            </w:r>
          </w:p>
        </w:tc>
      </w:tr>
    </w:tbl>
    <w:p>
      <w:pPr>
        <w:spacing w:after="80"/>
      </w:pPr>
    </w:p>
    <w:p>
      <w:pPr>
        <w:pStyle w:val="Heading1"/>
        <w:spacing w:before="320" w:after="160"/>
      </w:pPr>
      <w:r>
        <w:rPr>
          <w:b/>
          <w:bCs/>
          <w:sz w:val="32"/>
          <w:szCs w:val="32"/>
          <w:rFonts w:ascii="Calibri" w:cs="Calibri" w:eastAsia="Calibri" w:hAnsi="Calibri"/>
        </w:rPr>
        <w:t xml:space="preserve">Hallazgos y limitaciones</w:t>
      </w:r>
    </w:p>
    <w:p>
      <w:pPr>
        <w:spacing w:after="120" w:before="0"/>
      </w:pPr>
      <w:r>
        <w:rPr>
          <w:sz w:val="22"/>
          <w:szCs w:val="22"/>
          <w:rFonts w:ascii="Calibri" w:cs="Calibri" w:eastAsia="Calibri" w:hAnsi="Calibri"/>
        </w:rPr>
        <w:t xml:space="preserve">No se encontraron fallos en esta capa. Una limitación técnica de cobertura, no un bug:</w:t>
      </w:r>
    </w:p>
    <w:p>
      <w:pPr>
        <w:spacing w:after="200" w:before="0"/>
      </w:pPr>
      <w:r>
        <w:rPr>
          <w:sz w:val="22"/>
          <w:szCs w:val="22"/>
          <w:rFonts w:ascii="Calibri" w:cs="Calibri" w:eastAsia="Calibri" w:hAnsi="Calibri"/>
        </w:rPr>
        <w:t xml:space="preserve">1 — PayoutMethodAdminController.getCertificate no tiene una prueba de "200 con ADMIN": el endpoint escribe el PDF directamente sobre HttpServletResponse.getOutputStream(), y @WebMvcTest/MockMvc no expone un OutputStream real del servidor para verificar ese camino sin acoplar el test a detalles de streaming. Solo queda cubierta su regla de autorización (401/403), documentado así en el propio Javadoc de la clase.</w:t>
      </w:r>
    </w:p>
    <w:p>
      <w:pPr>
        <w:pStyle w:val="Heading1"/>
        <w:spacing w:before="320" w:after="160"/>
      </w:pPr>
      <w:r>
        <w:rPr>
          <w:b/>
          <w:bCs/>
          <w:sz w:val="32"/>
          <w:szCs w:val="32"/>
          <w:rFonts w:ascii="Calibri" w:cs="Calibri" w:eastAsia="Calibri" w:hAnsi="Calibri"/>
        </w:rPr>
        <w:t xml:space="preserve">Resumen</w:t>
      </w:r>
    </w:p>
    <w:tbl>
      <w:tblPr>
        <w:tblW w:type="pct" w:w="100%"/>
        <w:tblBorders>
          <w:top w:val="single" w:color="BBBBBB" w:sz="4"/>
          <w:left w:val="single" w:color="BBBBBB" w:sz="4"/>
          <w:bottom w:val="single" w:color="BBBBBB" w:sz="4"/>
          <w:right w:val="single" w:color="BBBBBB" w:sz="4"/>
          <w:insideH w:val="single" w:color="BBBBBB" w:sz="4"/>
          <w:insideV w:val="single" w:color="BBBBBB" w:sz="4"/>
        </w:tblBorders>
      </w:tblPr>
      <w:tblGrid>
        <w:gridCol w:w="100"/>
        <w:gridCol w:w="100"/>
        <w:gridCol w:w="100"/>
      </w:tblGrid>
      <w:tr>
        <w:trPr>
          <w:tblHeader/>
        </w:trPr>
        <w:tc>
          <w:tcPr>
            <w:tcW w:type="pct" w:w="46%"/>
            <w:shd w:fill="E8E8E8"/>
            <w:tcMar>
              <w:top w:type="dxa" w:w="60"/>
              <w:left w:type="dxa" w:w="100"/>
              <w:bottom w:type="dxa" w:w="60"/>
              <w:right w:type="dxa" w:w="100"/>
            </w:tcMar>
          </w:tcPr>
          <w:p>
            <w:r>
              <w:rPr>
                <w:b/>
                <w:bCs/>
                <w:sz w:val="20"/>
                <w:szCs w:val="20"/>
                <w:rFonts w:ascii="Calibri" w:cs="Calibri" w:eastAsia="Calibri" w:hAnsi="Calibri"/>
              </w:rPr>
              <w:t xml:space="preserve">Clase de test</w:t>
            </w:r>
          </w:p>
        </w:tc>
        <w:tc>
          <w:tcPr>
            <w:tcW w:type="pct" w:w="38%"/>
            <w:shd w:fill="E8E8E8"/>
            <w:tcMar>
              <w:top w:type="dxa" w:w="60"/>
              <w:left w:type="dxa" w:w="100"/>
              <w:bottom w:type="dxa" w:w="60"/>
              <w:right w:type="dxa" w:w="100"/>
            </w:tcMar>
          </w:tcPr>
          <w:p>
            <w:r>
              <w:rPr>
                <w:b/>
                <w:bCs/>
                <w:sz w:val="20"/>
                <w:szCs w:val="20"/>
                <w:rFonts w:ascii="Calibri" w:cs="Calibri" w:eastAsia="Calibri" w:hAnsi="Calibri"/>
              </w:rPr>
              <w:t xml:space="preserve">Controller cubierto</w:t>
            </w:r>
          </w:p>
        </w:tc>
        <w:tc>
          <w:tcPr>
            <w:tcW w:type="pct" w:w="16%"/>
            <w:shd w:fill="E8E8E8"/>
            <w:tcMar>
              <w:top w:type="dxa" w:w="60"/>
              <w:left w:type="dxa" w:w="100"/>
              <w:bottom w:type="dxa" w:w="60"/>
              <w:right w:type="dxa" w:w="100"/>
            </w:tcMar>
          </w:tcPr>
          <w:p>
            <w:r>
              <w:rPr>
                <w:b/>
                <w:bCs/>
                <w:sz w:val="20"/>
                <w:szCs w:val="20"/>
                <w:rFonts w:ascii="Calibri" w:cs="Calibri" w:eastAsia="Calibri" w:hAnsi="Calibri"/>
              </w:rPr>
              <w:t xml:space="preserve">Pruebas</w:t>
            </w:r>
          </w:p>
        </w:tc>
      </w:tr>
      <w:tr>
        <w:tc>
          <w:tcPr>
            <w:tcMar>
              <w:top w:type="dxa" w:w="60"/>
              <w:left w:type="dxa" w:w="100"/>
              <w:bottom w:type="dxa" w:w="60"/>
              <w:right w:type="dxa" w:w="100"/>
            </w:tcMar>
          </w:tcPr>
          <w:p>
            <w:r>
              <w:rPr>
                <w:sz w:val="20"/>
                <w:szCs w:val="20"/>
                <w:rFonts w:ascii="Calibri" w:cs="Calibri" w:eastAsia="Calibri" w:hAnsi="Calibri"/>
              </w:rPr>
              <w:t xml:space="preserve">PayoutMethodControllerSecurityIntegrationTest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PayoutMethodController</w:t>
            </w:r>
          </w:p>
        </w:tc>
        <w:tc>
          <w:tcPr>
            <w:tcMar>
              <w:top w:type="dxa" w:w="60"/>
              <w:left w:type="dxa" w:w="100"/>
              <w:bottom w:type="dxa" w:w="60"/>
              <w:right w:type="dxa" w:w="100"/>
            </w:tcMar>
          </w:tcPr>
          <w:p>
            <w:r>
              <w:rPr>
                <w:sz w:val="20"/>
                <w:szCs w:val="20"/>
                <w:rFonts w:ascii="Calibri" w:cs="Calibri" w:eastAsia="Calibri" w:hAnsi="Calibri"/>
              </w:rPr>
              <w:t xml:space="preserve">21</w:t>
            </w:r>
          </w:p>
        </w:tc>
      </w:tr>
      <w:tr>
        <w:tc>
          <w:tcPr>
            <w:tcMar>
              <w:top w:type="dxa" w:w="60"/>
              <w:left w:type="dxa" w:w="100"/>
              <w:bottom w:type="dxa" w:w="60"/>
              <w:right w:type="dxa" w:w="100"/>
            </w:tcMar>
          </w:tcPr>
          <w:p>
            <w:r>
              <w:rPr>
                <w:sz w:val="20"/>
                <w:szCs w:val="20"/>
                <w:rFonts w:ascii="Calibri" w:cs="Calibri" w:eastAsia="Calibri" w:hAnsi="Calibri"/>
              </w:rPr>
              <w:t xml:space="preserve">PlanChangeRequestControllerSecurityIntegrationTest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PlanChangeRequestController</w:t>
            </w:r>
          </w:p>
        </w:tc>
        <w:tc>
          <w:tcPr>
            <w:tcMar>
              <w:top w:type="dxa" w:w="60"/>
              <w:left w:type="dxa" w:w="100"/>
              <w:bottom w:type="dxa" w:w="60"/>
              <w:right w:type="dxa" w:w="100"/>
            </w:tcMar>
          </w:tcPr>
          <w:p>
            <w:r>
              <w:rPr>
                <w:sz w:val="20"/>
                <w:szCs w:val="20"/>
                <w:rFonts w:ascii="Calibri" w:cs="Calibri" w:eastAsia="Calibri" w:hAnsi="Calibri"/>
              </w:rPr>
              <w:t xml:space="preserve">17</w:t>
            </w:r>
          </w:p>
        </w:tc>
      </w:tr>
      <w:tr>
        <w:tc>
          <w:tcPr>
            <w:tcMar>
              <w:top w:type="dxa" w:w="60"/>
              <w:left w:type="dxa" w:w="100"/>
              <w:bottom w:type="dxa" w:w="60"/>
              <w:right w:type="dxa" w:w="100"/>
            </w:tcMar>
          </w:tcPr>
          <w:p>
            <w:r>
              <w:rPr>
                <w:sz w:val="20"/>
                <w:szCs w:val="20"/>
                <w:rFonts w:ascii="Calibri" w:cs="Calibri" w:eastAsia="Calibri" w:hAnsi="Calibri"/>
              </w:rPr>
              <w:t xml:space="preserve">PayoutAdminControllerSecurityIntegrationTest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PayoutAdminController</w:t>
            </w:r>
          </w:p>
        </w:tc>
        <w:tc>
          <w:tcPr>
            <w:tcMar>
              <w:top w:type="dxa" w:w="60"/>
              <w:left w:type="dxa" w:w="100"/>
              <w:bottom w:type="dxa" w:w="60"/>
              <w:right w:type="dxa" w:w="100"/>
            </w:tcMar>
          </w:tcPr>
          <w:p>
            <w:r>
              <w:rPr>
                <w:sz w:val="20"/>
                <w:szCs w:val="20"/>
                <w:rFonts w:ascii="Calibri" w:cs="Calibri" w:eastAsia="Calibri" w:hAnsi="Calibri"/>
              </w:rPr>
              <w:t xml:space="preserve">11</w:t>
            </w:r>
          </w:p>
        </w:tc>
      </w:tr>
      <w:tr>
        <w:tc>
          <w:tcPr>
            <w:tcMar>
              <w:top w:type="dxa" w:w="60"/>
              <w:left w:type="dxa" w:w="100"/>
              <w:bottom w:type="dxa" w:w="60"/>
              <w:right w:type="dxa" w:w="100"/>
            </w:tcMar>
          </w:tcPr>
          <w:p>
            <w:r>
              <w:rPr>
                <w:sz w:val="20"/>
                <w:szCs w:val="20"/>
                <w:rFonts w:ascii="Calibri" w:cs="Calibri" w:eastAsia="Calibri" w:hAnsi="Calibri"/>
              </w:rPr>
              <w:t xml:space="preserve">PayoutMethodAdminControllerSecurityIntegrationTest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PayoutMethodAdminController</w:t>
            </w:r>
          </w:p>
        </w:tc>
        <w:tc>
          <w:tcPr>
            <w:tcMar>
              <w:top w:type="dxa" w:w="60"/>
              <w:left w:type="dxa" w:w="100"/>
              <w:bottom w:type="dxa" w:w="60"/>
              <w:right w:type="dxa" w:w="100"/>
            </w:tcMar>
          </w:tcPr>
          <w:p>
            <w:r>
              <w:rPr>
                <w:sz w:val="20"/>
                <w:szCs w:val="20"/>
                <w:rFonts w:ascii="Calibri" w:cs="Calibri" w:eastAsia="Calibri" w:hAnsi="Calibri"/>
              </w:rPr>
              <w:t xml:space="preserve">11</w:t>
            </w:r>
          </w:p>
        </w:tc>
      </w:tr>
      <w:tr>
        <w:tc>
          <w:tcPr>
            <w:tcMar>
              <w:top w:type="dxa" w:w="60"/>
              <w:left w:type="dxa" w:w="100"/>
              <w:bottom w:type="dxa" w:w="60"/>
              <w:right w:type="dxa" w:w="100"/>
            </w:tcMar>
          </w:tcPr>
          <w:p>
            <w:r>
              <w:rPr>
                <w:sz w:val="20"/>
                <w:szCs w:val="20"/>
                <w:rFonts w:ascii="Calibri" w:cs="Calibri" w:eastAsia="Calibri" w:hAnsi="Calibri"/>
              </w:rPr>
              <w:t xml:space="preserve">TreasuryAdminControllerSecurityIntegrationTest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TreasuryAdminController</w:t>
            </w:r>
          </w:p>
        </w:tc>
        <w:tc>
          <w:tcPr>
            <w:tcMar>
              <w:top w:type="dxa" w:w="60"/>
              <w:left w:type="dxa" w:w="100"/>
              <w:bottom w:type="dxa" w:w="60"/>
              <w:right w:type="dxa" w:w="100"/>
            </w:tcMar>
          </w:tcPr>
          <w:p>
            <w:r>
              <w:rPr>
                <w:sz w:val="20"/>
                <w:szCs w:val="20"/>
                <w:rFonts w:ascii="Calibri" w:cs="Calibri" w:eastAsia="Calibri" w:hAnsi="Calibri"/>
              </w:rPr>
              <w:t xml:space="preserve">10</w:t>
            </w:r>
          </w:p>
        </w:tc>
      </w:tr>
      <w:tr>
        <w:tc>
          <w:tcPr>
            <w:tcMar>
              <w:top w:type="dxa" w:w="60"/>
              <w:left w:type="dxa" w:w="100"/>
              <w:bottom w:type="dxa" w:w="60"/>
              <w:right w:type="dxa" w:w="100"/>
            </w:tcMar>
          </w:tcPr>
          <w:p>
            <w:r>
              <w:rPr>
                <w:sz w:val="20"/>
                <w:szCs w:val="20"/>
                <w:rFonts w:ascii="Calibri" w:cs="Calibri" w:eastAsia="Calibri" w:hAnsi="Calibri"/>
              </w:rPr>
              <w:t xml:space="preserve">WalletControllerSecurityIntegrationTest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WalletController</w:t>
            </w:r>
          </w:p>
        </w:tc>
        <w:tc>
          <w:tcPr>
            <w:tcMar>
              <w:top w:type="dxa" w:w="60"/>
              <w:left w:type="dxa" w:w="100"/>
              <w:bottom w:type="dxa" w:w="60"/>
              <w:right w:type="dxa" w:w="100"/>
            </w:tcMar>
          </w:tcPr>
          <w:p>
            <w:r>
              <w:rPr>
                <w:sz w:val="20"/>
                <w:szCs w:val="20"/>
                <w:rFonts w:ascii="Calibri" w:cs="Calibri" w:eastAsia="Calibri" w:hAnsi="Calibri"/>
              </w:rPr>
              <w:t xml:space="preserve">7</w:t>
            </w:r>
          </w:p>
        </w:tc>
      </w:tr>
      <w:tr>
        <w:tc>
          <w:tcPr>
            <w:tcMar>
              <w:top w:type="dxa" w:w="60"/>
              <w:left w:type="dxa" w:w="100"/>
              <w:bottom w:type="dxa" w:w="60"/>
              <w:right w:type="dxa" w:w="100"/>
            </w:tcMar>
          </w:tcPr>
          <w:p>
            <w:r>
              <w:rPr>
                <w:sz w:val="20"/>
                <w:szCs w:val="20"/>
                <w:rFonts w:ascii="Calibri" w:cs="Calibri" w:eastAsia="Calibri" w:hAnsi="Calibri"/>
              </w:rPr>
              <w:t xml:space="preserve">KeyWalletControllerSecurityIntegrationTest</w:t>
            </w:r>
          </w:p>
        </w:tc>
        <w:tc>
          <w:tcPr>
            <w:tcMar>
              <w:top w:type="dxa" w:w="60"/>
              <w:left w:type="dxa" w:w="100"/>
              <w:bottom w:type="dxa" w:w="60"/>
              <w:right w:type="dxa" w:w="100"/>
            </w:tcMar>
          </w:tcPr>
          <w:p>
            <w:r>
              <w:rPr>
                <w:sz w:val="20"/>
                <w:szCs w:val="20"/>
                <w:rFonts w:ascii="Calibri" w:cs="Calibri" w:eastAsia="Calibri" w:hAnsi="Calibri"/>
              </w:rPr>
              <w:t xml:space="preserve">KeyWalletController</w:t>
            </w:r>
          </w:p>
        </w:tc>
        <w:tc>
          <w:tcPr>
            <w:tcMar>
              <w:top w:type="dxa" w:w="60"/>
              <w:left w:type="dxa" w:w="100"/>
              <w:bottom w:type="dxa" w:w="60"/>
              <w:right w:type="dxa" w:w="100"/>
            </w:tcMar>
          </w:tcPr>
          <w:p>
            <w:r>
              <w:rPr>
                <w:sz w:val="20"/>
                <w:szCs w:val="20"/>
                <w:rFonts w:ascii="Calibri" w:cs="Calibri" w:eastAsia="Calibri" w:hAnsi="Calibri"/>
              </w:rPr>
              <w:t xml:space="preserve">6</w:t>
            </w:r>
          </w:p>
        </w:tc>
      </w:tr>
      <w:tr>
        <w:tc>
          <w:tcPr>
            <w:tcMar>
              <w:top w:type="dxa" w:w="60"/>
              <w:left w:type="dxa" w:w="100"/>
              <w:bottom w:type="dxa" w:w="60"/>
              <w:right w:type="dxa" w:w="100"/>
            </w:tcMar>
          </w:tcPr>
          <w:p>
            <w:r>
              <w:rPr>
                <w:b/>
                <w:bCs/>
                <w:sz w:val="20"/>
                <w:szCs w:val="20"/>
                <w:rFonts w:ascii="Calibri" w:cs="Calibri" w:eastAsia="Calibri" w:hAnsi="Calibri"/>
              </w:rPr>
              <w:t xml:space="preserve">Total</w:t>
            </w:r>
          </w:p>
        </w:tc>
        <w:tc>
          <w:tcPr>
            <w:tcMar>
              <w:top w:type="dxa" w:w="60"/>
              <w:left w:type="dxa" w:w="100"/>
              <w:bottom w:type="dxa" w:w="60"/>
              <w:right w:type="dxa" w:w="100"/>
            </w:tcMar>
          </w:tcPr>
          <w:p>
            <w:r>
              <w:rPr>
                <w:b/>
                <w:bCs/>
                <w:sz w:val="20"/>
                <w:szCs w:val="20"/>
                <w:rFonts w:ascii="Calibri" w:cs="Calibri" w:eastAsia="Calibri" w:hAnsi="Calibri"/>
              </w:rPr>
              <w:t xml:space="preserve">7 clases</w:t>
            </w:r>
          </w:p>
        </w:tc>
        <w:tc>
          <w:tcPr>
            <w:tcMar>
              <w:top w:type="dxa" w:w="60"/>
              <w:left w:type="dxa" w:w="100"/>
              <w:bottom w:type="dxa" w:w="60"/>
              <w:right w:type="dxa" w:w="100"/>
            </w:tcMar>
          </w:tcPr>
          <w:p>
            <w:r>
              <w:rPr>
                <w:b/>
                <w:bCs/>
                <w:sz w:val="20"/>
                <w:szCs w:val="20"/>
                <w:rFonts w:ascii="Calibri" w:cs="Calibri" w:eastAsia="Calibri" w:hAnsi="Calibri"/>
              </w:rPr>
              <w:t xml:space="preserve">83</w:t>
            </w:r>
          </w:p>
        </w:tc>
      </w:tr>
    </w:tbl>
    <w:p>
      <w:pPr>
        <w:spacing w:after="120" w:before="160"/>
      </w:pPr>
      <w:r>
        <w:rPr>
          <w:b/>
          <w:bCs/>
          <w:sz w:val="22"/>
          <w:szCs w:val="22"/>
          <w:rFonts w:ascii="Calibri" w:cs="Calibri" w:eastAsia="Calibri" w:hAnsi="Calibri"/>
        </w:rPr>
        <w:t xml:space="preserve">Ejecución: mvn -o test sobre las 7 clases (2026-09-04) — 83 pruebas, 0 fallos, 0 errores, BUILD SUCCESS. Ningún método de prueba falla.</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2026-09-05T01:52:41.104Z</dcterms:created>
  <dcterms:modified xsi:type="dcterms:W3CDTF">2026-09-05T01:52:41.105Z</dcterms:modified>
</cp:coreProperties>
</file>

<file path=docProps/custom.xml><?xml version="1.0" encoding="utf-8"?>
<Properties xmlns="http://schemas.openxmlformats.org/officeDocument/2006/custom-properties" xmlns:vt="http://schemas.openxmlformats.org/officeDocument/2006/docPropsVTypes"/>
</file>