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 #######################################################################################################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 @copyright Big Data Academy [info@bigdataacademy.org]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 @professor Alonso Melgarejo [alonsoraulmgs@gmail.com]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 #######################################################################################################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1. Tamaño de clúster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#Definimos el tamaño del clúster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Cantidad de servidores: 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number_of_workers 2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Tipo de servidores: G 1X (16 GB RAM | 4 vCPU)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worker_type G.1X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2. Lectura de datos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#Leemos los datos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#IMPORTANTE: Reemplazamos "XXX" por nuestras iniciales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#IMPORTANTE: La primera vez que ejecutamos una porción de código, el clúster se crea (TIEMPO: 1 MINUTO)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dfPersona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format("parquet")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load("s3://deltalakebdaXXX/silver/persona/")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#Verificamos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dfPersona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3. Procesamiento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#Filtramos a los que tienen más de 60 años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dfReporte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dfPersona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filter(dfPersona["EDAD"]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60)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#Verificamos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dfReporte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4. Almacenamiento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#Escribimos el resultado final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#IMPORTANTE: Reemplazamos "XXX" por nuestras iniciales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dfReporte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format("parquet")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mode("overwrite")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save("s3://deltalakebdaXXX/gold/reporte/")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#Verificamos la escritura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#IMPORTANTE: Reemplazamos "XXX" por nuestras iniciales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dfReporteRecuperado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format("parquet")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load("s3://deltalakebdaXXX/gold/reporte/")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#Verificamos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dfReporteRecuperado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