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3864"/>
          <w:sz w:val="36"/>
          <w:szCs w:val="36"/>
        </w:rPr>
        <w:t xml:space="preserve">PLANEAMIENTO COMERCIAL</w:t>
      </w:r>
    </w:p>
    <w:p>
      <w:pPr>
        <w:spacing w:after="600"/>
        <w:jc w:val="center"/>
      </w:pPr>
      <w:r>
        <w:rPr>
          <w:rFonts w:ascii="Calibri" w:cs="Calibri" w:eastAsia="Calibri" w:hAnsi="Calibri"/>
          <w:i/>
          <w:iCs/>
          <w:sz w:val="26"/>
          <w:szCs w:val="26"/>
        </w:rPr>
        <w:t xml:space="preserve">Trabajo Final</w:t>
      </w:r>
    </w:p>
    <w:p>
      <w:pPr>
        <w:spacing w:after="160"/>
        <w:jc w:val="center"/>
      </w:pPr>
      <w:r>
        <w:rPr>
          <w:rFonts w:ascii="Calibri" w:cs="Calibri" w:eastAsia="Calibri" w:hAnsi="Calibri"/>
          <w:b/>
          <w:bCs/>
          <w:color w:val="1F3864"/>
          <w:sz w:val="32"/>
          <w:szCs w:val="32"/>
        </w:rPr>
        <w:t xml:space="preserve">PLAN COMERCIAL INTEGRAL</w:t>
      </w:r>
    </w:p>
    <w:p>
      <w:pPr>
        <w:spacing w:after="1200"/>
        <w:jc w:val="center"/>
      </w:pPr>
      <w:r>
        <w:rPr>
          <w:rFonts w:ascii="Calibri" w:cs="Calibri" w:eastAsia="Calibri" w:hAnsi="Calibri"/>
          <w:b/>
          <w:bCs/>
          <w:color w:val="2E74B5"/>
          <w:sz w:val="26"/>
          <w:szCs w:val="26"/>
        </w:rPr>
        <w:t xml:space="preserve">Análisis, estrategia, implementación y rentabilidad</w:t>
      </w:r>
    </w:p>
    <w:p>
      <w:pPr>
        <w:spacing w:after="240"/>
        <w:jc w:val="center"/>
      </w:pPr>
      <w:r>
        <w:rPr>
          <w:rFonts w:ascii="Calibri" w:cs="Calibri" w:eastAsia="Calibri" w:hAnsi="Calibri"/>
          <w:b/>
          <w:bCs/>
          <w:sz w:val="28"/>
          <w:szCs w:val="28"/>
        </w:rPr>
        <w:t xml:space="preserve">Caso de estudio: Coolbox Perú</w:t>
      </w:r>
    </w:p>
    <w:p>
      <w:pPr>
        <w:spacing w:after="100"/>
        <w:jc w:val="center"/>
      </w:pPr>
      <w:r>
        <w:rPr>
          <w:rFonts w:ascii="Calibri" w:cs="Calibri" w:eastAsia="Calibri" w:hAnsi="Calibri"/>
          <w:sz w:val="24"/>
          <w:szCs w:val="24"/>
        </w:rPr>
        <w:t xml:space="preserve">Curso: Planeamiento Comercial</w:t>
      </w:r>
    </w:p>
    <w:p>
      <w:pPr>
        <w:spacing w:after="100"/>
        <w:jc w:val="center"/>
      </w:pPr>
      <w:r>
        <w:rPr>
          <w:rFonts w:ascii="Calibri" w:cs="Calibri" w:eastAsia="Calibri" w:hAnsi="Calibri"/>
          <w:sz w:val="24"/>
          <w:szCs w:val="24"/>
        </w:rPr>
        <w:t xml:space="preserve">Docente: Angelo Lancho Herrick</w:t>
      </w:r>
    </w:p>
    <w:p>
      <w:pPr>
        <w:spacing w:after="100"/>
        <w:jc w:val="center"/>
      </w:pPr>
      <w:r>
        <w:rPr>
          <w:rFonts w:ascii="Calibri" w:cs="Calibri" w:eastAsia="Calibri" w:hAnsi="Calibri"/>
          <w:sz w:val="24"/>
          <w:szCs w:val="24"/>
        </w:rPr>
        <w:t xml:space="preserve">Lima, Perú – 2026</w:t>
      </w:r>
    </w:p>
    <w:p>
      <w:r>
        <w:br w:type="page"/>
      </w:r>
    </w:p>
    <w:p>
      <w:pPr>
        <w:pStyle w:val="Heading1"/>
        <w:spacing w:after="200" w:before="360"/>
      </w:pPr>
      <w:r>
        <w:rPr>
          <w:rFonts w:ascii="Calibri" w:cs="Calibri" w:eastAsia="Calibri" w:hAnsi="Calibri"/>
          <w:b/>
          <w:bCs/>
          <w:color w:val="1F3864"/>
          <w:sz w:val="32"/>
          <w:szCs w:val="32"/>
        </w:rPr>
        <w:t xml:space="preserve">1. INTRODUCCIÓN</w:t>
      </w:r>
    </w:p>
    <w:p>
      <w:pPr>
        <w:pStyle w:val="Heading2"/>
        <w:spacing w:after="160" w:before="280"/>
      </w:pPr>
      <w:r>
        <w:rPr>
          <w:rFonts w:ascii="Calibri" w:cs="Calibri" w:eastAsia="Calibri" w:hAnsi="Calibri"/>
          <w:b/>
          <w:bCs/>
          <w:color w:val="2E74B5"/>
          <w:sz w:val="26"/>
          <w:szCs w:val="26"/>
        </w:rPr>
        <w:t xml:space="preserve">1.1 Objetivo del trabajo</w:t>
      </w:r>
    </w:p>
    <w:p>
      <w:pPr>
        <w:spacing w:after="200" w:line="320"/>
        <w:jc w:val="both"/>
      </w:pPr>
      <w:r>
        <w:rPr>
          <w:rFonts w:ascii="Calibri" w:cs="Calibri" w:eastAsia="Calibri" w:hAnsi="Calibri"/>
          <w:sz w:val="22"/>
          <w:szCs w:val="22"/>
        </w:rPr>
        <w:t xml:space="preserve">El presente informe tiene por objetivo desarrollar un plan comercial integral aplicado al caso de Coolbox, cadena peruana especializada en tecnología y electrónica de consumo con más de 150 tiendas en el país. El trabajo cubre cuatro grandes bloques: primero, el análisis del negocio, su entorno y la definición del cliente objetivo; segundo, la estrategia comercial que permitirá a la empresa competir y generar ventas sostenibles; tercero, la implementación operativa y la rentabilidad esperada, con proyecciones a 12 meses, esquema de comisiones, punto de equilibrio e indicadores clave; y cuarto, el cierre del proyecto con hallazgos, recomendaciones estratégicas, conclusión general y anexos.</w:t>
      </w:r>
    </w:p>
    <w:p>
      <w:pPr>
        <w:spacing w:after="200" w:line="320"/>
        <w:jc w:val="both"/>
      </w:pPr>
      <w:r>
        <w:rPr>
          <w:rFonts w:ascii="Calibri" w:cs="Calibri" w:eastAsia="Calibri" w:hAnsi="Calibri"/>
          <w:sz w:val="22"/>
          <w:szCs w:val="22"/>
        </w:rPr>
        <w:t xml:space="preserve">El análisis se construye sobre las cuatro preguntas que estructuran el curso de Planeamiento Comercial: dónde está compitiendo la empresa, a quién se dirige, cómo va a competir y cómo asegurará la sostenibilidad del negocio. Se trabaja sobre datos reales del mercado peruano de retail tecnológico al cierre de 2025 e inicios de 2026, y sobre fuentes públicas, declaraciones de la propia compañía y reportes de gremios sectoriales.</w:t>
      </w:r>
    </w:p>
    <w:p>
      <w:pPr>
        <w:pStyle w:val="Heading2"/>
        <w:spacing w:after="160" w:before="280"/>
      </w:pPr>
      <w:r>
        <w:rPr>
          <w:rFonts w:ascii="Calibri" w:cs="Calibri" w:eastAsia="Calibri" w:hAnsi="Calibri"/>
          <w:b/>
          <w:bCs/>
          <w:color w:val="2E74B5"/>
          <w:sz w:val="26"/>
          <w:szCs w:val="26"/>
        </w:rPr>
        <w:t xml:space="preserve">1.2 Importancia de la planificación comercial</w:t>
      </w:r>
    </w:p>
    <w:p>
      <w:pPr>
        <w:spacing w:after="200" w:line="320"/>
        <w:jc w:val="both"/>
      </w:pPr>
      <w:r>
        <w:rPr>
          <w:rFonts w:ascii="Calibri" w:cs="Calibri" w:eastAsia="Calibri" w:hAnsi="Calibri"/>
          <w:sz w:val="22"/>
          <w:szCs w:val="22"/>
        </w:rPr>
        <w:t xml:space="preserve">Como se discutió en las primeras sesiones del curso, el mercado no premia las ideas sino la ejecución. Muchos negocios fracasan no por tener un mal producto, sino por no entender el mercado en el que operan, por no definir con claridad a su cliente o por carecer de una estrategia comercial estructurada. La planificación comercial es precisamente el puente entre la intención de vender y un sistema de ventas medible, repetible y rentable.</w:t>
      </w:r>
    </w:p>
    <w:p>
      <w:pPr>
        <w:spacing w:after="200" w:line="320"/>
        <w:jc w:val="both"/>
      </w:pPr>
      <w:r>
        <w:rPr>
          <w:rFonts w:ascii="Calibri" w:cs="Calibri" w:eastAsia="Calibri" w:hAnsi="Calibri"/>
          <w:sz w:val="22"/>
          <w:szCs w:val="22"/>
        </w:rPr>
        <w:t xml:space="preserve">En un mercado como el peruano, caracterizado por una alta sensibilidad al precio, una fuerte informalidad, un consumidor cada vez más digital y una creciente competencia entre cadenas especializadas, cadenas por departamento y plataformas de comercio electrónico, la planificación deja de ser un ejercicio académico y se convierte en una condición de supervivencia. Sin un plan comercial claro, una empresa como Coolbox quedaría expuesta a decisiones reactivas, a erosión de márgenes por guerras de precios y a perder relevancia frente a competidores que sí leen correctamente al mercado.</w:t>
      </w:r>
    </w:p>
    <w:p>
      <w:pPr>
        <w:pStyle w:val="Heading2"/>
        <w:spacing w:after="160" w:before="280"/>
      </w:pPr>
      <w:r>
        <w:rPr>
          <w:rFonts w:ascii="Calibri" w:cs="Calibri" w:eastAsia="Calibri" w:hAnsi="Calibri"/>
          <w:b/>
          <w:bCs/>
          <w:color w:val="2E74B5"/>
          <w:sz w:val="26"/>
          <w:szCs w:val="26"/>
        </w:rPr>
        <w:t xml:space="preserve">1.3 Breve descripción de la empresa y del producto</w:t>
      </w:r>
    </w:p>
    <w:p>
      <w:pPr>
        <w:spacing w:after="200" w:line="320"/>
        <w:jc w:val="both"/>
      </w:pPr>
      <w:r>
        <w:rPr>
          <w:rFonts w:ascii="Calibri" w:cs="Calibri" w:eastAsia="Calibri" w:hAnsi="Calibri"/>
          <w:b/>
          <w:bCs/>
          <w:i w:val="false"/>
          <w:iCs w:val="false"/>
          <w:sz w:val="22"/>
          <w:szCs w:val="22"/>
        </w:rPr>
        <w:t xml:space="preserve">Coolbox</w:t>
      </w:r>
      <w:r>
        <w:rPr>
          <w:rFonts w:ascii="Calibri" w:cs="Calibri" w:eastAsia="Calibri" w:hAnsi="Calibri"/>
          <w:b w:val="false"/>
          <w:bCs w:val="false"/>
          <w:i w:val="false"/>
          <w:iCs w:val="false"/>
          <w:sz w:val="22"/>
          <w:szCs w:val="22"/>
        </w:rPr>
        <w:t xml:space="preserve"> es una cadena peruana especializada en la venta minorista de productos de tecnología y electrónica de consumo. Nació en 1997 bajo el nombre comercial de Radioshack dentro de las tiendas Ace Home Center, con el objetivo de difundir la tecnología en el Perú. En 2015 adoptó su nombre actual, Coolbox, y desde entonces ha mantenido una estrategia sostenida de expansión territorial. Al cierre de 2025 contaba con 140 tiendas y proyecta cerrar 2026 con 173 locales y alcanzar los 200 hacia 2027, según declaraciones de Marcelo Bazán, CEO Corporativo Perú &amp; México de Coolbox, recogidas por el diario El Comercio (2025).</w:t>
      </w:r>
    </w:p>
    <w:p>
      <w:pPr>
        <w:spacing w:after="200" w:line="320"/>
        <w:jc w:val="both"/>
      </w:pPr>
      <w:r>
        <w:rPr>
          <w:rFonts w:ascii="Calibri" w:cs="Calibri" w:eastAsia="Calibri" w:hAnsi="Calibri"/>
          <w:sz w:val="22"/>
          <w:szCs w:val="22"/>
        </w:rPr>
        <w:t xml:space="preserve">Su portafolio se organiza en categorías como cómputo (laptops, computadoras de escritorio, accesorios), celulares y accesorios, audio (audífonos, parlantes), video y televisores, videojuegos, climatización y pequeños electrodomésticos. Comercializa marcas comerciales reconocidas como Apple, Samsung, Xiaomi, HP, Lenovo, LG, JBL, entre otras, y también trabaja marcas propias como Teraware, Teraware 4 Gaming, Radioshack, Roadtrip, Westminster, GMobile, SEC e Izuum, lo que le permite capturar márgenes superiores en segmentos de precio accesible.</w:t>
      </w:r>
    </w:p>
    <w:p>
      <w:pPr>
        <w:spacing w:after="200" w:line="320"/>
        <w:jc w:val="both"/>
      </w:pPr>
      <w:r>
        <w:rPr>
          <w:rFonts w:ascii="Calibri" w:cs="Calibri" w:eastAsia="Calibri" w:hAnsi="Calibri"/>
          <w:sz w:val="22"/>
          <w:szCs w:val="22"/>
        </w:rPr>
        <w:t xml:space="preserve">Su modelo de operación es omnicanal: combina una red densa de tiendas físicas, principalmente en centros comerciales (Real Plaza, Mallplaza, Jockey Plaza, entre otros), con una tienda virtual propia (coolbox.pe) construida sobre la plataforma VTEX, presencia como tienda oficial en seis marketplaces (Mercado Libre, Falabella, Ripley, Juntoz, Linio, Lumingo) y canales de atención por WhatsApp Business, redes sociales y teléfono. Adicionalmente, mantiene alianzas con plataformas de quick commerce como Rappi y PedidosYa. Su propuesta, tal como la comunica la marca, se sostiene en tres pilares: precios accesibles, garantía y variedad.</w:t>
      </w:r>
    </w:p>
    <w:p>
      <w:pPr>
        <w:spacing w:after="200" w:line="320"/>
        <w:jc w:val="both"/>
      </w:pPr>
      <w:r>
        <w:rPr>
          <w:rFonts w:ascii="Calibri" w:cs="Calibri" w:eastAsia="Calibri" w:hAnsi="Calibri"/>
          <w:sz w:val="22"/>
          <w:szCs w:val="22"/>
        </w:rPr>
        <w:t xml:space="preserve">Para efectos del presente plan, el análisis se construye sobre el portafolio completo de Coolbox, con énfasis en las tres categorías de mayor rotación y mayor potencial estratégico: smartphones (gama media y premium), accesorios complementarios (audífonos, power banks, fundas, cargadores) y la línea gaming (consolas, periféricos y accesorios), por ser las categorías donde se concentra la mayor frecuencia de recompra, el mayor potencial de venta cruzada y la mayor afinidad con los segmentos prioritarios elegidos.</w:t>
      </w:r>
    </w:p>
    <w:p>
      <w:r>
        <w:br w:type="page"/>
      </w:r>
    </w:p>
    <w:p>
      <w:pPr>
        <w:pStyle w:val="Heading1"/>
        <w:spacing w:after="200" w:before="360"/>
      </w:pPr>
      <w:r>
        <w:rPr>
          <w:rFonts w:ascii="Calibri" w:cs="Calibri" w:eastAsia="Calibri" w:hAnsi="Calibri"/>
          <w:b/>
          <w:bCs/>
          <w:color w:val="1F3864"/>
          <w:sz w:val="32"/>
          <w:szCs w:val="32"/>
        </w:rPr>
        <w:t xml:space="preserve">2. ANÁLISIS DEL NEGOCIO Y DEL ENTORNO</w:t>
      </w:r>
    </w:p>
    <w:p>
      <w:pPr>
        <w:spacing w:after="200" w:line="320"/>
        <w:jc w:val="both"/>
      </w:pPr>
      <w:r>
        <w:rPr>
          <w:rFonts w:ascii="Calibri" w:cs="Calibri" w:eastAsia="Calibri" w:hAnsi="Calibri"/>
          <w:sz w:val="22"/>
          <w:szCs w:val="22"/>
        </w:rPr>
        <w:t xml:space="preserve">Siguiendo el marco conceptual de la Sesión 5, el mercado se entiende como un sistema donde interactúan clientes, competencia, entorno y producto. Analizar adecuadamente estos cuatro factores permite evitar decisiones a ciegas y posicionar al producto en un contexto coherente. A continuación, se desarrolla el análisis correspondiente a Coolbox en el mercado peruano de tecnología de consumo.</w:t>
      </w:r>
    </w:p>
    <w:p>
      <w:pPr>
        <w:pStyle w:val="Heading2"/>
        <w:spacing w:after="160" w:before="280"/>
      </w:pPr>
      <w:r>
        <w:rPr>
          <w:rFonts w:ascii="Calibri" w:cs="Calibri" w:eastAsia="Calibri" w:hAnsi="Calibri"/>
          <w:b/>
          <w:bCs/>
          <w:color w:val="2E74B5"/>
          <w:sz w:val="26"/>
          <w:szCs w:val="26"/>
        </w:rPr>
        <w:t xml:space="preserve">2.1 Análisis del entorno comercial</w:t>
      </w:r>
    </w:p>
    <w:p>
      <w:pPr>
        <w:spacing w:after="200" w:line="320"/>
        <w:jc w:val="both"/>
      </w:pPr>
      <w:r>
        <w:rPr>
          <w:rFonts w:ascii="Calibri" w:cs="Calibri" w:eastAsia="Calibri" w:hAnsi="Calibri"/>
          <w:sz w:val="22"/>
          <w:szCs w:val="22"/>
        </w:rPr>
        <w:t xml:space="preserve">El entorno comercial en el que opera Coolbox presenta una combinación de factores favorables y desafiantes que inciden directamente en su gestión comercial. Desde una perspectiva macroeconómica, el consumo peruano muestra signos claros de recuperación: de acuerdo con NielsenIQ (2025), el consumo creció 2.7% en volumen y 3.5% en valor durante 2025, con el 65% de categorías en expansión. Particularmente, el sector de electrodomésticos y tecnología pasó de cifras negativas cercanas al -11% en años previos a un crecimiento del 8% al cierre de agosto de 2025, impulsado por la necesidad de recambio post pandemia y por la búsqueda de productos que faciliten la vida en el hogar y el trabajo.</w:t>
      </w:r>
    </w:p>
    <w:p>
      <w:pPr>
        <w:spacing w:after="200" w:line="320"/>
        <w:jc w:val="both"/>
      </w:pPr>
      <w:r>
        <w:rPr>
          <w:rFonts w:ascii="Calibri" w:cs="Calibri" w:eastAsia="Calibri" w:hAnsi="Calibri"/>
          <w:sz w:val="22"/>
          <w:szCs w:val="22"/>
        </w:rPr>
        <w:t xml:space="preserve">El canal digital es el principal motor de transformación del entorno. Según CAPECE (2025), el comercio electrónico peruano cerró 2024 con una facturación aproximada de 15,600 millones de dólares y una proyección de crecimiento adicional del 35% hacia 2026. Alrededor del 60% de los adultos peruanos ya realiza compras en línea, con 18.7 millones de compradores digitales (equivalentes al 55% de la población). Las mujeres concentran el 54% de las compras en línea y el rango de edad más activo es entre 27 y 44 años, lo que coincide con el segmento objetivo natural de Coolbox.</w:t>
      </w:r>
    </w:p>
    <w:p>
      <w:pPr>
        <w:spacing w:after="200" w:line="320"/>
        <w:jc w:val="both"/>
      </w:pPr>
      <w:r>
        <w:rPr>
          <w:rFonts w:ascii="Calibri" w:cs="Calibri" w:eastAsia="Calibri" w:hAnsi="Calibri"/>
          <w:sz w:val="22"/>
          <w:szCs w:val="22"/>
        </w:rPr>
        <w:t xml:space="preserve">Un dato especialmente relevante para el retail de tecnología es que el 74% de las ventas en línea se realiza desde dispositivos móviles, y se prevé que la expansión del 5G refuerce aún más esta tendencia (CAPECE, 2025). Asimismo, las billeteras digitales han pasado a ser parte del estándar transaccional: Yape, perteneciente a Credicorp, alcanzó 16.4 millones de usuarios activos mensuales al cierre del primer trimestre de 2026 (Infomercado, 2026a), y en marzo de 2026 la Superintendencia de Banca, Seguros y AFP (SBS), mediante la Resolución N.° 00704-2026, elevó el límite por transacción de dinero electrónico simplificado a S/3,300 y el límite mensual acumulado a S/15,400 (Infomercado, 2026b), un cambio que habilita la compra de smartphones y laptops de gama media directamente desde billeteras digitales.</w:t>
      </w:r>
    </w:p>
    <w:p>
      <w:pPr>
        <w:spacing w:after="200" w:line="320"/>
        <w:jc w:val="both"/>
      </w:pPr>
      <w:r>
        <w:rPr>
          <w:rFonts w:ascii="Calibri" w:cs="Calibri" w:eastAsia="Calibri" w:hAnsi="Calibri"/>
          <w:sz w:val="22"/>
          <w:szCs w:val="22"/>
        </w:rPr>
        <w:t xml:space="preserve">En el plano regulatorio y social, dos elementos deben considerarse. En primer lugar, la alta informalidad del mercado peruano, que se traduce en una oferta paralela de productos tecnológicos en mercados como Polvos Azules, Wilson o galerías del centro de Lima, con precios más bajos pero sin garantía formal. En segundo lugar, el contexto de inseguridad ciudadana en Lima Metropolitana, que incrementa la valoración de puntos de venta en centros comerciales seguros y del canal delivery con rastreo. Ambos factores, bien leídos, representan una ventaja competitiva para una cadena formal como Coolbox frente al comercio informal.</w:t>
      </w:r>
    </w:p>
    <w:p>
      <w:pPr>
        <w:pStyle w:val="Heading2"/>
        <w:spacing w:after="160" w:before="280"/>
      </w:pPr>
      <w:r>
        <w:rPr>
          <w:rFonts w:ascii="Calibri" w:cs="Calibri" w:eastAsia="Calibri" w:hAnsi="Calibri"/>
          <w:b/>
          <w:bCs/>
          <w:color w:val="2E74B5"/>
          <w:sz w:val="26"/>
          <w:szCs w:val="26"/>
        </w:rPr>
        <w:t xml:space="preserve">2.2 Análisis del mercado objetivo</w:t>
      </w:r>
    </w:p>
    <w:p>
      <w:pPr>
        <w:spacing w:after="200" w:line="320"/>
        <w:jc w:val="both"/>
      </w:pPr>
      <w:r>
        <w:rPr>
          <w:rFonts w:ascii="Calibri" w:cs="Calibri" w:eastAsia="Calibri" w:hAnsi="Calibri"/>
          <w:sz w:val="22"/>
          <w:szCs w:val="22"/>
        </w:rPr>
        <w:t xml:space="preserve">El mercado objetivo de Coolbox está constituido por consumidores peruanos urbanos que demandan productos tecnológicos originales, con garantía, financiamiento accesible y una experiencia de compra omnicanal. Dentro de este gran mercado, se identifican varios segmentos relevantes: jóvenes profesionales entre 25 y 40 años con ingresos medios y alta frecuencia de uso tecnológico; estudiantes universitarios y escolares que requieren equipos para estudio y entretenimiento; y familias que realizan compras compartidas (una laptop para el hogar, smart TVs, consolas, pequeños electrodomésticos inteligentes).</w:t>
      </w:r>
    </w:p>
    <w:p>
      <w:pPr>
        <w:spacing w:after="200" w:line="320"/>
        <w:jc w:val="both"/>
      </w:pPr>
      <w:r>
        <w:rPr>
          <w:rFonts w:ascii="Calibri" w:cs="Calibri" w:eastAsia="Calibri" w:hAnsi="Calibri"/>
          <w:sz w:val="22"/>
          <w:szCs w:val="22"/>
        </w:rPr>
        <w:t xml:space="preserve">Geográficamente, el mercado está concentrado en Lima Metropolitana, que representa el volumen principal de facturación, pero con un peso creciente de provincias: Arequipa, Trujillo, Chiclayo, Cusco y Piura son plazas de alta rotación para categorías como smartphones de gama media y audio. Según CAPECE (2025), el 30% de los compradores digitales peruanos ya son de provincias, lo que obliga a reforzar la logística de última milla fuera de Lima.</w:t>
      </w:r>
    </w:p>
    <w:p>
      <w:pPr>
        <w:spacing w:after="200" w:line="320"/>
        <w:jc w:val="both"/>
      </w:pPr>
      <w:r>
        <w:rPr>
          <w:rFonts w:ascii="Calibri" w:cs="Calibri" w:eastAsia="Calibri" w:hAnsi="Calibri"/>
          <w:sz w:val="22"/>
          <w:szCs w:val="22"/>
        </w:rPr>
        <w:t xml:space="preserve">Desde la óptica del comportamiento, el consumidor peruano de tecnología del 2026 muestra cuatro rasgos que resultan críticos para el plan comercial: es informado (compara precios y especificaciones antes de decidir, usa reseñas, revisa redes sociales); es multicanal (mezcla visitas a tienda física con compra online); busca confianza (valora la garantía, la reputación y la atención postventa); y es sensible al valor más que al precio puro (no compra lo más barato, compra la mejor combinación de precio, beneficio y experiencia). Coolbox, con su promesa de productos originales, garantía oficial y más de 150 puntos de contacto físicos, está bien posicionada para capturar este perfil.</w:t>
      </w:r>
    </w:p>
    <w:p>
      <w:pPr>
        <w:pStyle w:val="Heading2"/>
        <w:spacing w:after="160" w:before="280"/>
      </w:pPr>
      <w:r>
        <w:rPr>
          <w:rFonts w:ascii="Calibri" w:cs="Calibri" w:eastAsia="Calibri" w:hAnsi="Calibri"/>
          <w:b/>
          <w:bCs/>
          <w:color w:val="2E74B5"/>
          <w:sz w:val="26"/>
          <w:szCs w:val="26"/>
        </w:rPr>
        <w:t xml:space="preserve">2.3 Análisis de la competencia</w:t>
      </w:r>
    </w:p>
    <w:p>
      <w:pPr>
        <w:spacing w:after="200" w:line="320"/>
        <w:jc w:val="both"/>
      </w:pPr>
      <w:r>
        <w:rPr>
          <w:rFonts w:ascii="Calibri" w:cs="Calibri" w:eastAsia="Calibri" w:hAnsi="Calibri"/>
          <w:sz w:val="22"/>
          <w:szCs w:val="22"/>
        </w:rPr>
        <w:t xml:space="preserve">El mercado retail de tecnología y electrodomésticos en el Perú es altamente competitivo y presenta varios grupos de competidores que disputan distintos segmentos del mismo cliente. Se propone agruparlos en cinco categorías, tal como se muestra en la siguiente tabla:</w:t>
      </w:r>
    </w:p>
    <w:p>
      <w:pPr>
        <w:spacing w:after="12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220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Categoría de competidor</w:t>
            </w:r>
          </w:p>
        </w:tc>
        <w:tc>
          <w:tcPr>
            <w:tcW w:type="dxa" w:w="2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Jugadores principales</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Ventaja principal</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Amenaza para Coolbox</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Especialistas en tecnología</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Hiraoka, La Curacao, Tiendas Efe, PC Factory</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Marca reconocida, crédito propio, expansión nacional</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Alta — compiten por el mismo cliente y categorías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Tiendas por departamento</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Saga Falabella, Ripley, Oechsle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Tráfico masivo, CMR/crédito, campañas agresivas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Alta en campañas (Cyber, Black Friday)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Supermercados e hipermercados</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Plaza Vea, Tottus, Metro, Wong</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Conveniencia, compra combinada con otras categorías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Media — foco en electrodomésticos y accesorios básicos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E-commerce y marketplaces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Mercado Libre, Temu, Amazon (internacional)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Precios bajos, catálogo infinito, reviews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Alta y creciente — presiona márgenes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Comercio informal</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Polvos Azules, Wilson, galerías del centro</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Precios muy bajos, efectivo, regateo</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Media — captura cliente sensible al precio sin garantía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Operadores móviles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Claro, Movistar, Entel, Bitel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Venden celulares asociados a planes postpago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Alta en smartphones</w:t>
            </w:r>
          </w:p>
        </w:tc>
      </w:tr>
    </w:tbl>
    <w:p>
      <w:pPr>
        <w:spacing w:after="120"/>
      </w:pPr>
      <w:r>
        <w:t xml:space="preserve"/>
      </w:r>
    </w:p>
    <w:p>
      <w:pPr>
        <w:spacing w:after="200" w:line="320"/>
        <w:jc w:val="both"/>
      </w:pPr>
      <w:r>
        <w:rPr>
          <w:rFonts w:ascii="Calibri" w:cs="Calibri" w:eastAsia="Calibri" w:hAnsi="Calibri"/>
          <w:sz w:val="22"/>
          <w:szCs w:val="22"/>
        </w:rPr>
        <w:t xml:space="preserve">Dentro de este mapa competitivo, los rivales más directos de Coolbox son Hiraoka, PC Factory, las cadenas por departamento (Falabella y Ripley) y Mercado Libre. Hiraoka mantiene un liderazgo de marca en el segmento de electrodomésticos y tecnología, con una imagen consolidada de confianza, aunque tradicionalmente ha tenido cobertura concentrada en Lima (con su reciente apertura en San Juan de Lurigancho alcanza cinco locales) y un modelo más orientado a tienda de gran formato (Gestión, 2025a). PC Factory es una cadena retail con 16 a 17 tiendas a nivel nacional especializada en productos tecnológicos de vanguardia, con foco en los segmentos socioeconómicos A y B. Falabella y Ripley, por su parte, compiten desde el formato de tienda por departamento, apalancando dos ventajas decisivas: tráfico masivo en sus tiendas ancla de centros comerciales y un brazo financiero propio (CMR Puntos en el caso de Falabella, Tarjeta Ripley en el caso de Ripley) que les permite ofrecer hasta 18 cuotas sin intereses en productos como smartphones, según comunicación oficial de Banco Falabella. Finalmente, Mercado Libre opera como un marketplace que combina venta directa y de terceros, con cobertura nacional 100% digital y una propuesta basada en precio, catálogo infinito y reseñas de usuarios.</w:t>
      </w:r>
    </w:p>
    <w:p>
      <w:pPr>
        <w:spacing w:after="200" w:line="320"/>
        <w:jc w:val="both"/>
      </w:pPr>
      <w:r>
        <w:rPr>
          <w:rFonts w:ascii="Calibri" w:cs="Calibri" w:eastAsia="Calibri" w:hAnsi="Calibri"/>
          <w:sz w:val="22"/>
          <w:szCs w:val="22"/>
        </w:rPr>
        <w:t xml:space="preserve">Frente a este grupo, Coolbox se distingue por tres factores: mayor densidad de tiendas (140 puntos de venta a cierre 2025 y proyección de 173 al cierre de 2026 frente a las 16-17 de PC Factory o los 5 de Hiraoka en Lima); un enfoque más claro en tecnología y gadgets (frente a la línea blanca que domina en Hiraoka, los productos de vanguardia de PC Factory o la multicategoría de Falabella/Ripley); y una experiencia de compra moderna en centros comerciales con tiendas de formato mediano y diseño actualizado. Su principal debilidad relativa es que no cuenta con un brazo financiero propio, lo que la hace dependiente de convenios con bancos (Diners, Interbank, BCP, BBVA, Scotiabank) para ofrecer cuotas sin intereses.</w:t>
      </w:r>
    </w:p>
    <w:p>
      <w:pPr>
        <w:pStyle w:val="Heading2"/>
        <w:spacing w:after="160" w:before="280"/>
      </w:pPr>
      <w:r>
        <w:rPr>
          <w:rFonts w:ascii="Calibri" w:cs="Calibri" w:eastAsia="Calibri" w:hAnsi="Calibri"/>
          <w:b/>
          <w:bCs/>
          <w:color w:val="2E74B5"/>
          <w:sz w:val="26"/>
          <w:szCs w:val="26"/>
        </w:rPr>
        <w:t xml:space="preserve">2.4 Tendencias del sector</w:t>
      </w:r>
    </w:p>
    <w:p>
      <w:pPr>
        <w:spacing w:after="200" w:line="320"/>
        <w:jc w:val="both"/>
      </w:pPr>
      <w:r>
        <w:rPr>
          <w:rFonts w:ascii="Calibri" w:cs="Calibri" w:eastAsia="Calibri" w:hAnsi="Calibri"/>
          <w:sz w:val="22"/>
          <w:szCs w:val="22"/>
        </w:rPr>
        <w:t xml:space="preserve">El análisis de tendencias permite anticipar oportunidades antes que la competencia, tal como se discutió en la Sesión 2. En el sector retail de tecnología peruano se identifican seis tendencias que condicionarán la estrategia comercial de Coolbox en los próximos doce meses:</w:t>
      </w:r>
    </w:p>
    <w:p>
      <w:pPr>
        <w:pStyle w:val="ListParagraph"/>
        <w:numPr>
          <w:ilvl w:val="0"/>
          <w:numId w:val="1"/>
        </w:numPr>
        <w:spacing w:after="100" w:line="300"/>
        <w:jc w:val="both"/>
      </w:pPr>
      <w:r>
        <w:rPr>
          <w:rFonts w:ascii="Calibri" w:cs="Calibri" w:eastAsia="Calibri" w:hAnsi="Calibri"/>
          <w:b/>
          <w:bCs/>
          <w:i w:val="false"/>
          <w:iCs w:val="false"/>
          <w:sz w:val="22"/>
          <w:szCs w:val="22"/>
        </w:rPr>
        <w:t xml:space="preserve">Digitalización acelerada del proceso de compra: </w:t>
      </w:r>
      <w:r>
        <w:rPr>
          <w:rFonts w:ascii="Calibri" w:cs="Calibri" w:eastAsia="Calibri" w:hAnsi="Calibri"/>
          <w:b w:val="false"/>
          <w:bCs w:val="false"/>
          <w:i w:val="false"/>
          <w:iCs w:val="false"/>
          <w:sz w:val="22"/>
          <w:szCs w:val="22"/>
        </w:rPr>
        <w:t xml:space="preserve">el 74% de las ventas en línea se realiza desde smartphones y el social commerce crece de forma sostenida (CAPECE, 2025). La expansión de TikTok Shop y el uso de Instagram Shopping y WhatsApp Business como canales de cierre de venta obligan a tratar las redes no solo como vitrina sino como punto de venta.</w:t>
      </w:r>
    </w:p>
    <w:p>
      <w:pPr>
        <w:pStyle w:val="ListParagraph"/>
        <w:numPr>
          <w:ilvl w:val="0"/>
          <w:numId w:val="1"/>
        </w:numPr>
        <w:spacing w:after="100" w:line="300"/>
        <w:jc w:val="both"/>
      </w:pPr>
      <w:r>
        <w:rPr>
          <w:rFonts w:ascii="Calibri" w:cs="Calibri" w:eastAsia="Calibri" w:hAnsi="Calibri"/>
          <w:b/>
          <w:bCs/>
          <w:i w:val="false"/>
          <w:iCs w:val="false"/>
          <w:sz w:val="22"/>
          <w:szCs w:val="22"/>
        </w:rPr>
        <w:t xml:space="preserve">Consolidación de las billeteras digitales: </w:t>
      </w:r>
      <w:r>
        <w:rPr>
          <w:rFonts w:ascii="Calibri" w:cs="Calibri" w:eastAsia="Calibri" w:hAnsi="Calibri"/>
          <w:b w:val="false"/>
          <w:bCs w:val="false"/>
          <w:i w:val="false"/>
          <w:iCs w:val="false"/>
          <w:sz w:val="22"/>
          <w:szCs w:val="22"/>
        </w:rPr>
        <w:t xml:space="preserve">Yape y Plin ya representan alrededor del 26% de las transacciones en línea y se estima que superen el 30% en 2026 (CAPECE, 2025). Integrar estas pasarelas es una condición mínima para no perder conversión.</w:t>
      </w:r>
    </w:p>
    <w:p>
      <w:pPr>
        <w:pStyle w:val="ListParagraph"/>
        <w:numPr>
          <w:ilvl w:val="0"/>
          <w:numId w:val="1"/>
        </w:numPr>
        <w:spacing w:after="100" w:line="300"/>
        <w:jc w:val="both"/>
      </w:pPr>
      <w:r>
        <w:rPr>
          <w:rFonts w:ascii="Calibri" w:cs="Calibri" w:eastAsia="Calibri" w:hAnsi="Calibri"/>
          <w:b/>
          <w:bCs/>
          <w:i w:val="false"/>
          <w:iCs w:val="false"/>
          <w:sz w:val="22"/>
          <w:szCs w:val="22"/>
        </w:rPr>
        <w:t xml:space="preserve">Inteligencia artificial en el producto y en la venta: </w:t>
      </w:r>
      <w:r>
        <w:rPr>
          <w:rFonts w:ascii="Calibri" w:cs="Calibri" w:eastAsia="Calibri" w:hAnsi="Calibri"/>
          <w:b w:val="false"/>
          <w:bCs w:val="false"/>
          <w:i w:val="false"/>
          <w:iCs w:val="false"/>
          <w:sz w:val="22"/>
          <w:szCs w:val="22"/>
        </w:rPr>
        <w:t xml:space="preserve">la IA dejará de ser un diferenciador para ser un estándar en smartphones en 2026. A nivel de venta, la personalización por IA (recomendaciones, contenido, ofertas segmentadas) será decisiva para la conversión (KOM, 2025).</w:t>
      </w:r>
    </w:p>
    <w:p>
      <w:pPr>
        <w:pStyle w:val="ListParagraph"/>
        <w:numPr>
          <w:ilvl w:val="0"/>
          <w:numId w:val="1"/>
        </w:numPr>
        <w:spacing w:after="100" w:line="300"/>
        <w:jc w:val="both"/>
      </w:pPr>
      <w:r>
        <w:rPr>
          <w:rFonts w:ascii="Calibri" w:cs="Calibri" w:eastAsia="Calibri" w:hAnsi="Calibri"/>
          <w:b/>
          <w:bCs/>
          <w:i w:val="false"/>
          <w:iCs w:val="false"/>
          <w:sz w:val="22"/>
          <w:szCs w:val="22"/>
        </w:rPr>
        <w:t xml:space="preserve">Consumidor sensible al valor, no solo al precio: </w:t>
      </w:r>
      <w:r>
        <w:rPr>
          <w:rFonts w:ascii="Calibri" w:cs="Calibri" w:eastAsia="Calibri" w:hAnsi="Calibri"/>
          <w:b w:val="false"/>
          <w:bCs w:val="false"/>
          <w:i w:val="false"/>
          <w:iCs w:val="false"/>
          <w:sz w:val="22"/>
          <w:szCs w:val="22"/>
        </w:rPr>
        <w:t xml:space="preserve">el consumidor peruano del 2026 prioriza experiencias, confianza y autenticidad de marca sobre el precio puro. La infidelidad de marca es la nueva normalidad: el cliente prueba, compara y cambia (UTP, 2025).</w:t>
      </w:r>
    </w:p>
    <w:p>
      <w:pPr>
        <w:pStyle w:val="ListParagraph"/>
        <w:numPr>
          <w:ilvl w:val="0"/>
          <w:numId w:val="1"/>
        </w:numPr>
        <w:spacing w:after="100" w:line="300"/>
        <w:jc w:val="both"/>
      </w:pPr>
      <w:r>
        <w:rPr>
          <w:rFonts w:ascii="Calibri" w:cs="Calibri" w:eastAsia="Calibri" w:hAnsi="Calibri"/>
          <w:b/>
          <w:bCs/>
          <w:i w:val="false"/>
          <w:iCs w:val="false"/>
          <w:sz w:val="22"/>
          <w:szCs w:val="22"/>
        </w:rPr>
        <w:t xml:space="preserve">Expansión de marcas chinas de gama media-alta: </w:t>
      </w:r>
      <w:r>
        <w:rPr>
          <w:rFonts w:ascii="Calibri" w:cs="Calibri" w:eastAsia="Calibri" w:hAnsi="Calibri"/>
          <w:b w:val="false"/>
          <w:bCs w:val="false"/>
          <w:i w:val="false"/>
          <w:iCs w:val="false"/>
          <w:sz w:val="22"/>
          <w:szCs w:val="22"/>
        </w:rPr>
        <w:t xml:space="preserve">Xiaomi se ha consolidado como una de las marcas preferidas por el consumidor peruano gracias a su relación precio-beneficio y ecosistema amplio de más de 300 productos. Marcas como TCL, Hisense, Dreame y Vivo están ingresando con fuerza, ampliando la oferta accesible (Gestión, 2025b).</w:t>
      </w:r>
    </w:p>
    <w:p>
      <w:pPr>
        <w:pStyle w:val="ListParagraph"/>
        <w:numPr>
          <w:ilvl w:val="0"/>
          <w:numId w:val="1"/>
        </w:numPr>
        <w:spacing w:after="100" w:line="300"/>
        <w:jc w:val="both"/>
      </w:pPr>
      <w:r>
        <w:rPr>
          <w:rFonts w:ascii="Calibri" w:cs="Calibri" w:eastAsia="Calibri" w:hAnsi="Calibri"/>
          <w:b/>
          <w:bCs/>
          <w:i w:val="false"/>
          <w:iCs w:val="false"/>
          <w:sz w:val="22"/>
          <w:szCs w:val="22"/>
        </w:rPr>
        <w:t xml:space="preserve">Formato shop in shop y experiencias de marca dentro del retail: </w:t>
      </w:r>
      <w:r>
        <w:rPr>
          <w:rFonts w:ascii="Calibri" w:cs="Calibri" w:eastAsia="Calibri" w:hAnsi="Calibri"/>
          <w:b w:val="false"/>
          <w:bCs w:val="false"/>
          <w:i w:val="false"/>
          <w:iCs w:val="false"/>
          <w:sz w:val="22"/>
          <w:szCs w:val="22"/>
        </w:rPr>
        <w:t xml:space="preserve">La Curacao ya alberga tiendas de Tesla, GoPro y Starlink dentro de sus locales. Esta tendencia abre la posibilidad para Coolbox de integrar experiencias de marca (Apple, Samsung, Xiaomi, JBL) dentro de sus tiendas físicas como diferencial.</w:t>
      </w:r>
    </w:p>
    <w:p>
      <w:pPr>
        <w:pStyle w:val="Heading2"/>
        <w:spacing w:after="160" w:before="280"/>
      </w:pPr>
      <w:r>
        <w:rPr>
          <w:rFonts w:ascii="Calibri" w:cs="Calibri" w:eastAsia="Calibri" w:hAnsi="Calibri"/>
          <w:b/>
          <w:bCs/>
          <w:color w:val="2E74B5"/>
          <w:sz w:val="26"/>
          <w:szCs w:val="26"/>
        </w:rPr>
        <w:t xml:space="preserve">2.5 Segmentación y perfil del cliente ideal</w:t>
      </w:r>
    </w:p>
    <w:p>
      <w:pPr>
        <w:spacing w:after="200" w:line="320"/>
        <w:jc w:val="both"/>
      </w:pPr>
      <w:r>
        <w:rPr>
          <w:rFonts w:ascii="Calibri" w:cs="Calibri" w:eastAsia="Calibri" w:hAnsi="Calibri"/>
          <w:sz w:val="22"/>
          <w:szCs w:val="22"/>
        </w:rPr>
        <w:t xml:space="preserve">Siguiendo el enfoque de la Sesión 5, segmentar es elegir a quién no vender. A partir del análisis del mercado, se propone centrar la estrategia comercial de Coolbox en tres segmentos prioritarios dentro de Lima Metropolitana, sin descuidar los otros públicos que ya atiende.</w:t>
      </w:r>
    </w:p>
    <w:p>
      <w:pPr>
        <w:pStyle w:val="Heading3"/>
        <w:spacing w:after="140" w:before="220"/>
      </w:pPr>
      <w:r>
        <w:rPr>
          <w:rFonts w:ascii="Calibri" w:cs="Calibri" w:eastAsia="Calibri" w:hAnsi="Calibri"/>
          <w:b/>
          <w:bCs/>
          <w:color w:val="2E74B5"/>
          <w:sz w:val="24"/>
          <w:szCs w:val="24"/>
        </w:rPr>
        <w:t xml:space="preserve">Segmento 1: Joven profesional digital (prioritario)</w:t>
      </w:r>
    </w:p>
    <w:p>
      <w:pPr>
        <w:pStyle w:val="ListParagraph"/>
        <w:numPr>
          <w:ilvl w:val="0"/>
          <w:numId w:val="1"/>
        </w:numPr>
        <w:spacing w:after="100" w:line="300"/>
        <w:jc w:val="both"/>
      </w:pPr>
      <w:r>
        <w:rPr>
          <w:rFonts w:ascii="Calibri" w:cs="Calibri" w:eastAsia="Calibri" w:hAnsi="Calibri"/>
          <w:b/>
          <w:bCs/>
          <w:i w:val="false"/>
          <w:iCs w:val="false"/>
          <w:sz w:val="22"/>
          <w:szCs w:val="22"/>
        </w:rPr>
        <w:t xml:space="preserve">Demografía: </w:t>
      </w:r>
      <w:r>
        <w:rPr>
          <w:rFonts w:ascii="Calibri" w:cs="Calibri" w:eastAsia="Calibri" w:hAnsi="Calibri"/>
          <w:b w:val="false"/>
          <w:bCs w:val="false"/>
          <w:i w:val="false"/>
          <w:iCs w:val="false"/>
          <w:sz w:val="22"/>
          <w:szCs w:val="22"/>
        </w:rPr>
        <w:t xml:space="preserve">hombres y mujeres entre 25 y 40 años, nivel socioeconómico B y C+, residentes en Lima Metropolitana, con ingresos entre S/ 2,500 y S/ 8,000 mensuales.</w:t>
      </w:r>
    </w:p>
    <w:p>
      <w:pPr>
        <w:pStyle w:val="ListParagraph"/>
        <w:numPr>
          <w:ilvl w:val="0"/>
          <w:numId w:val="1"/>
        </w:numPr>
        <w:spacing w:after="100" w:line="300"/>
        <w:jc w:val="both"/>
      </w:pPr>
      <w:r>
        <w:rPr>
          <w:rFonts w:ascii="Calibri" w:cs="Calibri" w:eastAsia="Calibri" w:hAnsi="Calibri"/>
          <w:b/>
          <w:bCs/>
          <w:i w:val="false"/>
          <w:iCs w:val="false"/>
          <w:sz w:val="22"/>
          <w:szCs w:val="22"/>
        </w:rPr>
        <w:t xml:space="preserve">Estilo de vida: </w:t>
      </w:r>
      <w:r>
        <w:rPr>
          <w:rFonts w:ascii="Calibri" w:cs="Calibri" w:eastAsia="Calibri" w:hAnsi="Calibri"/>
          <w:b w:val="false"/>
          <w:bCs w:val="false"/>
          <w:i w:val="false"/>
          <w:iCs w:val="false"/>
          <w:sz w:val="22"/>
          <w:szCs w:val="22"/>
        </w:rPr>
        <w:t xml:space="preserve">trabajan en empresas privadas o como profesionales independientes, viven solos o en pareja, tienen alto consumo de contenido digital (Instagram, TikTok, YouTube, Netflix, Spotify), valoran la productividad y el entretenimiento.</w:t>
      </w:r>
    </w:p>
    <w:p>
      <w:pPr>
        <w:pStyle w:val="ListParagraph"/>
        <w:numPr>
          <w:ilvl w:val="0"/>
          <w:numId w:val="1"/>
        </w:numPr>
        <w:spacing w:after="100" w:line="300"/>
        <w:jc w:val="both"/>
      </w:pPr>
      <w:r>
        <w:rPr>
          <w:rFonts w:ascii="Calibri" w:cs="Calibri" w:eastAsia="Calibri" w:hAnsi="Calibri"/>
          <w:b/>
          <w:bCs/>
          <w:i w:val="false"/>
          <w:iCs w:val="false"/>
          <w:sz w:val="22"/>
          <w:szCs w:val="22"/>
        </w:rPr>
        <w:t xml:space="preserve">Comportamiento de compra: </w:t>
      </w:r>
      <w:r>
        <w:rPr>
          <w:rFonts w:ascii="Calibri" w:cs="Calibri" w:eastAsia="Calibri" w:hAnsi="Calibri"/>
          <w:b w:val="false"/>
          <w:bCs w:val="false"/>
          <w:i w:val="false"/>
          <w:iCs w:val="false"/>
          <w:sz w:val="22"/>
          <w:szCs w:val="22"/>
        </w:rPr>
        <w:t xml:space="preserve">compran al menos un smartphone cada 2 o 3 años y accesorios varias veces al año, investigan en línea antes de comprar, valoran las cuotas sin intereses, compran por precio y por reseñas, son activos en redes sociales.</w:t>
      </w:r>
    </w:p>
    <w:p>
      <w:pPr>
        <w:pStyle w:val="ListParagraph"/>
        <w:numPr>
          <w:ilvl w:val="0"/>
          <w:numId w:val="1"/>
        </w:numPr>
        <w:spacing w:after="100" w:line="300"/>
        <w:jc w:val="both"/>
      </w:pPr>
      <w:r>
        <w:rPr>
          <w:rFonts w:ascii="Calibri" w:cs="Calibri" w:eastAsia="Calibri" w:hAnsi="Calibri"/>
          <w:b/>
          <w:bCs/>
          <w:i w:val="false"/>
          <w:iCs w:val="false"/>
          <w:sz w:val="22"/>
          <w:szCs w:val="22"/>
        </w:rPr>
        <w:t xml:space="preserve">Necesidad principal: </w:t>
      </w:r>
      <w:r>
        <w:rPr>
          <w:rFonts w:ascii="Calibri" w:cs="Calibri" w:eastAsia="Calibri" w:hAnsi="Calibri"/>
          <w:b w:val="false"/>
          <w:bCs w:val="false"/>
          <w:i w:val="false"/>
          <w:iCs w:val="false"/>
          <w:sz w:val="22"/>
          <w:szCs w:val="22"/>
        </w:rPr>
        <w:t xml:space="preserve">obtener tecnología actualizada con garantía y financiamiento flexible, con una experiencia de compra rápida y sin fricción.</w:t>
      </w:r>
    </w:p>
    <w:p>
      <w:pPr>
        <w:pStyle w:val="Heading3"/>
        <w:spacing w:after="140" w:before="220"/>
      </w:pPr>
      <w:r>
        <w:rPr>
          <w:rFonts w:ascii="Calibri" w:cs="Calibri" w:eastAsia="Calibri" w:hAnsi="Calibri"/>
          <w:b/>
          <w:bCs/>
          <w:color w:val="2E74B5"/>
          <w:sz w:val="24"/>
          <w:szCs w:val="24"/>
        </w:rPr>
        <w:t xml:space="preserve">Segmento 2: Familia urbana de clase media (secundario)</w:t>
      </w:r>
    </w:p>
    <w:p>
      <w:pPr>
        <w:pStyle w:val="ListParagraph"/>
        <w:numPr>
          <w:ilvl w:val="0"/>
          <w:numId w:val="1"/>
        </w:numPr>
        <w:spacing w:after="100" w:line="300"/>
        <w:jc w:val="both"/>
      </w:pPr>
      <w:r>
        <w:rPr>
          <w:rFonts w:ascii="Calibri" w:cs="Calibri" w:eastAsia="Calibri" w:hAnsi="Calibri"/>
          <w:b/>
          <w:bCs/>
          <w:i w:val="false"/>
          <w:iCs w:val="false"/>
          <w:sz w:val="22"/>
          <w:szCs w:val="22"/>
        </w:rPr>
        <w:t xml:space="preserve">Demografía: </w:t>
      </w:r>
      <w:r>
        <w:rPr>
          <w:rFonts w:ascii="Calibri" w:cs="Calibri" w:eastAsia="Calibri" w:hAnsi="Calibri"/>
          <w:b w:val="false"/>
          <w:bCs w:val="false"/>
          <w:i w:val="false"/>
          <w:iCs w:val="false"/>
          <w:sz w:val="22"/>
          <w:szCs w:val="22"/>
        </w:rPr>
        <w:t xml:space="preserve">padres entre 35 y 55 años, nivel socioeconómico B y C, con hijos en edad escolar o universitaria.</w:t>
      </w:r>
    </w:p>
    <w:p>
      <w:pPr>
        <w:pStyle w:val="ListParagraph"/>
        <w:numPr>
          <w:ilvl w:val="0"/>
          <w:numId w:val="1"/>
        </w:numPr>
        <w:spacing w:after="100" w:line="300"/>
        <w:jc w:val="both"/>
      </w:pPr>
      <w:r>
        <w:rPr>
          <w:rFonts w:ascii="Calibri" w:cs="Calibri" w:eastAsia="Calibri" w:hAnsi="Calibri"/>
          <w:b/>
          <w:bCs/>
          <w:i w:val="false"/>
          <w:iCs w:val="false"/>
          <w:sz w:val="22"/>
          <w:szCs w:val="22"/>
        </w:rPr>
        <w:t xml:space="preserve">Estilo de vida: </w:t>
      </w:r>
      <w:r>
        <w:rPr>
          <w:rFonts w:ascii="Calibri" w:cs="Calibri" w:eastAsia="Calibri" w:hAnsi="Calibri"/>
          <w:b w:val="false"/>
          <w:bCs w:val="false"/>
          <w:i w:val="false"/>
          <w:iCs w:val="false"/>
          <w:sz w:val="22"/>
          <w:szCs w:val="22"/>
        </w:rPr>
        <w:t xml:space="preserve">compras planificadas, usualmente los fines de semana en centros comerciales, con alta participación femenina en la decisión de compra.</w:t>
      </w:r>
    </w:p>
    <w:p>
      <w:pPr>
        <w:pStyle w:val="ListParagraph"/>
        <w:numPr>
          <w:ilvl w:val="0"/>
          <w:numId w:val="1"/>
        </w:numPr>
        <w:spacing w:after="100" w:line="300"/>
        <w:jc w:val="both"/>
      </w:pPr>
      <w:r>
        <w:rPr>
          <w:rFonts w:ascii="Calibri" w:cs="Calibri" w:eastAsia="Calibri" w:hAnsi="Calibri"/>
          <w:b/>
          <w:bCs/>
          <w:i w:val="false"/>
          <w:iCs w:val="false"/>
          <w:sz w:val="22"/>
          <w:szCs w:val="22"/>
        </w:rPr>
        <w:t xml:space="preserve">Comportamiento de compra: </w:t>
      </w:r>
      <w:r>
        <w:rPr>
          <w:rFonts w:ascii="Calibri" w:cs="Calibri" w:eastAsia="Calibri" w:hAnsi="Calibri"/>
          <w:b w:val="false"/>
          <w:bCs w:val="false"/>
          <w:i w:val="false"/>
          <w:iCs w:val="false"/>
          <w:sz w:val="22"/>
          <w:szCs w:val="22"/>
        </w:rPr>
        <w:t xml:space="preserve">gasto por compra más alto (laptop para el colegio o la universidad, smart TV, consola, electrodomésticos), requieren cuotas y financiamiento, valoran la garantía y el servicio postventa.</w:t>
      </w:r>
    </w:p>
    <w:p>
      <w:pPr>
        <w:pStyle w:val="ListParagraph"/>
        <w:numPr>
          <w:ilvl w:val="0"/>
          <w:numId w:val="1"/>
        </w:numPr>
        <w:spacing w:after="100" w:line="300"/>
        <w:jc w:val="both"/>
      </w:pPr>
      <w:r>
        <w:rPr>
          <w:rFonts w:ascii="Calibri" w:cs="Calibri" w:eastAsia="Calibri" w:hAnsi="Calibri"/>
          <w:b/>
          <w:bCs/>
          <w:i w:val="false"/>
          <w:iCs w:val="false"/>
          <w:sz w:val="22"/>
          <w:szCs w:val="22"/>
        </w:rPr>
        <w:t xml:space="preserve">Necesidad principal: </w:t>
      </w:r>
      <w:r>
        <w:rPr>
          <w:rFonts w:ascii="Calibri" w:cs="Calibri" w:eastAsia="Calibri" w:hAnsi="Calibri"/>
          <w:b w:val="false"/>
          <w:bCs w:val="false"/>
          <w:i w:val="false"/>
          <w:iCs w:val="false"/>
          <w:sz w:val="22"/>
          <w:szCs w:val="22"/>
        </w:rPr>
        <w:t xml:space="preserve">equipar al hogar con tecnología confiable a un precio razonable y con respaldo de marca.</w:t>
      </w:r>
    </w:p>
    <w:p>
      <w:pPr>
        <w:pStyle w:val="Heading3"/>
        <w:spacing w:after="140" w:before="220"/>
      </w:pPr>
      <w:r>
        <w:rPr>
          <w:rFonts w:ascii="Calibri" w:cs="Calibri" w:eastAsia="Calibri" w:hAnsi="Calibri"/>
          <w:b/>
          <w:bCs/>
          <w:color w:val="2E74B5"/>
          <w:sz w:val="24"/>
          <w:szCs w:val="24"/>
        </w:rPr>
        <w:t xml:space="preserve">Segmento 3: Gamer y entusiasta tecnológico (prioritario)</w:t>
      </w:r>
    </w:p>
    <w:p>
      <w:pPr>
        <w:pStyle w:val="ListParagraph"/>
        <w:numPr>
          <w:ilvl w:val="0"/>
          <w:numId w:val="1"/>
        </w:numPr>
        <w:spacing w:after="100" w:line="300"/>
        <w:jc w:val="both"/>
      </w:pPr>
      <w:r>
        <w:rPr>
          <w:rFonts w:ascii="Calibri" w:cs="Calibri" w:eastAsia="Calibri" w:hAnsi="Calibri"/>
          <w:b/>
          <w:bCs/>
          <w:i w:val="false"/>
          <w:iCs w:val="false"/>
          <w:sz w:val="22"/>
          <w:szCs w:val="22"/>
        </w:rPr>
        <w:t xml:space="preserve">Demografía: </w:t>
      </w:r>
      <w:r>
        <w:rPr>
          <w:rFonts w:ascii="Calibri" w:cs="Calibri" w:eastAsia="Calibri" w:hAnsi="Calibri"/>
          <w:b w:val="false"/>
          <w:bCs w:val="false"/>
          <w:i w:val="false"/>
          <w:iCs w:val="false"/>
          <w:sz w:val="22"/>
          <w:szCs w:val="22"/>
        </w:rPr>
        <w:t xml:space="preserve">hombres principalmente entre 16 y 30 años, nivel socioeconómico B y C+.</w:t>
      </w:r>
    </w:p>
    <w:p>
      <w:pPr>
        <w:pStyle w:val="ListParagraph"/>
        <w:numPr>
          <w:ilvl w:val="0"/>
          <w:numId w:val="1"/>
        </w:numPr>
        <w:spacing w:after="100" w:line="300"/>
        <w:jc w:val="both"/>
      </w:pPr>
      <w:r>
        <w:rPr>
          <w:rFonts w:ascii="Calibri" w:cs="Calibri" w:eastAsia="Calibri" w:hAnsi="Calibri"/>
          <w:b/>
          <w:bCs/>
          <w:i w:val="false"/>
          <w:iCs w:val="false"/>
          <w:sz w:val="22"/>
          <w:szCs w:val="22"/>
        </w:rPr>
        <w:t xml:space="preserve">Estilo de vida: </w:t>
      </w:r>
      <w:r>
        <w:rPr>
          <w:rFonts w:ascii="Calibri" w:cs="Calibri" w:eastAsia="Calibri" w:hAnsi="Calibri"/>
          <w:b w:val="false"/>
          <w:bCs w:val="false"/>
          <w:i w:val="false"/>
          <w:iCs w:val="false"/>
          <w:sz w:val="22"/>
          <w:szCs w:val="22"/>
        </w:rPr>
        <w:t xml:space="preserve">alto interés en videojuegos, streaming y esports; gran consumo de contenido en YouTube, Twitch, Discord y TikTok.</w:t>
      </w:r>
    </w:p>
    <w:p>
      <w:pPr>
        <w:pStyle w:val="ListParagraph"/>
        <w:numPr>
          <w:ilvl w:val="0"/>
          <w:numId w:val="1"/>
        </w:numPr>
        <w:spacing w:after="100" w:line="300"/>
        <w:jc w:val="both"/>
      </w:pPr>
      <w:r>
        <w:rPr>
          <w:rFonts w:ascii="Calibri" w:cs="Calibri" w:eastAsia="Calibri" w:hAnsi="Calibri"/>
          <w:b/>
          <w:bCs/>
          <w:i w:val="false"/>
          <w:iCs w:val="false"/>
          <w:sz w:val="22"/>
          <w:szCs w:val="22"/>
        </w:rPr>
        <w:t xml:space="preserve">Comportamiento de compra: </w:t>
      </w:r>
      <w:r>
        <w:rPr>
          <w:rFonts w:ascii="Calibri" w:cs="Calibri" w:eastAsia="Calibri" w:hAnsi="Calibri"/>
          <w:b w:val="false"/>
          <w:bCs w:val="false"/>
          <w:i w:val="false"/>
          <w:iCs w:val="false"/>
          <w:sz w:val="22"/>
          <w:szCs w:val="22"/>
        </w:rPr>
        <w:t xml:space="preserve">compra frecuente de accesorios (teclados, mouse, audífonos, sillas, monitores), alto ticket promedio cuando compran consolas o laptops gamer; muy sensibles a las novedades.</w:t>
      </w:r>
    </w:p>
    <w:p>
      <w:pPr>
        <w:pStyle w:val="ListParagraph"/>
        <w:numPr>
          <w:ilvl w:val="0"/>
          <w:numId w:val="1"/>
        </w:numPr>
        <w:spacing w:after="100" w:line="300"/>
        <w:jc w:val="both"/>
      </w:pPr>
      <w:r>
        <w:rPr>
          <w:rFonts w:ascii="Calibri" w:cs="Calibri" w:eastAsia="Calibri" w:hAnsi="Calibri"/>
          <w:b/>
          <w:bCs/>
          <w:i w:val="false"/>
          <w:iCs w:val="false"/>
          <w:sz w:val="22"/>
          <w:szCs w:val="22"/>
        </w:rPr>
        <w:t xml:space="preserve">Necesidad principal: </w:t>
      </w:r>
      <w:r>
        <w:rPr>
          <w:rFonts w:ascii="Calibri" w:cs="Calibri" w:eastAsia="Calibri" w:hAnsi="Calibri"/>
          <w:b w:val="false"/>
          <w:bCs w:val="false"/>
          <w:i w:val="false"/>
          <w:iCs w:val="false"/>
          <w:sz w:val="22"/>
          <w:szCs w:val="22"/>
        </w:rPr>
        <w:t xml:space="preserve">acceso a productos gamer y accesorios especializados, con asesoría técnica y disponibilidad inmediata.</w:t>
      </w:r>
    </w:p>
    <w:p>
      <w:pPr>
        <w:pStyle w:val="Heading2"/>
        <w:spacing w:after="160" w:before="280"/>
      </w:pPr>
      <w:r>
        <w:rPr>
          <w:rFonts w:ascii="Calibri" w:cs="Calibri" w:eastAsia="Calibri" w:hAnsi="Calibri"/>
          <w:b/>
          <w:bCs/>
          <w:color w:val="2E74B5"/>
          <w:sz w:val="26"/>
          <w:szCs w:val="26"/>
        </w:rPr>
        <w:t xml:space="preserve">2.6 Categorización de la clientela</w:t>
      </w:r>
    </w:p>
    <w:p>
      <w:pPr>
        <w:spacing w:after="200" w:line="320"/>
        <w:jc w:val="both"/>
      </w:pPr>
      <w:r>
        <w:rPr>
          <w:rFonts w:ascii="Calibri" w:cs="Calibri" w:eastAsia="Calibri" w:hAnsi="Calibri"/>
          <w:sz w:val="22"/>
          <w:szCs w:val="22"/>
        </w:rPr>
        <w:t xml:space="preserve">Para efectos operativos y de gestión comercial, se propone categorizar a la cartera de clientes de Coolbox en cuatro tipos, siguiendo el modelo de valor del cliente trabajado en la Sesión 2 (LTV):</w:t>
      </w:r>
    </w:p>
    <w:p>
      <w:pPr>
        <w:spacing w:after="12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220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Categoría</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Descripción</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Frecuencia estimada</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Estrategia</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Cliente premium</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Alto ticket, compra productos Apple o gama alta</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1-2 compras grandes al año</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Fidelización, atención personalizada, preventa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Cliente recurrente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Compra varias veces al año accesorios y gama media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4-6 compras al año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Programa de lealtad, descuentos, venta cruzada</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Cliente ocasional</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Compra puntual en campañas o fechas especiales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1-2 compras al año</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Reactivación por campañas, email, remarketing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Cliente nuevo o potencial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Primer contacto, aún sin compra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Sin historial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Captación, onboarding, primera oferta</w:t>
            </w:r>
          </w:p>
        </w:tc>
      </w:tr>
    </w:tbl>
    <w:p>
      <w:pPr>
        <w:spacing w:after="120"/>
      </w:pPr>
      <w:r>
        <w:t xml:space="preserve"/>
      </w:r>
    </w:p>
    <w:p>
      <w:pPr>
        <w:pStyle w:val="Heading2"/>
        <w:spacing w:after="160" w:before="280"/>
      </w:pPr>
      <w:r>
        <w:rPr>
          <w:rFonts w:ascii="Calibri" w:cs="Calibri" w:eastAsia="Calibri" w:hAnsi="Calibri"/>
          <w:b/>
          <w:bCs/>
          <w:color w:val="2E74B5"/>
          <w:sz w:val="26"/>
          <w:szCs w:val="26"/>
        </w:rPr>
        <w:t xml:space="preserve">2.7 Necesidades y comportamientos de compra</w:t>
      </w:r>
    </w:p>
    <w:p>
      <w:pPr>
        <w:spacing w:after="200" w:line="320"/>
        <w:jc w:val="both"/>
      </w:pPr>
      <w:r>
        <w:rPr>
          <w:rFonts w:ascii="Calibri" w:cs="Calibri" w:eastAsia="Calibri" w:hAnsi="Calibri"/>
          <w:sz w:val="22"/>
          <w:szCs w:val="22"/>
        </w:rPr>
        <w:t xml:space="preserve">El análisis del proceso de compra del cliente de tecnología en el Perú permite identificar necesidades transversales y comportamientos específicos por etapa. La necesidad central es acceder a productos originales con garantía a un precio razonable y con financiamiento. Sin embargo, el proceso de compra muestra cuatro etapas muy marcadas.</w:t>
      </w:r>
    </w:p>
    <w:p>
      <w:pPr>
        <w:spacing w:after="200" w:line="320"/>
        <w:jc w:val="both"/>
      </w:pPr>
      <w:r>
        <w:rPr>
          <w:rFonts w:ascii="Calibri" w:cs="Calibri" w:eastAsia="Calibri" w:hAnsi="Calibri"/>
          <w:sz w:val="22"/>
          <w:szCs w:val="22"/>
        </w:rPr>
        <w:t xml:space="preserve">En la etapa de descubrimiento, el cliente interactúa con redes sociales, influencers, publicidad en Google y recomendaciones de su entorno. En la etapa de consideración, visita el sitio web de Coolbox, compara con Hiraoka y PC Factory, revisa el catálogo de Falabella y Ripley, y cruza precios con Mercado Libre. En la etapa de compra, suele visitar la tienda física para ver el producto físicamente, aunque termine comprando en línea (efecto ROPO: research online, purchase offline) o viceversa. En la etapa de postventa, valora la entrega puntual, la activación correcta del producto, la claridad sobre la garantía y la capacidad de resolver problemas por WhatsApp o redes sociales.</w:t>
      </w:r>
    </w:p>
    <w:p>
      <w:pPr>
        <w:spacing w:after="200" w:line="320"/>
        <w:jc w:val="both"/>
      </w:pPr>
      <w:r>
        <w:rPr>
          <w:rFonts w:ascii="Calibri" w:cs="Calibri" w:eastAsia="Calibri" w:hAnsi="Calibri"/>
          <w:sz w:val="22"/>
          <w:szCs w:val="22"/>
        </w:rPr>
        <w:t xml:space="preserve">De este mapa se desprenden necesidades operativas concretas que el plan comercial debe atender: precios visibles y competitivos en todos los canales, financiamiento en cuotas sin intereses, disponibilidad de stock en tiempo real, delivery rápido y confiable, y un servicio postventa accesible. Cada punto de fricción en este recorrido es una venta perdida.</w:t>
      </w:r>
    </w:p>
    <w:p>
      <w:pPr>
        <w:pStyle w:val="Heading2"/>
        <w:spacing w:after="160" w:before="280"/>
      </w:pPr>
      <w:r>
        <w:rPr>
          <w:rFonts w:ascii="Calibri" w:cs="Calibri" w:eastAsia="Calibri" w:hAnsi="Calibri"/>
          <w:b/>
          <w:bCs/>
          <w:color w:val="2E74B5"/>
          <w:sz w:val="26"/>
          <w:szCs w:val="26"/>
        </w:rPr>
        <w:t xml:space="preserve">2.8 Justificación del segmento elegido</w:t>
      </w:r>
    </w:p>
    <w:p>
      <w:pPr>
        <w:spacing w:after="200" w:line="320"/>
        <w:jc w:val="both"/>
      </w:pPr>
      <w:r>
        <w:rPr>
          <w:rFonts w:ascii="Calibri" w:cs="Calibri" w:eastAsia="Calibri" w:hAnsi="Calibri"/>
          <w:sz w:val="22"/>
          <w:szCs w:val="22"/>
        </w:rPr>
        <w:t xml:space="preserve">Para el desarrollo del plan comercial se elige como segmento prioritario al joven profesional digital (segmento 1), complementado por el gamer y entusiasta tecnológico (segmento 3). La justificación descansa en cinco argumentos.</w:t>
      </w:r>
    </w:p>
    <w:p>
      <w:pPr>
        <w:spacing w:after="200" w:line="320"/>
        <w:jc w:val="both"/>
      </w:pPr>
      <w:r>
        <w:rPr>
          <w:rFonts w:ascii="Calibri" w:cs="Calibri" w:eastAsia="Calibri" w:hAnsi="Calibri"/>
          <w:b/>
          <w:bCs/>
          <w:i w:val="false"/>
          <w:iCs w:val="false"/>
          <w:sz w:val="22"/>
          <w:szCs w:val="22"/>
        </w:rPr>
        <w:t xml:space="preserve">Primero, rentabilidad y frecuencia: </w:t>
      </w:r>
      <w:r>
        <w:rPr>
          <w:rFonts w:ascii="Calibri" w:cs="Calibri" w:eastAsia="Calibri" w:hAnsi="Calibri"/>
          <w:b w:val="false"/>
          <w:bCs w:val="false"/>
          <w:i w:val="false"/>
          <w:iCs w:val="false"/>
          <w:sz w:val="22"/>
          <w:szCs w:val="22"/>
        </w:rPr>
        <w:t xml:space="preserve">el joven profesional digital tiene una alta frecuencia de recompra en categorías de alto margen relativo (accesorios, audio, wearables, accesorios gaming) que compensan el menor margen en smartphones y laptops. Segundo, crecimiento del mercado: es precisamente el segmento que concentra el 47% de los compradores digitales peruanos, según CAPECE (2025), y el que impulsa las ventas móviles. Tercero, alineación con la propuesta omnicanal de Coolbox: este segmento mezcla canal físico y digital de forma natural, aprovechando la red de más de 150 tiendas y el e-commerce. Cuarto, diferenciación frente a la competencia: Hiraoka está fuertemente posicionada en el segmento familiar y en línea blanca, mientras que Coolbox tiene mayor espacio para apropiarse del segmento joven tecnológico. Quinto, LTV elevado: un cliente joven profesional fidelizado puede representar compras por varios miles de soles a lo largo de 5 a 10 años, considerando smartphones, laptops, consolas, audio y accesorios.</w:t>
      </w:r>
    </w:p>
    <w:p>
      <w:pPr>
        <w:spacing w:after="200" w:line="320"/>
        <w:jc w:val="both"/>
      </w:pPr>
      <w:r>
        <w:rPr>
          <w:rFonts w:ascii="Calibri" w:cs="Calibri" w:eastAsia="Calibri" w:hAnsi="Calibri"/>
          <w:sz w:val="22"/>
          <w:szCs w:val="22"/>
        </w:rPr>
        <w:t xml:space="preserve">El segmento familiar se atenderá como segmento secundario mediante campañas estacionales (Back to School, Navidad, Día de la Madre), sin que sea el foco de la propuesta de valor central.</w:t>
      </w:r>
    </w:p>
    <w:p>
      <w:r>
        <w:br w:type="page"/>
      </w:r>
    </w:p>
    <w:p>
      <w:pPr>
        <w:pStyle w:val="Heading1"/>
        <w:spacing w:after="200" w:before="360"/>
      </w:pPr>
      <w:r>
        <w:rPr>
          <w:rFonts w:ascii="Calibri" w:cs="Calibri" w:eastAsia="Calibri" w:hAnsi="Calibri"/>
          <w:b/>
          <w:bCs/>
          <w:color w:val="1F3864"/>
          <w:sz w:val="32"/>
          <w:szCs w:val="32"/>
        </w:rPr>
        <w:t xml:space="preserve">3. ESTRATEGIA COMERCIAL</w:t>
      </w:r>
    </w:p>
    <w:p>
      <w:pPr>
        <w:spacing w:after="200" w:line="320"/>
        <w:jc w:val="both"/>
      </w:pPr>
      <w:r>
        <w:rPr>
          <w:rFonts w:ascii="Calibri" w:cs="Calibri" w:eastAsia="Calibri" w:hAnsi="Calibri"/>
          <w:sz w:val="22"/>
          <w:szCs w:val="22"/>
        </w:rPr>
        <w:t xml:space="preserve">Una vez definidos el entorno, el mercado objetivo, la competencia y los segmentos prioritarios, corresponde diseñar la estrategia comercial que permitirá a Coolbox responder de forma estructurada a las dos preguntas centrales de esta etapa del plan: cómo va a competir y cómo va a generar ventas sostenibles. Siguiendo el marco de Porter (1980), una empresa enfrenta básicamente tres opciones estratégicas genéricas —liderazgo en costos, diferenciación y enfoque—, y debe elegir una de ellas con disciplina para evitar quedar atrapada en el medio (Porter, 1985). En las páginas que siguen se argumenta que la estrategia correcta para Coolbox es una de diferenciación enfocada en el retail tecnológico omnicanal, sustentada en sus tres palancas reales: capilaridad nacional, especialización monocategoría y marcas propias con margen superior.</w:t>
      </w:r>
    </w:p>
    <w:p>
      <w:pPr>
        <w:pStyle w:val="Heading2"/>
        <w:spacing w:after="160" w:before="280"/>
      </w:pPr>
      <w:r>
        <w:rPr>
          <w:rFonts w:ascii="Calibri" w:cs="Calibri" w:eastAsia="Calibri" w:hAnsi="Calibri"/>
          <w:b/>
          <w:bCs/>
          <w:color w:val="2E74B5"/>
          <w:sz w:val="26"/>
          <w:szCs w:val="26"/>
        </w:rPr>
        <w:t xml:space="preserve">3.1 Estrategia de comercialización</w:t>
      </w:r>
    </w:p>
    <w:p>
      <w:pPr>
        <w:pStyle w:val="Heading3"/>
        <w:spacing w:after="140" w:before="220"/>
      </w:pPr>
      <w:r>
        <w:rPr>
          <w:rFonts w:ascii="Calibri" w:cs="Calibri" w:eastAsia="Calibri" w:hAnsi="Calibri"/>
          <w:b/>
          <w:bCs/>
          <w:color w:val="2E74B5"/>
          <w:sz w:val="24"/>
          <w:szCs w:val="24"/>
        </w:rPr>
        <w:t xml:space="preserve">3.1.1 Definición de la estrategia genérica</w:t>
      </w:r>
    </w:p>
    <w:p>
      <w:pPr>
        <w:spacing w:after="200" w:line="320"/>
        <w:jc w:val="both"/>
      </w:pPr>
      <w:r>
        <w:rPr>
          <w:rFonts w:ascii="Calibri" w:cs="Calibri" w:eastAsia="Calibri" w:hAnsi="Calibri"/>
          <w:sz w:val="22"/>
          <w:szCs w:val="22"/>
        </w:rPr>
        <w:t xml:space="preserve">Frente a la propuesta de Porter (1980), Coolbox debe descartar tanto el liderazgo en costos puros como la diferenciación amplia. Por un lado, competir centavo por centavo contra Mercado Libre, Temu y AliExpress sería destruir margen sin construir defensas sostenibles, dado que estos jugadores operan con estructuras de costos radicalmente distintas a un retailer de tiendas físicas. Por otro lado, intentar una diferenciación amplia (todo para todos) sería entrar al terreno donde Falabella y Ripley ya tienen ventajas estructurales: tráfico masivo de tiendas ancla, brazo financiero propio (CMR Puntos y Tarjeta Ripley) y campañas estacionales agresivas.</w:t>
      </w:r>
    </w:p>
    <w:p>
      <w:pPr>
        <w:spacing w:after="200" w:line="320"/>
        <w:jc w:val="both"/>
      </w:pPr>
      <w:r>
        <w:rPr>
          <w:rFonts w:ascii="Calibri" w:cs="Calibri" w:eastAsia="Calibri" w:hAnsi="Calibri"/>
          <w:sz w:val="22"/>
          <w:szCs w:val="22"/>
        </w:rPr>
        <w:t xml:space="preserve">La alternativa coherente es una estrategia de diferenciación enfocada, en la que Coolbox concentra todos sus recursos en convertirse en el especialista de tecnología más cercano y omnicanal del Perú. Esta elección no es arbitraria: se sustenta en tres ventajas competitivas que la empresa ya posee y que sus competidores difícilmente pueden replicar en el corto plazo. La primera es la capilaridad nacional: 140 tiendas a cierre de 2025, con proyección de 173 al cierre de 2026 y meta de 200 al 2027 (Bazán, citado en El Comercio, 2025), presencia en aproximadamente 30 ciudades, frente a las cuatro tiendas físicas de Hiraoka concentradas en Lima (con la quinta en proceso en San Juan de Lurigancho según Gestión, 2025a) y las 16 a 17 tiendas de PC Factory. La segunda es la especialización monocategoría: a diferencia de Falabella y Ripley, donde tecnología es una sección dentro de un portafolio mucho más amplio, Coolbox vive de tech; su catálogo profundo, con 2,000 SKU en tienda y más de 10,000 en su sitio web (El Comercio, 2025), no tiene competencia en el especialista nacional. La tercera es el portafolio de marcas propias —Teraware, Teraware 4 Gaming, Radioshack, Roadtrip, Westminster, GMobile, SEC e Izuum—, que permite capturar márgenes estructuralmente superiores en categorías sensibles al precio.</w:t>
      </w:r>
    </w:p>
    <w:p>
      <w:pPr>
        <w:spacing w:after="200" w:line="320"/>
        <w:jc w:val="both"/>
      </w:pPr>
      <w:r>
        <w:rPr>
          <w:rFonts w:ascii="Calibri" w:cs="Calibri" w:eastAsia="Calibri" w:hAnsi="Calibri"/>
          <w:sz w:val="22"/>
          <w:szCs w:val="22"/>
        </w:rPr>
        <w:t xml:space="preserve">El statement de posicionamiento que se propone para Coolbox es el siguiente: "Coolbox es la tienda especialista de tecnología más cercana al peruano, donde se encuentra curaduría, garantía y todas las marcas, al alcance en el centro comercial o en 18 minutos desde el celular". Este statement integra tres mensajes clave: especialización, cercanía y omnicanalidad, todos respaldados por evidencia operativa real.</w:t>
      </w:r>
    </w:p>
    <w:p>
      <w:pPr>
        <w:pStyle w:val="Heading3"/>
        <w:spacing w:after="140" w:before="220"/>
      </w:pPr>
      <w:r>
        <w:rPr>
          <w:rFonts w:ascii="Calibri" w:cs="Calibri" w:eastAsia="Calibri" w:hAnsi="Calibri"/>
          <w:b/>
          <w:bCs/>
          <w:color w:val="2E74B5"/>
          <w:sz w:val="24"/>
          <w:szCs w:val="24"/>
        </w:rPr>
        <w:t xml:space="preserve">3.1.2 Posicionamiento competitivo</w:t>
      </w:r>
    </w:p>
    <w:p>
      <w:pPr>
        <w:spacing w:after="200" w:line="320"/>
        <w:jc w:val="both"/>
      </w:pPr>
      <w:r>
        <w:rPr>
          <w:rFonts w:ascii="Calibri" w:cs="Calibri" w:eastAsia="Calibri" w:hAnsi="Calibri"/>
          <w:sz w:val="22"/>
          <w:szCs w:val="22"/>
        </w:rPr>
        <w:t xml:space="preserve">Para precisar el posicionamiento estratégico de Coolbox frente a sus cuatro competidores directos, se construye la siguiente matriz de comparación, que sintetiza los factores donde cada jugador es fuerte y débil:</w:t>
      </w:r>
    </w:p>
    <w:p>
      <w:pPr>
        <w:spacing w:after="12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900"/>
        <w:gridCol w:w="1900"/>
        <w:gridCol w:w="150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Dimensión</w:t>
            </w:r>
          </w:p>
        </w:tc>
        <w:tc>
          <w:tcPr>
            <w:tcW w:type="dxa" w:w="19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Coolbox</w:t>
            </w:r>
          </w:p>
        </w:tc>
        <w:tc>
          <w:tcPr>
            <w:tcW w:type="dxa" w:w="19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Hiraoka</w:t>
            </w:r>
          </w:p>
        </w:tc>
        <w:tc>
          <w:tcPr>
            <w:tcW w:type="dxa" w:w="19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PC Factory</w:t>
            </w:r>
          </w:p>
        </w:tc>
        <w:tc>
          <w:tcPr>
            <w:tcW w:type="dxa" w:w="19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Falabella / Ripley</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Mercado Libre</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Foco</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Tech y electrónica de consumo</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Tech y línea blanca</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Cómputo, gaming, armado PC</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Tienda por departamento</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Marketplace infinito</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Capilaridad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150+ tiendas en 30 ciudades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 tiendas Lima (5ta en proceso)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16-17 tiendas en malls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25-30 tiendas departamentales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100% digital</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Ventaja core</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Cercanía + omnicanal + especialista</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Tradición + servicio + Miray</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Asesoría experta + stock vivo</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Tráfico + crédito propio (18 cuotas)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Precio + reseñas + catálogo</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Debilidad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Sin financiera propia</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Pocas tiendas, débil online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Sin cobertura nacional</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Tech es categoría secundaria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Logística y postventa irregulares</w:t>
            </w:r>
          </w:p>
        </w:tc>
      </w:tr>
    </w:tbl>
    <w:p>
      <w:pPr>
        <w:spacing w:after="120"/>
      </w:pPr>
      <w:r>
        <w:t xml:space="preserve"/>
      </w:r>
    </w:p>
    <w:p>
      <w:pPr>
        <w:pStyle w:val="Heading3"/>
        <w:spacing w:after="140" w:before="220"/>
      </w:pPr>
      <w:r>
        <w:rPr>
          <w:rFonts w:ascii="Calibri" w:cs="Calibri" w:eastAsia="Calibri" w:hAnsi="Calibri"/>
          <w:b/>
          <w:bCs/>
          <w:color w:val="2E74B5"/>
          <w:sz w:val="24"/>
          <w:szCs w:val="24"/>
        </w:rPr>
        <w:t xml:space="preserve">3.1.3 Propuesta de valor por segmento</w:t>
      </w:r>
    </w:p>
    <w:p>
      <w:pPr>
        <w:spacing w:after="200" w:line="320"/>
        <w:jc w:val="both"/>
      </w:pPr>
      <w:r>
        <w:rPr>
          <w:rFonts w:ascii="Calibri" w:cs="Calibri" w:eastAsia="Calibri" w:hAnsi="Calibri"/>
          <w:sz w:val="22"/>
          <w:szCs w:val="22"/>
        </w:rPr>
        <w:t xml:space="preserve">La estrategia genérica de diferenciación enfocada se traduce en propuestas de valor específicas por segmento, dado que cada uno valora distintos atributos del retailer. Para el joven profesional digital, el insight crítico es que compra desde el celular, valora reseñas y reviews, es sensible a la relación precio-valor y busca cuotas sin intereses sin necesariamente abrir una tarjeta de crédito adicional. La propuesta de valor que se le ofrece se articula así: "Renueva tu tecnología sin atarte: cuotas sin intereses con las tarjetas que ya tienes (Diners, Interbank, BCP), recojo en tienda en 18 minutos, devolución sin trabas y garantía local". Para este segmento, los canales principales son la app de Coolbox, el sitio coolbox.pe y WhatsApp Business; la tienda física opera principalmente como punto de Click &amp; Collect.</w:t>
      </w:r>
    </w:p>
    <w:p>
      <w:pPr>
        <w:spacing w:after="200" w:line="320"/>
        <w:jc w:val="both"/>
      </w:pPr>
      <w:r>
        <w:rPr>
          <w:rFonts w:ascii="Calibri" w:cs="Calibri" w:eastAsia="Calibri" w:hAnsi="Calibri"/>
          <w:sz w:val="22"/>
          <w:szCs w:val="22"/>
        </w:rPr>
        <w:t xml:space="preserve">Para la familia urbana de clase media, el comportamiento es distinto: compra por campaña (Día de la Madre, Día del Padre, Navidad), busca consejo presencial, valora la garantía y el respaldo de marca, y prefiere la tienda física especialmente para categorías de mayor ticket como smart TV o laptops. La propuesta para este segmento se enuncia como: "Tecnología para toda la familia: paga en cuotas, retira en tu Real Plaza más cercano y lleva el respaldo de garantía Coolbox". Para este segmento, los canales prioritarios son Facebook, YouTube, televisión abierta en picos de campaña y la tienda física como punto de cierre.</w:t>
      </w:r>
    </w:p>
    <w:p>
      <w:pPr>
        <w:spacing w:after="200" w:line="320"/>
        <w:jc w:val="both"/>
      </w:pPr>
      <w:r>
        <w:rPr>
          <w:rFonts w:ascii="Calibri" w:cs="Calibri" w:eastAsia="Calibri" w:hAnsi="Calibri"/>
          <w:sz w:val="22"/>
          <w:szCs w:val="22"/>
        </w:rPr>
        <w:t xml:space="preserve">Para el gamer y entusiasta tecnológico, el insight es que conoce especificaciones técnicas, sigue a tech reviewers y streamers, valora la novedad y la pertenencia a comunidad, y es altamente sensible a lanzamientos. La propuesta es: "Coolbox Gaming: lanzamientos, periféricos Teraware 4 Gaming, fechas exclusivas de pre-venta, eventos en tienda y patrocinio del ecosistema gamer peruano". Los canales prioritarios para este segmento son TikTok, Twitch, YouTube y Discord, complementados con la zona Coolbox Gaming en tiendas flagship.</w:t>
      </w:r>
    </w:p>
    <w:p>
      <w:pPr>
        <w:pStyle w:val="Heading3"/>
        <w:spacing w:after="140" w:before="220"/>
      </w:pPr>
      <w:r>
        <w:rPr>
          <w:rFonts w:ascii="Calibri" w:cs="Calibri" w:eastAsia="Calibri" w:hAnsi="Calibri"/>
          <w:b/>
          <w:bCs/>
          <w:color w:val="2E74B5"/>
          <w:sz w:val="24"/>
          <w:szCs w:val="24"/>
        </w:rPr>
        <w:t xml:space="preserve">3.1.4 Modelo de comercialización por categoría</w:t>
      </w:r>
    </w:p>
    <w:p>
      <w:pPr>
        <w:spacing w:after="200" w:line="320"/>
        <w:jc w:val="both"/>
      </w:pPr>
      <w:r>
        <w:rPr>
          <w:rFonts w:ascii="Calibri" w:cs="Calibri" w:eastAsia="Calibri" w:hAnsi="Calibri"/>
          <w:sz w:val="22"/>
          <w:szCs w:val="22"/>
        </w:rPr>
        <w:t xml:space="preserve">El portafolio de Coolbox no es homogéneo: cada categoría tiene su propio comportamiento de demanda, su ciclo de vida y su canal dominante de cierre. Por ello, la estrategia de comercialización debe diferenciarse por categoría, como se resume en la siguiente tabla:</w:t>
      </w:r>
    </w:p>
    <w:p>
      <w:pPr>
        <w:spacing w:after="12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Categoría</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Modelo recomendado</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Canal de venta dominante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Palanca de margen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Smartphones gama media</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Volumen y tickets medios (S/900-1,800)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Web y tienda física</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Rebates y marketing cooperativo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Smartphones premium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Pre-venta y financiamiento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Tienda física y marketplace propio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Trade-in y bundles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Accesorios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Alta rotación y venta cruzada</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Tienda física y marketplace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Marcas propias Teraware, GMobile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Cómputo (laptops)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Asesoría, bundle y cuotas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Web (research) y tienda (cierre)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Bundle con accesorios Teraware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Audio</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Demo en tienda y reviews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Tienda y e-commerce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Marca propia Teraware 4 Gaming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Smart TV</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Compra estacional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Tienda física y Click &amp; Collect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Marcas chinas (TCL, Hisense)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Videojuegos y gaming</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Pre-venta de lanzamientos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Tienda, web y Discord</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Periféricos T4G y consolas</w:t>
            </w:r>
          </w:p>
        </w:tc>
      </w:tr>
    </w:tbl>
    <w:p>
      <w:pPr>
        <w:spacing w:after="120"/>
      </w:pPr>
      <w:r>
        <w:t xml:space="preserve"/>
      </w:r>
    </w:p>
    <w:p>
      <w:pPr>
        <w:pStyle w:val="Heading3"/>
        <w:spacing w:after="140" w:before="220"/>
      </w:pPr>
      <w:r>
        <w:rPr>
          <w:rFonts w:ascii="Calibri" w:cs="Calibri" w:eastAsia="Calibri" w:hAnsi="Calibri"/>
          <w:b/>
          <w:bCs/>
          <w:color w:val="2E74B5"/>
          <w:sz w:val="24"/>
          <w:szCs w:val="24"/>
        </w:rPr>
        <w:t xml:space="preserve">3.1.5 Tácticas para apropiarse de los segmentos prioritarios</w:t>
      </w:r>
    </w:p>
    <w:p>
      <w:pPr>
        <w:spacing w:after="200" w:line="320"/>
        <w:jc w:val="both"/>
      </w:pPr>
      <w:r>
        <w:rPr>
          <w:rFonts w:ascii="Calibri" w:cs="Calibri" w:eastAsia="Calibri" w:hAnsi="Calibri"/>
          <w:sz w:val="22"/>
          <w:szCs w:val="22"/>
        </w:rPr>
        <w:t xml:space="preserve">La estrategia genérica y el posicionamiento se concretan en tácticas específicas. Para apropiarse del segmento joven profesional digital se propone, en primer lugar, lanzar el programa de fidelización "Coolbox Tech Club", con cashback acumulable de entre 1% y 3% transferible directamente a Yape o Plin, niveles por nivel de gasto (Tech, Tech+, Tech Pro), pre-ventas exclusivas para lanzamientos de Galaxy, iPhone y PlayStation, y un descuento de cumpleaños del 15%; este programa emula la lógica de CMR Puntos pero sin requerir tarjeta de crédito propia. En segundo lugar, activar a tres tech reviewers ancla del mercado peruano: Phillip Chu Joy, con 287 mil suscriptores en YouTube, 2.7 millones de seguidores en Facebook, más de un millón en Instagram y 1.4 millones en TikTok, identificado por la guía sectorial WIN Internet (2024) como el principal referente tecnológico del país; Arturo Goga, con 189 mil suscriptores en YouTube y más de veinte años de trayectoria en su blog arturogoga.com; y Cali Loli, conocida como "Tekibocas", con 72 mil suscriptores en YouTube y 176 mil seguidores en TikTok, con audiencia femenina interesada en tecnología (Revista Gana Más, 2024).</w:t>
      </w:r>
    </w:p>
    <w:p>
      <w:pPr>
        <w:spacing w:after="200" w:line="320"/>
        <w:jc w:val="both"/>
      </w:pPr>
      <w:r>
        <w:rPr>
          <w:rFonts w:ascii="Calibri" w:cs="Calibri" w:eastAsia="Calibri" w:hAnsi="Calibri"/>
          <w:sz w:val="22"/>
          <w:szCs w:val="22"/>
        </w:rPr>
        <w:t xml:space="preserve">Para apropiarse del segmento gamer y entusiasta tecnológico se propone, en primer lugar, el patrocinio del circuito local de esports en disciplinas como Dota 2, League of Legends (Claro Guardians League), FIFA y Free Fire. Como señala Mariano Tapia, presidente de la Asociación Peruana de Deportes Electrónicos y Videojuegos (APDEV), en entrevista con Gestión (2024): "En eSport casi el 80% se sostiene en patrocinio. Mirando hacia las marcas, estas tienen que entender qué impacto quieren generar en este ecosistema. El impacto es totalmente proporcional a la inversión que uno realiza". En segundo lugar, eventos propios denominados "Coolbox Gaming Night" en tiendas seleccionadas. En tercer lugar, co-marketing con marcas como HyperX, Logitech G, Razer, Sony PlayStation y Microsoft Xbox. Finalmente, la presencia activa en Twitch y YouTube Gaming con un canal propio y patrocinio a streamers peruanos como Golemcito Games, con aproximadamente 12 millones de suscriptores en YouTube y un engagement rate del 5.99% calificado como "Very Good" por HypeAuditor (2026), Luay (5.6 millones de suscriptores) y ElioDt (3.48 millones).</w:t>
      </w:r>
    </w:p>
    <w:p>
      <w:pPr>
        <w:pStyle w:val="Heading2"/>
        <w:spacing w:after="160" w:before="280"/>
      </w:pPr>
      <w:r>
        <w:rPr>
          <w:rFonts w:ascii="Calibri" w:cs="Calibri" w:eastAsia="Calibri" w:hAnsi="Calibri"/>
          <w:b/>
          <w:bCs/>
          <w:color w:val="2E74B5"/>
          <w:sz w:val="26"/>
          <w:szCs w:val="26"/>
        </w:rPr>
        <w:t xml:space="preserve">3.2 Canales de venta propuestos</w:t>
      </w:r>
    </w:p>
    <w:p>
      <w:pPr>
        <w:spacing w:after="200" w:line="320"/>
        <w:jc w:val="both"/>
      </w:pPr>
      <w:r>
        <w:rPr>
          <w:rFonts w:ascii="Calibri" w:cs="Calibri" w:eastAsia="Calibri" w:hAnsi="Calibri"/>
          <w:sz w:val="22"/>
          <w:szCs w:val="22"/>
        </w:rPr>
        <w:t xml:space="preserve">La estrategia comercial de Coolbox se sostiene sobre una red omnicanal que integra cinco grandes tipos de canales: tiendas físicas, e-commerce propio, marketplaces, social commerce y servicios de pickup y delivery. La declaración del propio CEO, Marcelo Bazán, recogida por El Comercio (2025), confirma que el canal digital representa aproximadamente el 25% de las ventas totales de Coolbox y que el 80% de los pedidos online se recogen en tienda física en 18 minutos, una promesa de servicio que constituye la principal ventaja competitiva omnicanal del retailer.</w:t>
      </w:r>
    </w:p>
    <w:p>
      <w:pPr>
        <w:pStyle w:val="Heading3"/>
        <w:spacing w:after="140" w:before="220"/>
      </w:pPr>
      <w:r>
        <w:rPr>
          <w:rFonts w:ascii="Calibri" w:cs="Calibri" w:eastAsia="Calibri" w:hAnsi="Calibri"/>
          <w:b/>
          <w:bCs/>
          <w:color w:val="2E74B5"/>
          <w:sz w:val="24"/>
          <w:szCs w:val="24"/>
        </w:rPr>
        <w:t xml:space="preserve">3.2.1 Tiendas físicas en tres formatos</w:t>
      </w:r>
    </w:p>
    <w:p>
      <w:pPr>
        <w:spacing w:after="200" w:line="320"/>
        <w:jc w:val="both"/>
      </w:pPr>
      <w:r>
        <w:rPr>
          <w:rFonts w:ascii="Calibri" w:cs="Calibri" w:eastAsia="Calibri" w:hAnsi="Calibri"/>
          <w:sz w:val="22"/>
          <w:szCs w:val="22"/>
        </w:rPr>
        <w:t xml:space="preserve">Las más de 150 tiendas de Coolbox no son homogéneas. Se propone organizarlas formalmente en tres formatos, cada uno con un rol estratégico distinto dentro de la red. El primer formato es el flagship "Coolbox Tech Hub" (8-12 tiendas), de 200 a 300 metros cuadrados, ubicado en centros comerciales premium como Jockey Plaza, Real Plaza Salaverry, Mall del Sur y Real Plaza Centro Cívico; cumple el rol de showroom completo con Coolbox Gaming Zone y demo de productos premium. El segundo formato es el convenience mall (80-100 tiendas) de 60 a 120 metros cuadrados, en Real Plaza regional, Mallplaza y Open Plaza, enfocado en Click &amp; Collect, accesorios de alta rotación y fast-checkout. El tercer formato es puerta a calle o supermercado (40-60 tiendas) de 40 a 80 metros cuadrados, ubicado dentro de Plaza Vea, Tottus, Vivanda y en avenidas residenciales, con foco en tráfico recurrente y recojo de pedidos online. Esta segmentación permite asignar de manera más eficiente la inversión en exhibición, inventario y dotación de personal.</w:t>
      </w:r>
    </w:p>
    <w:p>
      <w:pPr>
        <w:pStyle w:val="Heading3"/>
        <w:spacing w:after="140" w:before="220"/>
      </w:pPr>
      <w:r>
        <w:rPr>
          <w:rFonts w:ascii="Calibri" w:cs="Calibri" w:eastAsia="Calibri" w:hAnsi="Calibri"/>
          <w:b/>
          <w:bCs/>
          <w:color w:val="2E74B5"/>
          <w:sz w:val="24"/>
          <w:szCs w:val="24"/>
        </w:rPr>
        <w:t xml:space="preserve">3.2.2 E-commerce propio (coolbox.pe)</w:t>
      </w:r>
    </w:p>
    <w:p>
      <w:pPr>
        <w:spacing w:after="200" w:line="320"/>
        <w:jc w:val="both"/>
      </w:pPr>
      <w:r>
        <w:rPr>
          <w:rFonts w:ascii="Calibri" w:cs="Calibri" w:eastAsia="Calibri" w:hAnsi="Calibri"/>
          <w:sz w:val="22"/>
          <w:szCs w:val="22"/>
        </w:rPr>
        <w:t xml:space="preserve">El sitio coolbox.pe, construido sobre la plataforma VTEX según declaración de la propia empresa (Clubfranquicia, 2024), constituye la pieza central de la operación digital y representa aproximadamente el 15% de la venta total, dentro del 25% del canal digital agregado. Las mejores prácticas que deben mantenerse y reforzarse incluyen: búsqueda con autocompletar por marca y modelo, visibilidad del stock en vivo por tienda, comparador de productos para smartphones y laptops, reseñas verificadas con incentivo de S/10 de Coolbox Wallet por reseña, login social, compra con Yape y Plin en un clic, y promesa de envío clara y desglosada por zona en la página de producto.</w:t>
      </w:r>
    </w:p>
    <w:p>
      <w:pPr>
        <w:pStyle w:val="Heading3"/>
        <w:spacing w:after="140" w:before="220"/>
      </w:pPr>
      <w:r>
        <w:rPr>
          <w:rFonts w:ascii="Calibri" w:cs="Calibri" w:eastAsia="Calibri" w:hAnsi="Calibri"/>
          <w:b/>
          <w:bCs/>
          <w:color w:val="2E74B5"/>
          <w:sz w:val="24"/>
          <w:szCs w:val="24"/>
        </w:rPr>
        <w:t xml:space="preserve">3.2.3 Marketplaces</w:t>
      </w:r>
    </w:p>
    <w:p>
      <w:pPr>
        <w:spacing w:after="200" w:line="320"/>
        <w:jc w:val="both"/>
      </w:pPr>
      <w:r>
        <w:rPr>
          <w:rFonts w:ascii="Calibri" w:cs="Calibri" w:eastAsia="Calibri" w:hAnsi="Calibri"/>
          <w:sz w:val="22"/>
          <w:szCs w:val="22"/>
        </w:rPr>
        <w:t xml:space="preserve">La estrategia de marketplaces se ha consolidado: Coolbox ya opera como tienda oficial en seis plataformas (Mercado Libre, Falabella, Ripley, Juntoz, Linio y Lumingo), tal como lo confirma Clubfranquicia (2024). Sobre la economía del canal, Mercado Libre Perú establece un precio mínimo de S/2 para cualquier publicación y aplica un porcentaje sobre el precio de venta que depende del tipo de publicación y la categoría del producto (Mercado Libre Perú, 2025). De acuerdo con Votu (2026) y validado con el Simulador de Costos oficial, las comisiones se mueven entre el 8% y el 16% según la categoría. Esta estructura tiene una implicancia estratégica clara: Mercado Libre debe usarse como canal de adquisición de clientes nuevos y como canal de liquidación de inventario, no como canal principal de margen.</w:t>
      </w:r>
    </w:p>
    <w:p>
      <w:pPr>
        <w:pStyle w:val="Heading3"/>
        <w:spacing w:after="140" w:before="220"/>
      </w:pPr>
      <w:r>
        <w:rPr>
          <w:rFonts w:ascii="Calibri" w:cs="Calibri" w:eastAsia="Calibri" w:hAnsi="Calibri"/>
          <w:b/>
          <w:bCs/>
          <w:color w:val="2E74B5"/>
          <w:sz w:val="24"/>
          <w:szCs w:val="24"/>
        </w:rPr>
        <w:t xml:space="preserve">3.2.4 Social commerce y última milla</w:t>
      </w:r>
    </w:p>
    <w:p>
      <w:pPr>
        <w:spacing w:after="200" w:line="320"/>
        <w:jc w:val="both"/>
      </w:pPr>
      <w:r>
        <w:rPr>
          <w:rFonts w:ascii="Calibri" w:cs="Calibri" w:eastAsia="Calibri" w:hAnsi="Calibri"/>
          <w:sz w:val="22"/>
          <w:szCs w:val="22"/>
        </w:rPr>
        <w:t xml:space="preserve">El social commerce dejó de ser una opción accesoria para convertirse en un canal de cierre de venta. Coolbox ya opera WhatsApp Business con catálogo activo; se propone reforzarlo con un asistente de IA. Respecto a TikTok Shop, la funcionalidad nativa de venta dentro de TikTok aún no se encuentra disponible en Perú a febrero de 2026; por tanto, la estrategia es de preparación: construir comunidad y contenido orgánico ahora, listos para activar TikTok Shop nativo apenas se habilite en el mercado peruano. El Click &amp; Collect en 18 minutos es el principal activo diferenciador y debe mantenerse como promesa de marca incluso al expandir la red. Para el delivery, se propone una estrategia multicourier que combine Olva (cobertura nacional), Shalom (sierra y selva), Urbano (Lima y provincia), Scharff (premium en Lima Moderna), Rappi y PedidosYa (same-day) y Chazki, Moova o 99 minutos (express en Lima).</w:t>
      </w:r>
    </w:p>
    <w:p>
      <w:pPr>
        <w:pStyle w:val="Heading3"/>
        <w:spacing w:after="140" w:before="220"/>
      </w:pPr>
      <w:r>
        <w:rPr>
          <w:rFonts w:ascii="Calibri" w:cs="Calibri" w:eastAsia="Calibri" w:hAnsi="Calibri"/>
          <w:b/>
          <w:bCs/>
          <w:color w:val="2E74B5"/>
          <w:sz w:val="24"/>
          <w:szCs w:val="24"/>
        </w:rPr>
        <w:t xml:space="preserve">3.2.5 Integración con billeteras digitales</w:t>
      </w:r>
    </w:p>
    <w:p>
      <w:pPr>
        <w:spacing w:after="200" w:line="320"/>
        <w:jc w:val="both"/>
      </w:pPr>
      <w:r>
        <w:rPr>
          <w:rFonts w:ascii="Calibri" w:cs="Calibri" w:eastAsia="Calibri" w:hAnsi="Calibri"/>
          <w:sz w:val="22"/>
          <w:szCs w:val="22"/>
        </w:rPr>
        <w:t xml:space="preserve">Aceptar Yape y Plin no es ya un diferenciador, sino una condición mínima de no fricción. Yape alcanzó 16.4 millones de usuarios activos mensuales al cierre del primer trimestre de 2026 según los resultados presentados por Credicorp y recogidos por Infomercado (2026a). El incremento de los límites por transacción a S/3,300 y el límite mensual acumulado a S/15,400, aprobado por la SBS en marzo de 2026 (Infomercado, 2026b), habilita la compra de smartphones de gama media y laptops directamente desde billetera digital. La recomendación operativa para Coolbox es triple: mostrar Yape y Plin como medios de pago visibles en el checkout del e-commerce, aceptar ambos en los puntos de venta de las 150 tiendas físicas, y diseñar el cashback del Coolbox Tech Club de forma que se transfiera automáticamente a la billetera digital del cliente.</w:t>
      </w:r>
    </w:p>
    <w:p>
      <w:pPr>
        <w:pStyle w:val="Heading2"/>
        <w:spacing w:after="160" w:before="280"/>
      </w:pPr>
      <w:r>
        <w:rPr>
          <w:rFonts w:ascii="Calibri" w:cs="Calibri" w:eastAsia="Calibri" w:hAnsi="Calibri"/>
          <w:b/>
          <w:bCs/>
          <w:color w:val="2E74B5"/>
          <w:sz w:val="26"/>
          <w:szCs w:val="26"/>
        </w:rPr>
        <w:t xml:space="preserve">3.3 Estrategia de precios</w:t>
      </w:r>
    </w:p>
    <w:p>
      <w:pPr>
        <w:spacing w:after="200" w:line="320"/>
        <w:jc w:val="both"/>
      </w:pPr>
      <w:r>
        <w:rPr>
          <w:rFonts w:ascii="Calibri" w:cs="Calibri" w:eastAsia="Calibri" w:hAnsi="Calibri"/>
          <w:sz w:val="22"/>
          <w:szCs w:val="22"/>
        </w:rPr>
        <w:t xml:space="preserve">La estrategia de precios para Coolbox debe equilibrar tres tensiones: defender margen frente a la presión a la baja de los marketplaces, mantener competitividad frente a Hiraoka y PC Factory, y compensar la desventaja relativa de no contar con un brazo financiero propio frente a Falabella y Ripley. La política propuesta se articula en cinco principios: paridad con los especialistas formales y ligera prima frente al canal informal; uso de precios psicológicos (terminados en .99, anclaje de gama alta y bundle pricing); política de descuentos estructurada alrededor del calendario comercial peruano (Cyber Wow, Black Friday, Día de la Madre, Día del Padre, Navidad); cuotas sin intereses bajo convenios bancarios; y defensa de margen ante la guerra de precios del e-commerce, sin entrar a competir centavo por centavo con Mercado Libre informal.</w:t>
      </w:r>
    </w:p>
    <w:p>
      <w:pPr>
        <w:spacing w:after="200" w:line="320"/>
        <w:jc w:val="both"/>
      </w:pPr>
      <w:r>
        <w:rPr>
          <w:rFonts w:ascii="Calibri" w:cs="Calibri" w:eastAsia="Calibri" w:hAnsi="Calibri"/>
          <w:sz w:val="22"/>
          <w:szCs w:val="22"/>
        </w:rPr>
        <w:t xml:space="preserve">La importancia estratégica del Cyber Wow para Coolbox es difícil de exagerar. De acuerdo con el cierre del Cyber Wow de noviembre de 2025 publicado por IAB Perú (2025), las ventas crecieron 161% respecto a las cuatro semanas previas, el ticket promedio creció 83%, más de 2.5 millones de tarjetas transaccionaron en e-commerce y 932 marcas se inscribieron en el evento. La estrategia de cuotas sin intereses se organiza en tres niveles: 3 a 6 cuotas durante todo el año, 9 a 12 cuotas en hitos del calendario comercial, y 18 cuotas puntuales en productos flagship (iPhone, Galaxy S, laptops gamer) con Diners e Interbank. Adicionalmente, la estrategia de precios para marcas propias debe posicionarlas entre 25% y 40% por debajo de marcas globales comparables, con un margen bruto estructuralmente más alto; Coolbox debe aspirar a que sus marcas propias representen al menos 25% del volumen y al menos 30% del margen bruto en accesorios, cómputo y gaming.</w:t>
      </w:r>
    </w:p>
    <w:p>
      <w:pPr>
        <w:pStyle w:val="Heading2"/>
        <w:spacing w:after="160" w:before="280"/>
      </w:pPr>
      <w:r>
        <w:rPr>
          <w:rFonts w:ascii="Calibri" w:cs="Calibri" w:eastAsia="Calibri" w:hAnsi="Calibri"/>
          <w:b/>
          <w:bCs/>
          <w:color w:val="2E74B5"/>
          <w:sz w:val="26"/>
          <w:szCs w:val="26"/>
        </w:rPr>
        <w:t xml:space="preserve">3.4 Estrategia de promoción y comunicación</w:t>
      </w:r>
    </w:p>
    <w:p>
      <w:pPr>
        <w:spacing w:after="200" w:line="320"/>
        <w:jc w:val="both"/>
      </w:pPr>
      <w:r>
        <w:rPr>
          <w:rFonts w:ascii="Calibri" w:cs="Calibri" w:eastAsia="Calibri" w:hAnsi="Calibri"/>
          <w:sz w:val="22"/>
          <w:szCs w:val="22"/>
        </w:rPr>
        <w:t xml:space="preserve">Siguiendo el marco de Kotler y Keller (2016) sobre comunicaciones integradas de marketing, el mix de medios para Coolbox se propone con un reparto referencial de 60% digital (35% performance, 15% branding y contenido, 5% CRM y email, 5% co-op con marcas), 25% BTL y experiencial (15% activaciones tipo Coolbox Gaming Night y patrocinio de esports, 10% trade marketing), y 15% ATL selectivo (10% TV abierta en campañas grandes y radio, 5% PR y contenido editorial). Este mix se traduce en estrategias de contenido diferenciadas: Instagram y TikTok para el joven profesional, Facebook y YouTube para la familia, TikTok-Twitch-YouTube-Discord para el gamer.</w:t>
      </w:r>
    </w:p>
    <w:p>
      <w:pPr>
        <w:spacing w:after="200" w:line="320"/>
        <w:jc w:val="both"/>
      </w:pPr>
      <w:r>
        <w:rPr>
          <w:rFonts w:ascii="Calibri" w:cs="Calibri" w:eastAsia="Calibri" w:hAnsi="Calibri"/>
          <w:sz w:val="22"/>
          <w:szCs w:val="22"/>
        </w:rPr>
        <w:t xml:space="preserve">El programa de fidelización propio "Coolbox Tech Club" se inscribe gratuitamente con DNI y celular, otorga cashback acumulable de entre 1% y 3% transferible directamente a Yape o Plin, ofrece pre-ventas exclusivas para lanzamientos, descuento de cumpleaños del 15% una vez al año, y organiza a los clientes en tres niveles (Tech, Tech+, Tech Pro) según gasto anual. El programa sustituye funcionalmente la propuesta CMR/Ripley pero ancla el comportamiento en billeteras digitales, alineándose con el comportamiento del segmento joven profesional digital.</w:t>
      </w:r>
    </w:p>
    <w:p>
      <w:pPr>
        <w:pStyle w:val="Heading2"/>
        <w:spacing w:after="160" w:before="280"/>
      </w:pPr>
      <w:r>
        <w:rPr>
          <w:rFonts w:ascii="Calibri" w:cs="Calibri" w:eastAsia="Calibri" w:hAnsi="Calibri"/>
          <w:b/>
          <w:bCs/>
          <w:color w:val="2E74B5"/>
          <w:sz w:val="26"/>
          <w:szCs w:val="26"/>
        </w:rPr>
        <w:t xml:space="preserve">3.5 Impacto de la estrategia comercial en otras áreas</w:t>
      </w:r>
    </w:p>
    <w:p>
      <w:pPr>
        <w:spacing w:after="200" w:line="320"/>
        <w:jc w:val="both"/>
      </w:pPr>
      <w:r>
        <w:rPr>
          <w:rFonts w:ascii="Calibri" w:cs="Calibri" w:eastAsia="Calibri" w:hAnsi="Calibri"/>
          <w:sz w:val="22"/>
          <w:szCs w:val="22"/>
        </w:rPr>
        <w:t xml:space="preserve">La estrategia comercial no opera en el vacío. Como advierte Kotler y Keller (2016), una estrategia de marketing solo es viable cuando las áreas de operaciones, finanzas y servicio al cliente están alineadas para soportarla. En producción y abastecimiento, se propone ampliar el portafolio de marcas propias y mantener una política de inventario rotativo agresivo, con cobertura forward al 50% del USD anual para mitigar el riesgo cambiario que el propio Bazán anticipa a El Comercio (2025) por escasez de chips. En logística, se propone como mínimo dos centros de distribución en Lima más uno regional, y un esquema multicourier para la última milla; el costo logístico target debe ubicarse cerca del 16% gracias al peso del Click &amp; Collect. En finanzas, los convenios bancarios para cuotas sin intereses tienen una comisión asociada del 3% al 6% que debe gestionarse por fecha y categoría, y el ROAS de marketing digital debe monitorearse: superior a 4x en performance, superior a 8x en remarketing. En atención al cliente y postventa, WhatsApp Business debe ser el canal número uno, con NPS target igual o superior a 60 frente al benchmark sectorial de 45 a 55 en América Latina.</w:t>
      </w:r>
    </w:p>
    <w:p>
      <w:r>
        <w:br w:type="page"/>
      </w:r>
    </w:p>
    <w:p>
      <w:pPr>
        <w:pStyle w:val="Heading1"/>
        <w:spacing w:after="200" w:before="360"/>
      </w:pPr>
      <w:r>
        <w:rPr>
          <w:rFonts w:ascii="Calibri" w:cs="Calibri" w:eastAsia="Calibri" w:hAnsi="Calibri"/>
          <w:b/>
          <w:bCs/>
          <w:color w:val="1F3864"/>
          <w:sz w:val="32"/>
          <w:szCs w:val="32"/>
        </w:rPr>
        <w:t xml:space="preserve">4. IMPLEMENTACIÓN Y RENTABILIDAD</w:t>
      </w:r>
    </w:p>
    <w:p>
      <w:pPr>
        <w:spacing w:after="200" w:line="320"/>
        <w:jc w:val="both"/>
      </w:pPr>
      <w:r>
        <w:rPr>
          <w:rFonts w:ascii="Calibri" w:cs="Calibri" w:eastAsia="Calibri" w:hAnsi="Calibri"/>
          <w:sz w:val="22"/>
          <w:szCs w:val="22"/>
        </w:rPr>
        <w:t xml:space="preserve">Definida la estrategia comercial, corresponde diseñar la implementación operativa y dimensionar la rentabilidad esperada del plan. Esta sección responde a las dos preguntas que cierran la cuarta etapa del trabajo: cómo se ejecuta el plan en términos cuantitativos y qué resultados financieros podemos esperar a doce meses. Se desarrollan cinco bloques principales: la proyección de ventas mensuales para 2026, el esquema de comisiones para la fuerza de ventas, el cálculo de las comisiones esperadas, el punto de equilibrio operativo y el tablero de indicadores clave de gestión que permitirá monitorear el cumplimiento del plan.</w:t>
      </w:r>
    </w:p>
    <w:p>
      <w:pPr>
        <w:pStyle w:val="Heading2"/>
        <w:spacing w:after="160" w:before="280"/>
      </w:pPr>
      <w:r>
        <w:rPr>
          <w:rFonts w:ascii="Calibri" w:cs="Calibri" w:eastAsia="Calibri" w:hAnsi="Calibri"/>
          <w:b/>
          <w:bCs/>
          <w:color w:val="2E74B5"/>
          <w:sz w:val="26"/>
          <w:szCs w:val="26"/>
        </w:rPr>
        <w:t xml:space="preserve">4.1 Proyección de ventas mensuales (12 meses)</w:t>
      </w:r>
    </w:p>
    <w:p>
      <w:pPr>
        <w:pStyle w:val="Heading3"/>
        <w:spacing w:after="140" w:before="220"/>
      </w:pPr>
      <w:r>
        <w:rPr>
          <w:rFonts w:ascii="Calibri" w:cs="Calibri" w:eastAsia="Calibri" w:hAnsi="Calibri"/>
          <w:b/>
          <w:bCs/>
          <w:color w:val="2E74B5"/>
          <w:sz w:val="24"/>
          <w:szCs w:val="24"/>
        </w:rPr>
        <w:t xml:space="preserve">4.1.1 Supuestos de crecimiento</w:t>
      </w:r>
    </w:p>
    <w:p>
      <w:pPr>
        <w:spacing w:after="200" w:line="320"/>
        <w:jc w:val="both"/>
      </w:pPr>
      <w:r>
        <w:rPr>
          <w:rFonts w:ascii="Calibri" w:cs="Calibri" w:eastAsia="Calibri" w:hAnsi="Calibri"/>
          <w:sz w:val="22"/>
          <w:szCs w:val="22"/>
        </w:rPr>
        <w:t xml:space="preserve">La proyección de ventas para Coolbox en 2026 parte de la guía oficial entregada por Marcelo Bazán, CEO Corporativo Perú y México de Coolbox, en entrevista con El Comercio (2025): la empresa proyecta una facturación de S/545 millones para el ejercicio 2026, lo que representa un crecimiento del 19% respecto al cierre estimado de 2025 (aproximadamente S/458 millones). El propio CEO confirmó adicionalmente que el primer trimestre de 2026 viene cerrando con un crecimiento del 26%, por encima del target anual, lo que sugiere un escenario inicial favorable.</w:t>
      </w:r>
    </w:p>
    <w:p>
      <w:pPr>
        <w:spacing w:after="200" w:line="320"/>
        <w:jc w:val="both"/>
      </w:pPr>
      <w:r>
        <w:rPr>
          <w:rFonts w:ascii="Calibri" w:cs="Calibri" w:eastAsia="Calibri" w:hAnsi="Calibri"/>
          <w:sz w:val="22"/>
          <w:szCs w:val="22"/>
        </w:rPr>
        <w:t xml:space="preserve">Esta proyección se construye sobre cinco supuestos centrales. En primer lugar, la base de partida es la facturación 2025 estimada en S/458 millones, sobre la cual se aplica el crecimiento anual del 19% comunicado por la empresa. En segundo lugar, la expansión de la red física aporta aproximadamente 6 puntos porcentuales del crecimiento total: el plan contempla pasar de 140 tiendas a cierre de 2025 a 173 tiendas al cierre de 2026, con meta de alcanzar las 200 tiendas en 2027. En tercer lugar, el canal digital, que actualmente representa el 25% del mix de ventas, debe escalar hasta el 30% gracias al lanzamiento del Coolbox Tech Club y al refuerzo de la propuesta omnicanal. En cuarto lugar, el ticket promedio se mantiene estable con un crecimiento moderado de 3% por efecto de inflación tecnológica y mayor venta cruzada vía bundle pricing; el riesgo cambiario está mitigado por una cobertura forward del 50% del USD anual. En quinto lugar, las marcas propias —Teraware, Teraware 4 Gaming, Radioshack, GMobile y otras— deben crecer hasta representar el 25% del volumen total, replicando parcialmente el modelo Miray de Hiraoka, donde la marca propia alcanza el 50% del volumen según declaraciones de Jiro Hiraoka a Gestión.</w:t>
      </w:r>
    </w:p>
    <w:p>
      <w:pPr>
        <w:pStyle w:val="Heading3"/>
        <w:spacing w:after="140" w:before="220"/>
      </w:pPr>
      <w:r>
        <w:rPr>
          <w:rFonts w:ascii="Calibri" w:cs="Calibri" w:eastAsia="Calibri" w:hAnsi="Calibri"/>
          <w:b/>
          <w:bCs/>
          <w:color w:val="2E74B5"/>
          <w:sz w:val="24"/>
          <w:szCs w:val="24"/>
        </w:rPr>
        <w:t xml:space="preserve">4.1.2 Estacionalidad y factores externos</w:t>
      </w:r>
    </w:p>
    <w:p>
      <w:pPr>
        <w:spacing w:after="200" w:line="320"/>
        <w:jc w:val="both"/>
      </w:pPr>
      <w:r>
        <w:rPr>
          <w:rFonts w:ascii="Calibri" w:cs="Calibri" w:eastAsia="Calibri" w:hAnsi="Calibri"/>
          <w:sz w:val="22"/>
          <w:szCs w:val="22"/>
        </w:rPr>
        <w:t xml:space="preserve">La distribución mensual de los S/545 millones se modela siguiendo la estacionalidad típica del retail tecnológico peruano, documentada por NielsenIQ e IAB Perú. El promedio mensual aritmético es de S/45.4 millones, pero ningún mes opera al promedio: el año se organiza en torno a cinco picos estacionales (Día de la Madre en mayo, Cyber Wow de julio que coincide con el Mundial FIFA 2026 y Fiestas Patrias, Cyber Wow y Black Friday en noviembre, y Navidad en diciembre) y dos valles claros (agosto y los primeros meses de septiembre). La importancia del Cyber Wow de noviembre es particularmente notable: según IAB Perú (2025), en el Cyber Wow de noviembre de 2025 las ventas crecieron 161% respecto a las cuatro semanas previas, con un ticket promedio que creció 83%, más de 2.5 millones de tarjetas transaccionando y 932 marcas inscritas.</w:t>
      </w:r>
    </w:p>
    <w:p>
      <w:pPr>
        <w:spacing w:after="200" w:line="320"/>
        <w:jc w:val="both"/>
      </w:pPr>
      <w:r>
        <w:rPr>
          <w:rFonts w:ascii="Calibri" w:cs="Calibri" w:eastAsia="Calibri" w:hAnsi="Calibri"/>
          <w:sz w:val="22"/>
          <w:szCs w:val="22"/>
        </w:rPr>
        <w:t xml:space="preserve">Adicionalmente, se identifican cinco factores externos que pueden alterar la proyección y deben monitorearse trimestralmente. El primero es el tipo de cambio: dado que las importaciones de Coolbox son en dólares, una variación del tipo de cambio superior a 5% activa la política de re-pricing trimestral; la cobertura forward al 50% protege parcialmente. El segundo es la escasez global de chips, que Bazán anticipa a El Comercio (2025) como un factor que presionará los precios de laptops al alza; la respuesta defensiva es ampliar la penetración de marcas propias. El tercer factor, con efecto positivo, es el Mundial FIFA 2026 (junio-julio), que históricamente impulsa la venta de smart TV y soundbars con un upside estimado del 15% sobre la base mensual. El cuarto factor es la entrada de competidores internacionales como Temu y Shein, que requiere una defensa basada en servicio postventa y garantía local. El quinto factor es el contexto político-electoral del segundo semestre de 2026, que puede afectar la demanda de tickets altos en el tercer trimestre.</w:t>
      </w:r>
    </w:p>
    <w:p>
      <w:pPr>
        <w:pStyle w:val="Heading3"/>
        <w:spacing w:after="140" w:before="220"/>
      </w:pPr>
      <w:r>
        <w:rPr>
          <w:rFonts w:ascii="Calibri" w:cs="Calibri" w:eastAsia="Calibri" w:hAnsi="Calibri"/>
          <w:b/>
          <w:bCs/>
          <w:color w:val="2E74B5"/>
          <w:sz w:val="24"/>
          <w:szCs w:val="24"/>
        </w:rPr>
        <w:t xml:space="preserve">4.1.3 Tabla de proyección mensual</w:t>
      </w:r>
    </w:p>
    <w:p>
      <w:pPr>
        <w:spacing w:after="200" w:line="320"/>
        <w:jc w:val="both"/>
      </w:pPr>
      <w:r>
        <w:rPr>
          <w:rFonts w:ascii="Calibri" w:cs="Calibri" w:eastAsia="Calibri" w:hAnsi="Calibri"/>
          <w:sz w:val="22"/>
          <w:szCs w:val="22"/>
        </w:rPr>
        <w:t xml:space="preserve">La siguiente tabla detalla la proyección mensual para el ejercicio 2026, integrando los supuestos de crecimiento y la estacionalidad documentada:</w:t>
      </w:r>
    </w:p>
    <w:p>
      <w:pPr>
        <w:spacing w:after="12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48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Mes</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Ventas (S/ M)</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del año</w:t>
            </w:r>
          </w:p>
        </w:tc>
        <w:tc>
          <w:tcPr>
            <w:tcW w:type="dxa" w:w="4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Driver principal</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Enero</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35.4</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6.5%</w:t>
            </w:r>
          </w:p>
        </w:tc>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Back to School y verano</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Febrero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38.2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7.0%</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Back to School pico</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Marzo</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40.9</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7.5%</w:t>
            </w:r>
          </w:p>
        </w:tc>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Cierre Back to School y Cyber CCL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Abril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46.3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8.5%</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Pre-Día de la Madre y Cyber Wow</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Mayo</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51.8</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9.5%</w:t>
            </w:r>
          </w:p>
        </w:tc>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Día de la Madre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Junio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46.3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8.5%</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Día del Padre e inicio del Mundial FIFA</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Julio</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54.5</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10.0%</w:t>
            </w:r>
          </w:p>
        </w:tc>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Cyber Wow, Mundial FIFA y Fiestas Patrias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Agosto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32.7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6.0%</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Valle estacional</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Setiembre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35.4</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6.5%</w:t>
            </w:r>
          </w:p>
        </w:tc>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Día del Niño y remates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Octubre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40.9</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7.5%</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Pre-Cyber y lanzamientos AAA</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Noviembre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62.7</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11.5%</w:t>
            </w:r>
          </w:p>
        </w:tc>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Cyber Wow y Black Friday (pico anual)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Diciembre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11.0%</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Navidad</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TOTAL</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545.0</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100%</w:t>
            </w:r>
          </w:p>
        </w:tc>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Crecimiento +19% vs. 2025</w:t>
            </w:r>
          </w:p>
        </w:tc>
      </w:tr>
    </w:tbl>
    <w:p>
      <w:pPr>
        <w:spacing w:after="120"/>
      </w:pPr>
      <w:r>
        <w:t xml:space="preserve"/>
      </w:r>
    </w:p>
    <w:p>
      <w:pPr>
        <w:spacing w:after="200" w:line="320"/>
        <w:jc w:val="both"/>
      </w:pPr>
      <w:r>
        <w:rPr>
          <w:rFonts w:ascii="Calibri" w:cs="Calibri" w:eastAsia="Calibri" w:hAnsi="Calibri"/>
          <w:sz w:val="22"/>
          <w:szCs w:val="22"/>
        </w:rPr>
        <w:t xml:space="preserve">Como se observa, los meses de noviembre y diciembre concentran el 22.5% de la facturación anual proyectada, lo que confirma que la disciplina operativa en el cuarto trimestre es decisiva para alcanzar el target. Los meses pico (mayo, julio, noviembre y diciembre) suman aproximadamente el 42% de la facturación anual.</w:t>
      </w:r>
    </w:p>
    <w:p>
      <w:pPr>
        <w:pStyle w:val="Heading2"/>
        <w:spacing w:after="160" w:before="280"/>
      </w:pPr>
      <w:r>
        <w:rPr>
          <w:rFonts w:ascii="Calibri" w:cs="Calibri" w:eastAsia="Calibri" w:hAnsi="Calibri"/>
          <w:b/>
          <w:bCs/>
          <w:color w:val="2E74B5"/>
          <w:sz w:val="26"/>
          <w:szCs w:val="26"/>
        </w:rPr>
        <w:t xml:space="preserve">4.2 Esquema de comisiones</w:t>
      </w:r>
    </w:p>
    <w:p>
      <w:pPr>
        <w:pStyle w:val="Heading3"/>
        <w:spacing w:after="140" w:before="220"/>
      </w:pPr>
      <w:r>
        <w:rPr>
          <w:rFonts w:ascii="Calibri" w:cs="Calibri" w:eastAsia="Calibri" w:hAnsi="Calibri"/>
          <w:b/>
          <w:bCs/>
          <w:color w:val="2E74B5"/>
          <w:sz w:val="24"/>
          <w:szCs w:val="24"/>
        </w:rPr>
        <w:t xml:space="preserve">4.2.1 Tipos de comisiones</w:t>
      </w:r>
    </w:p>
    <w:p>
      <w:pPr>
        <w:spacing w:after="200" w:line="320"/>
        <w:jc w:val="both"/>
      </w:pPr>
      <w:r>
        <w:rPr>
          <w:rFonts w:ascii="Calibri" w:cs="Calibri" w:eastAsia="Calibri" w:hAnsi="Calibri"/>
          <w:sz w:val="22"/>
          <w:szCs w:val="22"/>
        </w:rPr>
        <w:t xml:space="preserve">Siguiendo a Kotler y Keller (2016), un esquema de incentivos efectivo para la fuerza de ventas debe combinar una base estable que dé seguridad al vendedor con incentivos variables que orienten el comportamiento hacia los objetivos comerciales. Se propone para Coolbox un esquema mixto de tres componentes.</w:t>
      </w:r>
    </w:p>
    <w:p>
      <w:pPr>
        <w:spacing w:after="200" w:line="320"/>
        <w:jc w:val="both"/>
      </w:pPr>
      <w:r>
        <w:rPr>
          <w:rFonts w:ascii="Calibri" w:cs="Calibri" w:eastAsia="Calibri" w:hAnsi="Calibri"/>
          <w:sz w:val="22"/>
          <w:szCs w:val="22"/>
        </w:rPr>
        <w:t xml:space="preserve">El primer componente es la comisión base del 1.5% sobre toda venta cerrada en tienda física, con pago mensual junto al sueldo fijo. Esta base garantiza un ingreso variable predecible y reduce la rotación del personal de ventas, un activo estratégico clave en retail tecnológico donde la curva de aprendizaje de producto es significativa. El segundo componente son los bonos por categoría, que añaden entre 2% y 3% adicional sobre las ventas de accesorios, marcas propias (Teraware, Teraware 4 Gaming) y garantías extendidas; este bono orienta el esfuerzo del vendedor hacia el mix de mayor margen, donde la empresa más necesita empujar volumen para defender la utilidad. El tercer componente es el bono por cumplimiento de cuota: cuando el vendedor cumple el 100% de su cuota mensual, recibe un 50% adicional sobre la comisión total; si supera el 110% de cuota, el bono se duplica al 100%. Este componente estira el desempeño hacia el target y permite alcanzar los picos estacionales (Cyber Wow, Mundial, Navidad) sin contratar personal adicional.</w:t>
      </w:r>
    </w:p>
    <w:p>
      <w:pPr>
        <w:pStyle w:val="Heading3"/>
        <w:spacing w:after="140" w:before="220"/>
      </w:pPr>
      <w:r>
        <w:rPr>
          <w:rFonts w:ascii="Calibri" w:cs="Calibri" w:eastAsia="Calibri" w:hAnsi="Calibri"/>
          <w:b/>
          <w:bCs/>
          <w:color w:val="2E74B5"/>
          <w:sz w:val="24"/>
          <w:szCs w:val="24"/>
        </w:rPr>
        <w:t xml:space="preserve">4.2.2 Justificación del esquema</w:t>
      </w:r>
    </w:p>
    <w:p>
      <w:pPr>
        <w:spacing w:after="200" w:line="320"/>
        <w:jc w:val="both"/>
      </w:pPr>
      <w:r>
        <w:rPr>
          <w:rFonts w:ascii="Calibri" w:cs="Calibri" w:eastAsia="Calibri" w:hAnsi="Calibri"/>
          <w:sz w:val="22"/>
          <w:szCs w:val="22"/>
        </w:rPr>
        <w:t xml:space="preserve">El esquema propuesto se justifica por tres razones. Primero, alinea los incentivos del vendedor con la rentabilidad de la empresa: el bono por categoría premia precisamente las ventas donde Coolbox captura más margen (accesorios, marcas propias, garantías extendidas), corrigiendo el sesgo natural del vendedor a empujar productos de alto ticket pero bajo margen como smartphones premium. Segundo, modera el riesgo financiero para la empresa: el componente fijo (1.5%) es predecible y proporcional a la venta, mientras que el componente variable solo se activa cuando hay desempeño superior, manteniendo la flexibilidad del costo laboral. Tercero, refuerza la disciplina operativa en picos estacionales: el bono de cuota convierte los meses de Cyber Wow y Navidad en oportunidades de ingreso extraordinario para el vendedor, lo que mejora la retención y la motivación durante los periodos de mayor carga.</w:t>
      </w:r>
    </w:p>
    <w:p>
      <w:pPr>
        <w:pStyle w:val="Heading2"/>
        <w:spacing w:after="160" w:before="280"/>
      </w:pPr>
      <w:r>
        <w:rPr>
          <w:rFonts w:ascii="Calibri" w:cs="Calibri" w:eastAsia="Calibri" w:hAnsi="Calibri"/>
          <w:b/>
          <w:bCs/>
          <w:color w:val="2E74B5"/>
          <w:sz w:val="26"/>
          <w:szCs w:val="26"/>
        </w:rPr>
        <w:t xml:space="preserve">4.3 Comisiones de venta esperadas</w:t>
      </w:r>
    </w:p>
    <w:p>
      <w:pPr>
        <w:pStyle w:val="Heading3"/>
        <w:spacing w:after="140" w:before="220"/>
      </w:pPr>
      <w:r>
        <w:rPr>
          <w:rFonts w:ascii="Calibri" w:cs="Calibri" w:eastAsia="Calibri" w:hAnsi="Calibri"/>
          <w:b/>
          <w:bCs/>
          <w:color w:val="2E74B5"/>
          <w:sz w:val="24"/>
          <w:szCs w:val="24"/>
        </w:rPr>
        <w:t xml:space="preserve">4.3.1 Cálculo mensual de comisiones</w:t>
      </w:r>
    </w:p>
    <w:p>
      <w:pPr>
        <w:spacing w:after="200" w:line="320"/>
        <w:jc w:val="both"/>
      </w:pPr>
      <w:r>
        <w:rPr>
          <w:rFonts w:ascii="Calibri" w:cs="Calibri" w:eastAsia="Calibri" w:hAnsi="Calibri"/>
          <w:sz w:val="22"/>
          <w:szCs w:val="22"/>
        </w:rPr>
        <w:t xml:space="preserve">Aplicando el esquema mixto descrito (base del 1.5% más bonos por mix y cumplimiento) sobre la proyección de ventas mensuales, se estima un costo total de comisiones equivalente al 2.5% del ingreso anual, equivalente a S/13.58 millones para el ejercicio 2026. La distribución mensual se presenta en la siguiente tabla:</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400"/>
        <w:gridCol w:w="1600"/>
        <w:gridCol w:w="1600"/>
        <w:gridCol w:w="1500"/>
      </w:tblGrid>
      <w:tr>
        <w:trPr>
          <w:tblHeader/>
        </w:trPr>
        <w:tc>
          <w:tcPr>
            <w:tcW w:type="dxa" w:w="1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Mes</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Ventas (S/M)</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Base 1.5%</w:t>
            </w:r>
          </w:p>
        </w:tc>
        <w:tc>
          <w:tcPr>
            <w:tcW w:type="dxa" w:w="1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Bonos mix+cuota</w:t>
            </w:r>
          </w:p>
        </w:tc>
        <w:tc>
          <w:tcPr>
            <w:tcW w:type="dxa" w:w="1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Total (S/M)</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s/ventas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Enero</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35.4</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0.53</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0.35</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0.88</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Febrero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38.2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0.57</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0.38</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Marzo</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40.9</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0.61</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0.41</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1.02</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Abril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46.3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0.69</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0.48</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1.17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Mayo</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51.8</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0.78</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0.55</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1.33</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2.6%</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Junio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46.3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0.69</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0.48</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1.17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Julio</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54.5</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0.82</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0.59</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1.41</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2.6%</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Agosto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32.7</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0.49</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0.32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Setiembre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35.4</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0.53</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0.35</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0.88</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Octubre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40.9</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0.61</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0.41</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Noviembre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62.7</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0.94</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0.74</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1.68</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2.7%</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Diciembre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60.0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0.70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1.60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2.7%</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TOTAL AÑO</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545.0</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8.18</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5.40</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13.58</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r>
    </w:tbl>
    <w:p>
      <w:pPr>
        <w:spacing w:after="120"/>
      </w:pPr>
      <w:r>
        <w:t xml:space="preserve"/>
      </w:r>
    </w:p>
    <w:p>
      <w:pPr>
        <w:pStyle w:val="Heading3"/>
        <w:spacing w:after="140" w:before="220"/>
      </w:pPr>
      <w:r>
        <w:rPr>
          <w:rFonts w:ascii="Calibri" w:cs="Calibri" w:eastAsia="Calibri" w:hAnsi="Calibri"/>
          <w:b/>
          <w:bCs/>
          <w:color w:val="2E74B5"/>
          <w:sz w:val="24"/>
          <w:szCs w:val="24"/>
        </w:rPr>
        <w:t xml:space="preserve">4.3.2 Tabla resumen anual</w:t>
      </w:r>
    </w:p>
    <w:p>
      <w:pPr>
        <w:spacing w:after="200" w:line="320"/>
        <w:jc w:val="both"/>
      </w:pPr>
      <w:r>
        <w:rPr>
          <w:rFonts w:ascii="Calibri" w:cs="Calibri" w:eastAsia="Calibri" w:hAnsi="Calibri"/>
          <w:sz w:val="22"/>
          <w:szCs w:val="22"/>
        </w:rPr>
        <w:t xml:space="preserve">Del cálculo se extraen tres observaciones relevantes para la gestión financiera. Primero, la comisión base (1.5% sobre ventas) representa S/8.18 millones, equivalente al 60% del costo total de comisiones; es un costo predecible y proporcional al ingreso. Segundo, los bonos variables (mix y cumplimiento) representan S/5.40 millones, equivalente al 40% del costo total; este componente solo se activa con desempeño superior, manteniendo la flexibilidad. Tercero, los meses de noviembre y diciembre concentran S/3.28 millones en comisiones (24% del año), reflejando la presión estacional sobre la fuerza de ventas y justificando inversión adicional en capacitación y herramientas digitales antes del cuarto trimestre.</w:t>
      </w:r>
    </w:p>
    <w:p>
      <w:pPr>
        <w:pStyle w:val="Heading2"/>
        <w:spacing w:after="160" w:before="280"/>
      </w:pPr>
      <w:r>
        <w:rPr>
          <w:rFonts w:ascii="Calibri" w:cs="Calibri" w:eastAsia="Calibri" w:hAnsi="Calibri"/>
          <w:b/>
          <w:bCs/>
          <w:color w:val="2E74B5"/>
          <w:sz w:val="26"/>
          <w:szCs w:val="26"/>
        </w:rPr>
        <w:t xml:space="preserve">4.4 Cálculo del punto de equilibrio</w:t>
      </w:r>
    </w:p>
    <w:p>
      <w:pPr>
        <w:pStyle w:val="Heading3"/>
        <w:spacing w:after="140" w:before="220"/>
      </w:pPr>
      <w:r>
        <w:rPr>
          <w:rFonts w:ascii="Calibri" w:cs="Calibri" w:eastAsia="Calibri" w:hAnsi="Calibri"/>
          <w:b/>
          <w:bCs/>
          <w:color w:val="2E74B5"/>
          <w:sz w:val="24"/>
          <w:szCs w:val="24"/>
        </w:rPr>
        <w:t xml:space="preserve">4.4.1 Costos fijos mensuales</w:t>
      </w:r>
    </w:p>
    <w:p>
      <w:pPr>
        <w:spacing w:after="200" w:line="320"/>
        <w:jc w:val="both"/>
      </w:pPr>
      <w:r>
        <w:rPr>
          <w:rFonts w:ascii="Calibri" w:cs="Calibri" w:eastAsia="Calibri" w:hAnsi="Calibri"/>
          <w:sz w:val="22"/>
          <w:szCs w:val="22"/>
        </w:rPr>
        <w:t xml:space="preserve">Los costos fijos mensuales de operación de Coolbox se estiman en S/9.5 millones, equivalentes a aproximadamente S/114 millones anuales o el 21% de la facturación proyectada. Esta estimación incluye los siguientes rubros: alquileres y mantenimiento de las 150 tiendas (S/3.5 millones); planilla fija de vendedores y personal corporativo, sin contar comisiones (S/2.8 millones); logística estructural de centros de distribución (S/1.2 millones); marketing fijo de branding y equipo (S/0.8 millones); tecnología incluyendo VTEX, sistemas y OMS (S/0.5 millones); y otros gastos administrativos (S/0.7 millones).</w:t>
      </w:r>
    </w:p>
    <w:p>
      <w:pPr>
        <w:pStyle w:val="Heading3"/>
        <w:spacing w:after="140" w:before="220"/>
      </w:pPr>
      <w:r>
        <w:rPr>
          <w:rFonts w:ascii="Calibri" w:cs="Calibri" w:eastAsia="Calibri" w:hAnsi="Calibri"/>
          <w:b/>
          <w:bCs/>
          <w:color w:val="2E74B5"/>
          <w:sz w:val="24"/>
          <w:szCs w:val="24"/>
        </w:rPr>
        <w:t xml:space="preserve">4.4.2 Costos variables (porcentaje sobre venta)</w:t>
      </w:r>
    </w:p>
    <w:p>
      <w:pPr>
        <w:spacing w:after="200" w:line="320"/>
        <w:jc w:val="both"/>
      </w:pPr>
      <w:r>
        <w:rPr>
          <w:rFonts w:ascii="Calibri" w:cs="Calibri" w:eastAsia="Calibri" w:hAnsi="Calibri"/>
          <w:sz w:val="22"/>
          <w:szCs w:val="22"/>
        </w:rPr>
        <w:t xml:space="preserve">Los costos variables se modelan como porcentaje sobre el ingreso y suman 76%, dejando un margen de contribución del 24%. La estructura es la siguiente: costo del producto o COGS (68%), comisiones de venta (2.5%), marketing variable en performance digital (2.5%), logística variable de última milla (1.5%) y comisiones bancarias por cuotas sin intereses (1.5%). El margen de contribución del 24% es relativamente elevado para retail tecnológico, gracias al peso creciente de las marcas propias (Teraware y T4G alcanzan márgenes brutos cercanos al 35%) y de los accesorios complementarios vendidos en bundle.</w:t>
      </w:r>
    </w:p>
    <w:p>
      <w:pPr>
        <w:pStyle w:val="Heading3"/>
        <w:spacing w:after="140" w:before="220"/>
      </w:pPr>
      <w:r>
        <w:rPr>
          <w:rFonts w:ascii="Calibri" w:cs="Calibri" w:eastAsia="Calibri" w:hAnsi="Calibri"/>
          <w:b/>
          <w:bCs/>
          <w:color w:val="2E74B5"/>
          <w:sz w:val="24"/>
          <w:szCs w:val="24"/>
        </w:rPr>
        <w:t xml:space="preserve">4.4.3 Fórmula y análisis del punto de equilibrio</w:t>
      </w:r>
    </w:p>
    <w:p>
      <w:pPr>
        <w:spacing w:after="200" w:line="320"/>
        <w:jc w:val="both"/>
      </w:pPr>
      <w:r>
        <w:rPr>
          <w:rFonts w:ascii="Calibri" w:cs="Calibri" w:eastAsia="Calibri" w:hAnsi="Calibri"/>
          <w:sz w:val="22"/>
          <w:szCs w:val="22"/>
        </w:rPr>
        <w:t xml:space="preserve">Aplicando la fórmula del punto de equilibrio operativo (Punto de Equilibrio = Costos Fijos / Margen de Contribución), se obtiene:</w:t>
      </w:r>
    </w:p>
    <w:p>
      <w:pPr>
        <w:spacing w:after="200" w:line="320"/>
        <w:jc w:val="both"/>
      </w:pPr>
      <w:r>
        <w:rPr>
          <w:rFonts w:ascii="Calibri" w:cs="Calibri" w:eastAsia="Calibri" w:hAnsi="Calibri"/>
          <w:b/>
          <w:bCs/>
          <w:i w:val="false"/>
          <w:iCs w:val="false"/>
          <w:sz w:val="22"/>
          <w:szCs w:val="22"/>
        </w:rPr>
        <w:t xml:space="preserve">PE = S/9.5 millones / 0.24 = S/39.6 millones mensuales</w:t>
      </w:r>
    </w:p>
    <w:p>
      <w:pPr>
        <w:spacing w:after="200" w:line="320"/>
        <w:jc w:val="both"/>
      </w:pPr>
      <w:r>
        <w:rPr>
          <w:rFonts w:ascii="Calibri" w:cs="Calibri" w:eastAsia="Calibri" w:hAnsi="Calibri"/>
          <w:sz w:val="22"/>
          <w:szCs w:val="22"/>
        </w:rPr>
        <w:t xml:space="preserve">Lo que equivale a un punto de equilibrio anual de S/475 millones, es decir el 87% de la facturación proyectada para 2026. Comparando este resultado con la proyección mensual promedio de S/45.4 millones, se concluye que Coolbox opera con un margen de seguridad del 13% (la diferencia entre el ingreso promedio y el punto de equilibrio), lo que se traduce en una utilidad operativa esperada de aproximadamente S/70 millones para el ejercicio.</w:t>
      </w:r>
    </w:p>
    <w:p>
      <w:pPr>
        <w:spacing w:after="200" w:line="320"/>
        <w:jc w:val="both"/>
      </w:pPr>
      <w:r>
        <w:rPr>
          <w:rFonts w:ascii="Calibri" w:cs="Calibri" w:eastAsia="Calibri" w:hAnsi="Calibri"/>
          <w:sz w:val="22"/>
          <w:szCs w:val="22"/>
        </w:rPr>
        <w:t xml:space="preserve">Desde la perspectiva temporal, el punto de equilibrio se alcanza alrededor del mes de marzo en términos acumulados, dado que los meses iniciales (enero, febrero) están por debajo del PE mensual pero los meses fuertes de mayo, julio, noviembre y diciembre lo superan ampliamente. Esto significa que en escenarios de caída moderada (por ejemplo, 8-10% sobre la base) la empresa seguiría operando en territorio rentable; en cambio, una caída superior al 13% en el conjunto del año pondría en riesgo el resultado operativo.</w:t>
      </w:r>
    </w:p>
    <w:p>
      <w:pPr>
        <w:pStyle w:val="Heading2"/>
        <w:spacing w:after="160" w:before="280"/>
      </w:pPr>
      <w:r>
        <w:rPr>
          <w:rFonts w:ascii="Calibri" w:cs="Calibri" w:eastAsia="Calibri" w:hAnsi="Calibri"/>
          <w:b/>
          <w:bCs/>
          <w:color w:val="2E74B5"/>
          <w:sz w:val="26"/>
          <w:szCs w:val="26"/>
        </w:rPr>
        <w:t xml:space="preserve">4.5 Indicadores clave de gestión (KPIs)</w:t>
      </w:r>
    </w:p>
    <w:p>
      <w:pPr>
        <w:pStyle w:val="Heading3"/>
        <w:spacing w:after="140" w:before="220"/>
      </w:pPr>
      <w:r>
        <w:rPr>
          <w:rFonts w:ascii="Calibri" w:cs="Calibri" w:eastAsia="Calibri" w:hAnsi="Calibri"/>
          <w:b/>
          <w:bCs/>
          <w:color w:val="2E74B5"/>
          <w:sz w:val="24"/>
          <w:szCs w:val="24"/>
        </w:rPr>
        <w:t xml:space="preserve">4.5.1 KPIs comerciales para monitorear el desempeño</w:t>
      </w:r>
    </w:p>
    <w:p>
      <w:pPr>
        <w:spacing w:after="200" w:line="320"/>
        <w:jc w:val="both"/>
      </w:pPr>
      <w:r>
        <w:rPr>
          <w:rFonts w:ascii="Calibri" w:cs="Calibri" w:eastAsia="Calibri" w:hAnsi="Calibri"/>
          <w:sz w:val="22"/>
          <w:szCs w:val="22"/>
        </w:rPr>
        <w:t xml:space="preserve">Se propone un tablero de 12 indicadores clave de gestión que permiten monitorear de forma integral el cumplimiento del plan comercial. Estos KPIs cubren cuatro dimensiones: comercial y de ventas, digital y omnicanal, experiencia del cliente, y eficiencia operativa. La siguiente tabla detalla cada indicador, su target para 2026, frecuencia de medición, responsable y la acción correctiva en caso de desviación:</w:t>
      </w:r>
    </w:p>
    <w:p>
      <w:pPr>
        <w:spacing w:after="12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1500"/>
        <w:gridCol w:w="2700"/>
      </w:tblGrid>
      <w:tr>
        <w:trPr>
          <w:tblHeader/>
        </w:trPr>
        <w:tc>
          <w:tcPr>
            <w:tcW w:type="dxa" w:w="3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KPI</w:t>
            </w:r>
          </w:p>
        </w:tc>
        <w:tc>
          <w:tcPr>
            <w:tcW w:type="dxa" w:w="19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Target 2026</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Frecuencia</w:t>
            </w:r>
          </w:p>
        </w:tc>
        <w:tc>
          <w:tcPr>
            <w:tcW w:type="dxa" w:w="2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Responsable</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Ventas vs. target</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+19% vs. 2025</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Diaria</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Gerente Comercial</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Ticket promedio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S/280-320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Semanal</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Gerente Comercial</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Conversión web</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2.8%</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Diaria</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Gerente Digital</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Conversión en tienda (visitantes a compradores)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28%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Semanal</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Gerente de Tiendas</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NPS (Net Promoter Score)</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60</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Mensual</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Gerente CX / Postventa</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ROAS digital</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&gt; 4.0x</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Semanal</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Gerente Digital</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CAC vs. LTV</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LTV/CAC &gt; 5x</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Mensual</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Gerente Digital y Finanzas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Porcentaje de marcas propias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25% del volumen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Mensual</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Gerente Producto y Compras</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Porcentaje de canal digital</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30% del total</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Mensual</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Gerente Digital</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Click &amp; Collect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&gt; 80% de pedidos online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Mensual</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Gerente Logística</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Rotación de inventario</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&gt; 6 veces / año</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Mensual</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Gerente Logística</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Margen bruto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32%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Mensual</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Gerente Finanzas</w:t>
            </w:r>
          </w:p>
        </w:tc>
      </w:tr>
    </w:tbl>
    <w:p>
      <w:pPr>
        <w:spacing w:after="120"/>
      </w:pPr>
      <w:r>
        <w:t xml:space="preserve"/>
      </w:r>
    </w:p>
    <w:p>
      <w:pPr>
        <w:pStyle w:val="Heading3"/>
        <w:spacing w:after="140" w:before="220"/>
      </w:pPr>
      <w:r>
        <w:rPr>
          <w:rFonts w:ascii="Calibri" w:cs="Calibri" w:eastAsia="Calibri" w:hAnsi="Calibri"/>
          <w:b/>
          <w:bCs/>
          <w:color w:val="2E74B5"/>
          <w:sz w:val="24"/>
          <w:szCs w:val="24"/>
        </w:rPr>
        <w:t xml:space="preserve">4.5.2 Frecuencia de medición y responsables</w:t>
      </w:r>
    </w:p>
    <w:p>
      <w:pPr>
        <w:spacing w:after="200" w:line="320"/>
        <w:jc w:val="both"/>
      </w:pPr>
      <w:r>
        <w:rPr>
          <w:rFonts w:ascii="Calibri" w:cs="Calibri" w:eastAsia="Calibri" w:hAnsi="Calibri"/>
          <w:sz w:val="22"/>
          <w:szCs w:val="22"/>
        </w:rPr>
        <w:t xml:space="preserve">El diseño del tablero distingue tres frecuencias de medición. Los indicadores de monitoreo diario (ventas vs. target y conversión web) son críticos para la gestión operativa cotidiana y se revisan vía Looker Studio o Power BI con alertas automáticas a Slack. Los indicadores de seguimiento semanal (ticket promedio, conversión en tienda y ROAS digital) se revisan en el comité comercial cada lunes. Los indicadores de carácter estratégico (NPS, marcas propias, canal digital, rotación de inventario, margen bruto, CAC y LTV) se revisan mensualmente con la dirección general.</w:t>
      </w:r>
    </w:p>
    <w:p>
      <w:pPr>
        <w:spacing w:after="200" w:line="320"/>
        <w:jc w:val="both"/>
      </w:pPr>
      <w:r>
        <w:rPr>
          <w:rFonts w:ascii="Calibri" w:cs="Calibri" w:eastAsia="Calibri" w:hAnsi="Calibri"/>
          <w:sz w:val="22"/>
          <w:szCs w:val="22"/>
        </w:rPr>
        <w:t xml:space="preserve">Cada KPI tiene un responsable claramente asignado, evitando la dilución de la rendición de cuentas. Las acciones correctivas se definen en función de la desviación: ajuste de inversión digital cuando ventas se desvían del target; bundle pricing y venta cruzada cuando el ticket cae; optimización del checkout cuando la conversión web baja; capacitación y asesoría cuando la conversión en tienda baja; plan de recuperación cuando el NPS cae; reasignación de pauta entre canales cuando el ROAS no cumple; push de Teraware y T4G cuando las marcas propias quedan por debajo del target; y markdown automático cuando la rotación de inventario se ralentiza.</w:t>
      </w:r>
    </w:p>
    <w:p>
      <w:r>
        <w:br w:type="page"/>
      </w:r>
    </w:p>
    <w:p>
      <w:pPr>
        <w:pStyle w:val="Heading1"/>
        <w:spacing w:after="200" w:before="360"/>
      </w:pPr>
      <w:r>
        <w:rPr>
          <w:rFonts w:ascii="Calibri" w:cs="Calibri" w:eastAsia="Calibri" w:hAnsi="Calibri"/>
          <w:b/>
          <w:bCs/>
          <w:color w:val="1F3864"/>
          <w:sz w:val="32"/>
          <w:szCs w:val="32"/>
        </w:rPr>
        <w:t xml:space="preserve">5. CIERRE DEL PROYECTO</w:t>
      </w:r>
    </w:p>
    <w:p>
      <w:pPr>
        <w:spacing w:after="200" w:line="320"/>
        <w:jc w:val="both"/>
      </w:pPr>
      <w:r>
        <w:rPr>
          <w:rFonts w:ascii="Calibri" w:cs="Calibri" w:eastAsia="Calibri" w:hAnsi="Calibri"/>
          <w:sz w:val="22"/>
          <w:szCs w:val="22"/>
        </w:rPr>
        <w:t xml:space="preserve">Cerrado el desarrollo del plan en sus tres bloques anteriores (análisis del entorno, estrategia comercial e implementación con rentabilidad), corresponde sistematizar los hallazgos del trabajo, formular las recomendaciones estratégicas que deben guiar la ejecución en los próximos doce meses, presentar la conclusión general del trabajo y dejar el material de sustento en los anexos.</w:t>
      </w:r>
    </w:p>
    <w:p>
      <w:pPr>
        <w:pStyle w:val="Heading2"/>
        <w:spacing w:after="160" w:before="280"/>
      </w:pPr>
      <w:r>
        <w:rPr>
          <w:rFonts w:ascii="Calibri" w:cs="Calibri" w:eastAsia="Calibri" w:hAnsi="Calibri"/>
          <w:b/>
          <w:bCs/>
          <w:color w:val="2E74B5"/>
          <w:sz w:val="26"/>
          <w:szCs w:val="26"/>
        </w:rPr>
        <w:t xml:space="preserve">5.1 Principales hallazgos</w:t>
      </w:r>
    </w:p>
    <w:p>
      <w:pPr>
        <w:spacing w:after="200" w:line="320"/>
        <w:jc w:val="both"/>
      </w:pPr>
      <w:r>
        <w:rPr>
          <w:rFonts w:ascii="Calibri" w:cs="Calibri" w:eastAsia="Calibri" w:hAnsi="Calibri"/>
          <w:sz w:val="22"/>
          <w:szCs w:val="22"/>
        </w:rPr>
        <w:t xml:space="preserve">Del análisis realizado se desprenden seis hallazgos principales que ordenan el resto del plan y deben tenerse presentes en cualquier decisión comercial de Coolbox en 2026.</w:t>
      </w:r>
    </w:p>
    <w:p>
      <w:pPr>
        <w:spacing w:after="200" w:line="320"/>
        <w:jc w:val="both"/>
      </w:pPr>
      <w:r>
        <w:rPr>
          <w:rFonts w:ascii="Calibri" w:cs="Calibri" w:eastAsia="Calibri" w:hAnsi="Calibri"/>
          <w:b/>
          <w:bCs/>
          <w:i w:val="false"/>
          <w:iCs w:val="false"/>
          <w:sz w:val="22"/>
          <w:szCs w:val="22"/>
        </w:rPr>
        <w:t xml:space="preserve">Primero, </w:t>
      </w:r>
      <w:r>
        <w:rPr>
          <w:rFonts w:ascii="Calibri" w:cs="Calibri" w:eastAsia="Calibri" w:hAnsi="Calibri"/>
          <w:b w:val="false"/>
          <w:bCs w:val="false"/>
          <w:i w:val="false"/>
          <w:iCs w:val="false"/>
          <w:sz w:val="22"/>
          <w:szCs w:val="22"/>
        </w:rPr>
        <w:t xml:space="preserve">el mercado tecnológico peruano está en plena recuperación. Tras años negativos, el sector creció +8% en 2025 según NielsenIQ, y el e-commerce alcanzó USD 15.6 mil millones según CAPECE, con 60% de adultos comprando online. El consumo no es una pregunta sobre si habrá demanda, sino sobre quién logra capturarla.</w:t>
      </w:r>
    </w:p>
    <w:p>
      <w:pPr>
        <w:spacing w:after="200" w:line="320"/>
        <w:jc w:val="both"/>
      </w:pPr>
      <w:r>
        <w:rPr>
          <w:rFonts w:ascii="Calibri" w:cs="Calibri" w:eastAsia="Calibri" w:hAnsi="Calibri"/>
          <w:b/>
          <w:bCs/>
          <w:i w:val="false"/>
          <w:iCs w:val="false"/>
          <w:sz w:val="22"/>
          <w:szCs w:val="22"/>
        </w:rPr>
        <w:t xml:space="preserve">Segundo, </w:t>
      </w:r>
      <w:r>
        <w:rPr>
          <w:rFonts w:ascii="Calibri" w:cs="Calibri" w:eastAsia="Calibri" w:hAnsi="Calibri"/>
          <w:b w:val="false"/>
          <w:bCs w:val="false"/>
          <w:i w:val="false"/>
          <w:iCs w:val="false"/>
          <w:sz w:val="22"/>
          <w:szCs w:val="22"/>
        </w:rPr>
        <w:t xml:space="preserve">Coolbox tiene una ventaja omnicanal real y difícilmente replicable: más de 150 tiendas físicas combinadas con un Click &amp; Collect de 18 minutos al que llega el 80% de los pedidos online según declaración de Marcelo Bazán a El Comercio (2025). Esta capilaridad es el activo más difícil de copiar para rivales puramente digitales como Mercado Libre.</w:t>
      </w:r>
    </w:p>
    <w:p>
      <w:pPr>
        <w:spacing w:after="200" w:line="320"/>
        <w:jc w:val="both"/>
      </w:pPr>
      <w:r>
        <w:rPr>
          <w:rFonts w:ascii="Calibri" w:cs="Calibri" w:eastAsia="Calibri" w:hAnsi="Calibri"/>
          <w:b/>
          <w:bCs/>
          <w:i w:val="false"/>
          <w:iCs w:val="false"/>
          <w:sz w:val="22"/>
          <w:szCs w:val="22"/>
        </w:rPr>
        <w:t xml:space="preserve">Tercero, </w:t>
      </w:r>
      <w:r>
        <w:rPr>
          <w:rFonts w:ascii="Calibri" w:cs="Calibri" w:eastAsia="Calibri" w:hAnsi="Calibri"/>
          <w:b w:val="false"/>
          <w:bCs w:val="false"/>
          <w:i w:val="false"/>
          <w:iCs w:val="false"/>
          <w:sz w:val="22"/>
          <w:szCs w:val="22"/>
        </w:rPr>
        <w:t xml:space="preserve">el joven profesional digital es el segmento estructuralmente ganador. Concentra el 47% de los compradores digitales peruanos según CAPECE, tiene alto LTV y compra de forma omnicanal. Hiraoka no lo ha apropiado por estar centrada en línea blanca; Coolbox tiene una oportunidad clara y debe invertir agresivamente en captarlo.</w:t>
      </w:r>
    </w:p>
    <w:p>
      <w:pPr>
        <w:spacing w:after="200" w:line="320"/>
        <w:jc w:val="both"/>
      </w:pPr>
      <w:r>
        <w:rPr>
          <w:rFonts w:ascii="Calibri" w:cs="Calibri" w:eastAsia="Calibri" w:hAnsi="Calibri"/>
          <w:b/>
          <w:bCs/>
          <w:i w:val="false"/>
          <w:iCs w:val="false"/>
          <w:sz w:val="22"/>
          <w:szCs w:val="22"/>
        </w:rPr>
        <w:t xml:space="preserve">Cuarto, </w:t>
      </w:r>
      <w:r>
        <w:rPr>
          <w:rFonts w:ascii="Calibri" w:cs="Calibri" w:eastAsia="Calibri" w:hAnsi="Calibri"/>
          <w:b w:val="false"/>
          <w:bCs w:val="false"/>
          <w:i w:val="false"/>
          <w:iCs w:val="false"/>
          <w:sz w:val="22"/>
          <w:szCs w:val="22"/>
        </w:rPr>
        <w:t xml:space="preserve">la ausencia de tarjeta de crédito propia es la mayor debilidad relativa frente a competidores. Falabella ofrece hasta 18 cuotas sin intereses con CMR, y Ripley tiene una propuesta similar. Coolbox debe cerrar esta brecha mediante convenios bancarios estructurados y un programa de fidelización propio (Coolbox Tech Club) que funcione como sustituto funcional sin requerir la apertura de una nueva tarjeta.</w:t>
      </w:r>
    </w:p>
    <w:p>
      <w:pPr>
        <w:spacing w:after="200" w:line="320"/>
        <w:jc w:val="both"/>
      </w:pPr>
      <w:r>
        <w:rPr>
          <w:rFonts w:ascii="Calibri" w:cs="Calibri" w:eastAsia="Calibri" w:hAnsi="Calibri"/>
          <w:b/>
          <w:bCs/>
          <w:i w:val="false"/>
          <w:iCs w:val="false"/>
          <w:sz w:val="22"/>
          <w:szCs w:val="22"/>
        </w:rPr>
        <w:t xml:space="preserve">Quinto, </w:t>
      </w:r>
      <w:r>
        <w:rPr>
          <w:rFonts w:ascii="Calibri" w:cs="Calibri" w:eastAsia="Calibri" w:hAnsi="Calibri"/>
          <w:b w:val="false"/>
          <w:bCs w:val="false"/>
          <w:i w:val="false"/>
          <w:iCs w:val="false"/>
          <w:sz w:val="22"/>
          <w:szCs w:val="22"/>
        </w:rPr>
        <w:t xml:space="preserve">las marcas propias son la palanca estructural de margen. Teraware, Teraware 4 Gaming, Radioshack, GMobile y otras permiten alcanzar el margen bruto blended del 32% requerido por la operación. El benchmark Miray-Hiraoka, que representa el 50% del volumen de esa cadena según declaraciones de Jiro Hiraoka a Gestión, marca el techo posible al que Coolbox debe aspirar en el mediano plazo.</w:t>
      </w:r>
    </w:p>
    <w:p>
      <w:pPr>
        <w:spacing w:after="200" w:line="320"/>
        <w:jc w:val="both"/>
      </w:pPr>
      <w:r>
        <w:rPr>
          <w:rFonts w:ascii="Calibri" w:cs="Calibri" w:eastAsia="Calibri" w:hAnsi="Calibri"/>
          <w:b/>
          <w:bCs/>
          <w:i w:val="false"/>
          <w:iCs w:val="false"/>
          <w:sz w:val="22"/>
          <w:szCs w:val="22"/>
        </w:rPr>
        <w:t xml:space="preserve">Sexto, </w:t>
      </w:r>
      <w:r>
        <w:rPr>
          <w:rFonts w:ascii="Calibri" w:cs="Calibri" w:eastAsia="Calibri" w:hAnsi="Calibri"/>
          <w:b w:val="false"/>
          <w:bCs w:val="false"/>
          <w:i w:val="false"/>
          <w:iCs w:val="false"/>
          <w:sz w:val="22"/>
          <w:szCs w:val="22"/>
        </w:rPr>
        <w:t xml:space="preserve">el calendario comercial peruano está cada vez más concentrado en pocos hitos. Solo el Cyber Wow de noviembre 2025 creció +161% en ventas vs. semanas previas según IAB Perú; noviembre y diciembre concentran el 22.5% del año proyectado. La preparación operativa para el cuarto trimestre debe ser la prioridad de capacidades del año.</w:t>
      </w:r>
    </w:p>
    <w:p>
      <w:pPr>
        <w:pStyle w:val="Heading2"/>
        <w:spacing w:after="160" w:before="280"/>
      </w:pPr>
      <w:r>
        <w:rPr>
          <w:rFonts w:ascii="Calibri" w:cs="Calibri" w:eastAsia="Calibri" w:hAnsi="Calibri"/>
          <w:b/>
          <w:bCs/>
          <w:color w:val="2E74B5"/>
          <w:sz w:val="26"/>
          <w:szCs w:val="26"/>
        </w:rPr>
        <w:t xml:space="preserve">5.2 Recomendaciones estratégicas</w:t>
      </w:r>
    </w:p>
    <w:p>
      <w:pPr>
        <w:spacing w:after="200" w:line="320"/>
        <w:jc w:val="both"/>
      </w:pPr>
      <w:r>
        <w:rPr>
          <w:rFonts w:ascii="Calibri" w:cs="Calibri" w:eastAsia="Calibri" w:hAnsi="Calibri"/>
          <w:sz w:val="22"/>
          <w:szCs w:val="22"/>
        </w:rPr>
        <w:t xml:space="preserve">El plan comercial se traduce en una hoja de ruta trimestral 2026 con acciones priorizadas y secuenciadas. Cada trimestre tiene un foco operativo distinto.</w:t>
      </w:r>
    </w:p>
    <w:p>
      <w:pPr>
        <w:pStyle w:val="Heading3"/>
        <w:spacing w:after="140" w:before="220"/>
      </w:pPr>
      <w:r>
        <w:rPr>
          <w:rFonts w:ascii="Calibri" w:cs="Calibri" w:eastAsia="Calibri" w:hAnsi="Calibri"/>
          <w:b/>
          <w:bCs/>
          <w:color w:val="2E74B5"/>
          <w:sz w:val="24"/>
          <w:szCs w:val="24"/>
        </w:rPr>
        <w:t xml:space="preserve">Primer trimestre: Quick wins</w:t>
      </w:r>
    </w:p>
    <w:p>
      <w:pPr>
        <w:spacing w:after="200" w:line="320"/>
        <w:jc w:val="both"/>
      </w:pPr>
      <w:r>
        <w:rPr>
          <w:rFonts w:ascii="Calibri" w:cs="Calibri" w:eastAsia="Calibri" w:hAnsi="Calibri"/>
          <w:sz w:val="22"/>
          <w:szCs w:val="22"/>
        </w:rPr>
        <w:t xml:space="preserve">El primer trimestre se concentra en cinco acciones que pueden ejecutarse rápidamente y generar impacto medible antes del Cyber Wow de abril. Primero, lanzar el Coolbox Tech Club con cashback transferible a Yape o Plin; segundo, cerrar los convenios de 9 a 12 cuotas sin intereses con Diners e Interbank para los grandes hitos del calendario; tercero, activar a los tres tech reviewers ancla (Phillip Chu Joy, Arturo Goga y Tekibocas) con contrato anual; cuarto, implementar stock en vivo en coolbox.pe, lo que típicamente recupera entre el 5% y el 10% de carritos abandonados; quinto, publicar de forma transparente la política de price-matching, comunicando que solo se igualan precios de competidores formales.</w:t>
      </w:r>
    </w:p>
    <w:p>
      <w:pPr>
        <w:pStyle w:val="Heading3"/>
        <w:spacing w:after="140" w:before="220"/>
      </w:pPr>
      <w:r>
        <w:rPr>
          <w:rFonts w:ascii="Calibri" w:cs="Calibri" w:eastAsia="Calibri" w:hAnsi="Calibri"/>
          <w:b/>
          <w:bCs/>
          <w:color w:val="2E74B5"/>
          <w:sz w:val="24"/>
          <w:szCs w:val="24"/>
        </w:rPr>
        <w:t xml:space="preserve">Segundo trimestre: Capacidades</w:t>
      </w:r>
    </w:p>
    <w:p>
      <w:pPr>
        <w:spacing w:after="200" w:line="320"/>
        <w:jc w:val="both"/>
      </w:pPr>
      <w:r>
        <w:rPr>
          <w:rFonts w:ascii="Calibri" w:cs="Calibri" w:eastAsia="Calibri" w:hAnsi="Calibri"/>
          <w:sz w:val="22"/>
          <w:szCs w:val="22"/>
        </w:rPr>
        <w:t xml:space="preserve">El segundo trimestre se enfoca en construir capacidades operativas de mediano plazo. Las acciones prioritarias son: implementar el formato Coolbox Gaming Zone en 6 a 8 tiendas flagship; cerrar el patrocinio de un circuito local de esports en Dota 2, FIFA o Free Fire; ampliar el catálogo de marcas propias con más de 30 SKU nuevos en Teraware 4 Gaming, GMobile y Radioshack; integrar la logística inversa con drop-off de devoluciones en cualquiera de las 150 tiendas vía código QR; y unificar el OMS y el CRM para que el cliente sea identificable de forma consistente en cualquier canal.</w:t>
      </w:r>
    </w:p>
    <w:p>
      <w:pPr>
        <w:pStyle w:val="Heading3"/>
        <w:spacing w:after="140" w:before="220"/>
      </w:pPr>
      <w:r>
        <w:rPr>
          <w:rFonts w:ascii="Calibri" w:cs="Calibri" w:eastAsia="Calibri" w:hAnsi="Calibri"/>
          <w:b/>
          <w:bCs/>
          <w:color w:val="2E74B5"/>
          <w:sz w:val="24"/>
          <w:szCs w:val="24"/>
        </w:rPr>
        <w:t xml:space="preserve">Tercer trimestre: Mundial FIFA y Cyber Wow de julio</w:t>
      </w:r>
    </w:p>
    <w:p>
      <w:pPr>
        <w:spacing w:after="200" w:line="320"/>
        <w:jc w:val="both"/>
      </w:pPr>
      <w:r>
        <w:rPr>
          <w:rFonts w:ascii="Calibri" w:cs="Calibri" w:eastAsia="Calibri" w:hAnsi="Calibri"/>
          <w:sz w:val="22"/>
          <w:szCs w:val="22"/>
        </w:rPr>
        <w:t xml:space="preserve">El tercer trimestre se organiza alrededor del Mundial FIFA 2026 y el Cyber Wow de julio. Las acciones son: lanzar la campaña 360° "Vive el Mundial en HD con Coolbox"; armar bundles de smart TV más soundbar más sillas gamer; ejecutar un operativo especial para Cyber Wow de julio con preparación de stock, capacitación de vendedores y plan de inversión digital; iniciar el live commerce mensual desde tiendas flagship; y preparar la activación de TikTok Shop para el momento en que se habilite en Perú.</w:t>
      </w:r>
    </w:p>
    <w:p>
      <w:pPr>
        <w:pStyle w:val="Heading3"/>
        <w:spacing w:after="140" w:before="220"/>
      </w:pPr>
      <w:r>
        <w:rPr>
          <w:rFonts w:ascii="Calibri" w:cs="Calibri" w:eastAsia="Calibri" w:hAnsi="Calibri"/>
          <w:b/>
          <w:bCs/>
          <w:color w:val="2E74B5"/>
          <w:sz w:val="24"/>
          <w:szCs w:val="24"/>
        </w:rPr>
        <w:t xml:space="preserve">Cuarto trimestre: Ejecución pico</w:t>
      </w:r>
    </w:p>
    <w:p>
      <w:pPr>
        <w:spacing w:after="200" w:line="320"/>
        <w:jc w:val="both"/>
      </w:pPr>
      <w:r>
        <w:rPr>
          <w:rFonts w:ascii="Calibri" w:cs="Calibri" w:eastAsia="Calibri" w:hAnsi="Calibri"/>
          <w:sz w:val="22"/>
          <w:szCs w:val="22"/>
        </w:rPr>
        <w:t xml:space="preserve">El cuarto trimestre concentra la mayor presión operativa. Las acciones son: operativo conjunto Cyber Wow de noviembre y Black Friday; campaña Navidad omnicanal; cumplir el plan de 25 aperturas nuevas para llegar a las 173 tiendas al cierre; piloto de Coolbox+ (suscripción mensual de S/29 con garantía extendida y envíos express ilimitados) con 1,000 clientes; y cierre del año con NPS igual o superior a 60 y crecimiento de +19% versus 2025.</w:t>
      </w:r>
    </w:p>
    <w:p>
      <w:pPr>
        <w:pStyle w:val="Heading3"/>
        <w:spacing w:after="140" w:before="220"/>
      </w:pPr>
      <w:r>
        <w:rPr>
          <w:rFonts w:ascii="Calibri" w:cs="Calibri" w:eastAsia="Calibri" w:hAnsi="Calibri"/>
          <w:b/>
          <w:bCs/>
          <w:color w:val="2E74B5"/>
          <w:sz w:val="24"/>
          <w:szCs w:val="24"/>
        </w:rPr>
        <w:t xml:space="preserve">Cinco principios transversales</w:t>
      </w:r>
    </w:p>
    <w:p>
      <w:pPr>
        <w:spacing w:after="200" w:line="320"/>
        <w:jc w:val="both"/>
      </w:pPr>
      <w:r>
        <w:rPr>
          <w:rFonts w:ascii="Calibri" w:cs="Calibri" w:eastAsia="Calibri" w:hAnsi="Calibri"/>
          <w:sz w:val="22"/>
          <w:szCs w:val="22"/>
        </w:rPr>
        <w:t xml:space="preserve">Más allá de las acciones específicas por trimestre, cinco principios deben guiar transversalmente la toma de decisiones a lo largo del año: defender el Click &amp; Collect de 18 minutos como activo competitivo central; empujar el peso de las marcas propias hasta el 25% del volumen; cerrar la brecha de financiamiento sin necesidad de abrir una tarjeta de crédito propia; ganar de forma sostenida el segmento joven profesional digital y el segmento gamer; y no entrar a la guerra de precios centavo por centavo con Mercado Libre y Temu.</w:t>
      </w:r>
    </w:p>
    <w:p>
      <w:pPr>
        <w:pStyle w:val="Heading2"/>
        <w:spacing w:after="160" w:before="280"/>
      </w:pPr>
      <w:r>
        <w:rPr>
          <w:rFonts w:ascii="Calibri" w:cs="Calibri" w:eastAsia="Calibri" w:hAnsi="Calibri"/>
          <w:b/>
          <w:bCs/>
          <w:color w:val="2E74B5"/>
          <w:sz w:val="26"/>
          <w:szCs w:val="26"/>
        </w:rPr>
        <w:t xml:space="preserve">5.3 Conclusión general del trabajo</w:t>
      </w:r>
    </w:p>
    <w:p>
      <w:pPr>
        <w:spacing w:after="200" w:line="320"/>
        <w:jc w:val="both"/>
      </w:pPr>
      <w:r>
        <w:rPr>
          <w:rFonts w:ascii="Calibri" w:cs="Calibri" w:eastAsia="Calibri" w:hAnsi="Calibri"/>
          <w:sz w:val="22"/>
          <w:szCs w:val="22"/>
        </w:rPr>
        <w:t xml:space="preserve">El presente plan comercial demuestra que Coolbox no debe pelear todas las guerras del retail tecnológico peruano. No tiene la escala para competir en costos puros contra Mercado Libre o Temu, no tiene la multicategoría para enfrentar a Falabella y Ripley en su propio terreno, ni tiene el brazo financiero para competir cuota por cuota contra CMR Puntos. Pretender hacerlo todo destruiría margen sin construir defensas sostenibles.</w:t>
      </w:r>
    </w:p>
    <w:p>
      <w:pPr>
        <w:spacing w:after="200" w:line="320"/>
        <w:jc w:val="both"/>
      </w:pPr>
      <w:r>
        <w:rPr>
          <w:rFonts w:ascii="Calibri" w:cs="Calibri" w:eastAsia="Calibri" w:hAnsi="Calibri"/>
          <w:sz w:val="22"/>
          <w:szCs w:val="22"/>
        </w:rPr>
        <w:t xml:space="preserve">Su jugada correcta, respaldada por el marco de Porter (1980, 1985) y por la evidencia del mercado peruano 2025-2026, es la diferenciación enfocada en retail tecnológico omnicanal. Esta estrategia se apalanca en tres activos reales que la empresa ya posee y que sus competidores difícilmente pueden replicar en el corto plazo: una red de más de 150 tiendas físicas con una proyección de 200 al 2027, un portafolio creciente de marcas propias que captura márgenes superiores en categorías sensibles al precio, y una promesa de Click &amp; Collect en 18 minutos que ningún rival puramente digital puede igualar.</w:t>
      </w:r>
    </w:p>
    <w:p>
      <w:pPr>
        <w:spacing w:after="200" w:line="320"/>
        <w:jc w:val="both"/>
      </w:pPr>
      <w:r>
        <w:rPr>
          <w:rFonts w:ascii="Calibri" w:cs="Calibri" w:eastAsia="Calibri" w:hAnsi="Calibri"/>
          <w:sz w:val="22"/>
          <w:szCs w:val="22"/>
        </w:rPr>
        <w:t xml:space="preserve">Con la proyección de S/545 millones para 2026 confirmada por el CEO en El Comercio (2025), un punto de equilibrio operativo de S/39.6 millones mensuales alcanzable desde marzo en términos acumulados, una utilidad operativa esperada de S/70 millones equivalente al 13% del ingreso, y un tablero de 12 KPIs monitoreados con disciplina semanal y mensual, el plan es ambicioso pero ejecutable. La meta de crecer 19% en 2026 es coherente con el primer trimestre que ya viene cerrando en +26%, y la meta de 200 tiendas al 2027 es realista dada la trayectoria de expansión demostrada por la compañía. El plan no se sostiene en supuestos optimistas sino en activos comprobados y en una lectura disciplinada del mercado peruano.</w:t>
      </w:r>
    </w:p>
    <w:p>
      <w:pPr>
        <w:pStyle w:val="Heading2"/>
        <w:spacing w:after="160" w:before="280"/>
      </w:pPr>
      <w:r>
        <w:rPr>
          <w:rFonts w:ascii="Calibri" w:cs="Calibri" w:eastAsia="Calibri" w:hAnsi="Calibri"/>
          <w:b/>
          <w:bCs/>
          <w:color w:val="2E74B5"/>
          <w:sz w:val="26"/>
          <w:szCs w:val="26"/>
        </w:rPr>
        <w:t xml:space="preserve">5.4 Anexos</w:t>
      </w:r>
    </w:p>
    <w:p>
      <w:pPr>
        <w:spacing w:after="200" w:line="320"/>
        <w:jc w:val="both"/>
      </w:pPr>
      <w:r>
        <w:rPr>
          <w:rFonts w:ascii="Calibri" w:cs="Calibri" w:eastAsia="Calibri" w:hAnsi="Calibri"/>
          <w:sz w:val="22"/>
          <w:szCs w:val="22"/>
        </w:rPr>
        <w:t xml:space="preserve">Los anexos consolidan el material cuantitativo y visual que sustenta el plan comercial. El Anexo A reúne las tablas de cálculo del trabajo en formato consolidado. El Anexo B incluye los gráficos y visualizaciones generadas. El Anexo C resume las notas metodológicas que enmarcan los análisis presentados.</w:t>
      </w:r>
    </w:p>
    <w:p>
      <w:pPr>
        <w:pStyle w:val="Heading3"/>
        <w:spacing w:after="140" w:before="220"/>
      </w:pPr>
      <w:r>
        <w:rPr>
          <w:rFonts w:ascii="Calibri" w:cs="Calibri" w:eastAsia="Calibri" w:hAnsi="Calibri"/>
          <w:b/>
          <w:bCs/>
          <w:color w:val="2E74B5"/>
          <w:sz w:val="24"/>
          <w:szCs w:val="24"/>
        </w:rPr>
        <w:t xml:space="preserve">5.4.1 Anexo A: Tablas de cálculo</w:t>
      </w:r>
    </w:p>
    <w:p>
      <w:pPr>
        <w:spacing w:after="200" w:line="320"/>
        <w:jc w:val="both"/>
      </w:pPr>
      <w:r>
        <w:rPr>
          <w:rFonts w:ascii="Calibri" w:cs="Calibri" w:eastAsia="Calibri" w:hAnsi="Calibri"/>
          <w:b/>
          <w:bCs/>
          <w:i/>
          <w:iCs/>
          <w:sz w:val="22"/>
          <w:szCs w:val="22"/>
        </w:rPr>
        <w:t xml:space="preserve">Tabla A.1 — Proyección mensual de ventas 2026 (S/ millones)</w:t>
      </w:r>
    </w:p>
    <w:p>
      <w:pPr>
        <w:spacing w:after="12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500"/>
        <w:gridCol w:w="5000"/>
      </w:tblGrid>
      <w:tr>
        <w:trPr>
          <w:tblHeader/>
        </w:trPr>
        <w:tc>
          <w:tcPr>
            <w:tcW w:type="dxa" w:w="1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Mes</w:t>
            </w:r>
          </w:p>
        </w:tc>
        <w:tc>
          <w:tcPr>
            <w:tcW w:type="dxa" w:w="1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Ventas (S/M)</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del año</w:t>
            </w:r>
          </w:p>
        </w:tc>
        <w:tc>
          <w:tcPr>
            <w:tcW w:type="dxa" w:w="5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Driver principal</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Enero</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35.4</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6.5%</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Back to School + verano</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Febrero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38.2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7.0%</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Back to School pico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Marzo</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40.9</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7.5%</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Cierre BTS + Cyber CCL</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Abril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46.3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8.5%</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Pre-Día de la Madre + Cyber Wow</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Mayo</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51.8</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9.5%</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Día de la Madre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Junio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46.3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8.5%</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Día del Padre + Mundial FIFA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Julio</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54.5</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10.0%</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Cyber Wow + Mundial + Fiestas Patrias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Agosto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32.7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6.0%</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Valle estacional</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Setiembre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35.4</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6.5%</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Día del Niño + remates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Octubre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40.9</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7.5%</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Pre-Cyber + lanzamientos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Noviembre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62.7</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11.5%</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Cyber Wow + Black Friday (pico)</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Diciembre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11.0%</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Navidad</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TOTAL</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545.0</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100%</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Crecimiento +19% vs. 2025</w:t>
            </w:r>
          </w:p>
        </w:tc>
      </w:tr>
    </w:tbl>
    <w:p>
      <w:pPr>
        <w:spacing w:after="120"/>
      </w:pPr>
      <w:r>
        <w:t xml:space="preserve"/>
      </w:r>
    </w:p>
    <w:p>
      <w:pPr>
        <w:spacing w:after="200" w:line="320"/>
        <w:jc w:val="both"/>
      </w:pPr>
      <w:r>
        <w:rPr>
          <w:rFonts w:ascii="Calibri" w:cs="Calibri" w:eastAsia="Calibri" w:hAnsi="Calibri"/>
          <w:b/>
          <w:bCs/>
          <w:i/>
          <w:iCs/>
          <w:sz w:val="22"/>
          <w:szCs w:val="22"/>
        </w:rPr>
        <w:t xml:space="preserve">Tabla A.2 — Detalle mensual de comisiones esperadas 2026</w:t>
      </w:r>
    </w:p>
    <w:p>
      <w:pPr>
        <w:spacing w:after="12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400"/>
        <w:gridCol w:w="1700"/>
        <w:gridCol w:w="1500"/>
        <w:gridCol w:w="1300"/>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Mes</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Ventas (S/M)</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Base 1.5%</w:t>
            </w:r>
          </w:p>
        </w:tc>
        <w:tc>
          <w:tcPr>
            <w:tcW w:type="dxa" w:w="1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Bonos mix+cuota</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Total (S/M)</w:t>
            </w:r>
          </w:p>
        </w:tc>
        <w:tc>
          <w:tcPr>
            <w:tcW w:type="dxa" w:w="13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s/ventas</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Enero</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35.4</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0.53</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0.35</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0.88</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Febrero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38.2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0.57</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0.38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Marzo</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40.9</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0.61</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0.41</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1.02</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Abril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46.3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0.69</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0.48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1.17</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Mayo</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51.8</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0.78</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0.55</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1.33</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2.6%</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Junio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46.3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0.69</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0.48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1.17</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Julio</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54.5</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0.82</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0.59</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1.41</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2.6%</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Agosto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32.7</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0.49</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0.32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Setiembre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35.4</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0.53</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0.35</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0.88</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Octubre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40.9</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0.61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0.41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Noviembre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62.7</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0.94</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0.74</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1.68</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2.7%</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Diciembre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60.0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0.70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1.60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2.7%</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TOTAL AÑO</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545.0</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8.18</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5.40</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13.58</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r>
    </w:tbl>
    <w:p>
      <w:pPr>
        <w:spacing w:after="120"/>
      </w:pPr>
      <w:r>
        <w:t xml:space="preserve"/>
      </w:r>
    </w:p>
    <w:p>
      <w:pPr>
        <w:spacing w:after="200" w:line="320"/>
        <w:jc w:val="both"/>
      </w:pPr>
      <w:r>
        <w:rPr>
          <w:rFonts w:ascii="Calibri" w:cs="Calibri" w:eastAsia="Calibri" w:hAnsi="Calibri"/>
          <w:b/>
          <w:bCs/>
          <w:i/>
          <w:iCs/>
          <w:sz w:val="22"/>
          <w:szCs w:val="22"/>
        </w:rPr>
        <w:t xml:space="preserve">Tabla A.3 — Estructura de costos fijos mensuales</w:t>
      </w:r>
    </w:p>
    <w:p>
      <w:pPr>
        <w:spacing w:after="12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00"/>
      </w:tblGrid>
      <w:tr>
        <w:trPr>
          <w:tblHeader/>
        </w:trPr>
        <w:tc>
          <w:tcPr>
            <w:tcW w:type="dxa" w:w="4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Rubro</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Monto mensual</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del CF total</w:t>
            </w:r>
          </w:p>
        </w:tc>
      </w:tr>
      <w:tr>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Alquileres y mantenimiento (150 tiendas)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 3.5 M</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36.8%</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Planilla fija (vendedores base + corporativo)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 2.8 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29.5%</w:t>
            </w:r>
          </w:p>
        </w:tc>
      </w:tr>
      <w:tr>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Logística estructural (centros de distribución)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 1.2 M</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12.6%</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Marketing fijo (branding y equipo)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 0.8 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8.4%</w:t>
            </w:r>
          </w:p>
        </w:tc>
      </w:tr>
      <w:tr>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Tecnología (VTEX, sistemas, OMS)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 0.5 M</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5.3%</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Otros gastos administrativos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 0.7 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7.4%</w:t>
            </w:r>
          </w:p>
        </w:tc>
      </w:tr>
      <w:tr>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TOTAL costos fijos mensuales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 9.5 M</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100%</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Costos fijos anuales (~21% facturación)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 114 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r>
    </w:tbl>
    <w:p>
      <w:pPr>
        <w:spacing w:after="120"/>
      </w:pPr>
      <w:r>
        <w:t xml:space="preserve"/>
      </w:r>
    </w:p>
    <w:p>
      <w:pPr>
        <w:spacing w:after="200" w:line="320"/>
        <w:jc w:val="both"/>
      </w:pPr>
      <w:r>
        <w:rPr>
          <w:rFonts w:ascii="Calibri" w:cs="Calibri" w:eastAsia="Calibri" w:hAnsi="Calibri"/>
          <w:b/>
          <w:bCs/>
          <w:i/>
          <w:iCs/>
          <w:sz w:val="22"/>
          <w:szCs w:val="22"/>
        </w:rPr>
        <w:t xml:space="preserve">Tabla A.4 — Estructura de costos variables (porcentaje sobre ventas)</w:t>
      </w:r>
    </w:p>
    <w:p>
      <w:pPr>
        <w:spacing w:after="12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00"/>
      </w:tblGrid>
      <w:tr>
        <w:trPr>
          <w:tblHeader/>
        </w:trPr>
        <w:tc>
          <w:tcPr>
            <w:tcW w:type="dxa" w:w="3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Componente</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sobre ventas</w:t>
            </w:r>
          </w:p>
        </w:tc>
        <w:tc>
          <w:tcPr>
            <w:tcW w:type="dxa" w:w="3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Observación</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Costo del producto (COGS)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68%</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Mejora con marcas propias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Comisiones de venta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Base 1.5% + bonos mix/cuota</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Marketing variable (performance)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Meta, Google, TikTok</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Logística variable (última milla)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1.5%</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Multicourier optimizado</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Comisiones bancarias por cuotas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1.5%</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Diners, Interbank, BCP</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TOTAL costos variables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76%</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Margen de contribución</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24%</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Elevado por marcas propias</w:t>
            </w:r>
          </w:p>
        </w:tc>
      </w:tr>
    </w:tbl>
    <w:p>
      <w:pPr>
        <w:spacing w:after="120"/>
      </w:pPr>
      <w:r>
        <w:t xml:space="preserve"/>
      </w:r>
    </w:p>
    <w:p>
      <w:pPr>
        <w:spacing w:after="200" w:line="320"/>
        <w:jc w:val="both"/>
      </w:pPr>
      <w:r>
        <w:rPr>
          <w:rFonts w:ascii="Calibri" w:cs="Calibri" w:eastAsia="Calibri" w:hAnsi="Calibri"/>
          <w:b/>
          <w:bCs/>
          <w:i/>
          <w:iCs/>
          <w:sz w:val="22"/>
          <w:szCs w:val="22"/>
        </w:rPr>
        <w:t xml:space="preserve">Tabla A.5 — Cálculo del punto de equilibrio operativo</w:t>
      </w:r>
    </w:p>
    <w:p>
      <w:pPr>
        <w:spacing w:after="12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2300"/>
        <w:gridCol w:w="3000"/>
      </w:tblGrid>
      <w:tr>
        <w:trPr>
          <w:tblHeader/>
        </w:trPr>
        <w:tc>
          <w:tcPr>
            <w:tcW w:type="dxa" w:w="4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Concepto</w:t>
            </w:r>
          </w:p>
        </w:tc>
        <w:tc>
          <w:tcPr>
            <w:tcW w:type="dxa" w:w="23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Valor</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Observación</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Costos fijos mensuales (CF)</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 9.5 M</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Ver Tabla A.3</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Margen de contribución (MC)</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Ver Tabla A.4</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Fórmula: PE = CF / MC</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 9.5 M / 0.24</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Punto de equilibrio mensual</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 39.6 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Necesario para no perder</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Punto de equilibrio anual</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 475 M</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87% de la meta 2026</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Facturación proyectada 2026</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 545 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Guía oficial CEO</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Margen de seguridad</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13%</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(545 - 475) / 545</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Utilidad operativa esperada</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 70 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13% del ingreso</w:t>
            </w:r>
          </w:p>
        </w:tc>
      </w:tr>
    </w:tbl>
    <w:p>
      <w:pPr>
        <w:spacing w:after="120"/>
      </w:pPr>
      <w:r>
        <w:t xml:space="preserve"/>
      </w:r>
    </w:p>
    <w:p>
      <w:pPr>
        <w:spacing w:after="200" w:line="320"/>
        <w:jc w:val="both"/>
      </w:pPr>
      <w:r>
        <w:rPr>
          <w:rFonts w:ascii="Calibri" w:cs="Calibri" w:eastAsia="Calibri" w:hAnsi="Calibri"/>
          <w:b/>
          <w:bCs/>
          <w:i/>
          <w:iCs/>
          <w:sz w:val="22"/>
          <w:szCs w:val="22"/>
        </w:rPr>
        <w:t xml:space="preserve">Tabla A.6 — Matriz competitiva frente a los cuatro principales rivales</w:t>
      </w:r>
    </w:p>
    <w:p>
      <w:pPr>
        <w:spacing w:after="12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Dimensión</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Coolbox</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Hiraoka</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PC Factory</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Falabella/Ripley</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Mercado Libre</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Foco</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Tech consumo</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Tech + línea blanca</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Cómputo y gaming</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Multicategoría</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Marketplace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Capilaridad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150+ tiendas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 tiendas Lima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16-17 tiendas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25-30 tiendas c/u</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100% digital</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Ventaja core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Cercanía + omnicanal</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Marca Miray + servicio</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Asesoría experta</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CMR (18 cuotas)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Precio + reseñas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Financiamiento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Convenios bancarios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Convenios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Convenios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Tarjeta propia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Mercado Pago</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Marca propia</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Teraware, T4G, etc.</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Miray (50% vol.)</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Limitada</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Click &amp; Collect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18 min (80% pedidos)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Limitado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Sí</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Sí</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No aplica</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Amenaza para Coolbox</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Media</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Media</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Alta en campañas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Alta y creciente</w:t>
            </w:r>
          </w:p>
        </w:tc>
      </w:tr>
    </w:tbl>
    <w:p>
      <w:pPr>
        <w:spacing w:after="120"/>
      </w:pPr>
      <w:r>
        <w:t xml:space="preserve"/>
      </w:r>
    </w:p>
    <w:p>
      <w:r>
        <w:br w:type="page"/>
      </w:r>
    </w:p>
    <w:p>
      <w:pPr>
        <w:pStyle w:val="Heading3"/>
        <w:spacing w:after="140" w:before="220"/>
      </w:pPr>
      <w:r>
        <w:rPr>
          <w:rFonts w:ascii="Calibri" w:cs="Calibri" w:eastAsia="Calibri" w:hAnsi="Calibri"/>
          <w:b/>
          <w:bCs/>
          <w:color w:val="2E74B5"/>
          <w:sz w:val="24"/>
          <w:szCs w:val="24"/>
        </w:rPr>
        <w:t xml:space="preserve">5.4.2 Anexo B: Gráficos y visualizaciones</w:t>
      </w:r>
    </w:p>
    <w:p>
      <w:pPr>
        <w:spacing w:after="200" w:line="320"/>
        <w:jc w:val="both"/>
      </w:pPr>
      <w:r>
        <w:rPr>
          <w:rFonts w:ascii="Calibri" w:cs="Calibri" w:eastAsia="Calibri" w:hAnsi="Calibri"/>
          <w:sz w:val="22"/>
          <w:szCs w:val="22"/>
        </w:rPr>
        <w:t xml:space="preserve">El presente anexo reúne las visualizaciones generadas para el plan comercial. Cada gráfico está extraído de la presentación complementaria del trabajo y replica con fidelidad la información cuantitativa desarrollada en las secciones correspondientes.</w:t>
      </w:r>
    </w:p>
    <w:p>
      <w:pPr>
        <w:spacing w:after="200" w:line="320"/>
        <w:jc w:val="both"/>
      </w:pPr>
      <w:r>
        <w:rPr>
          <w:rFonts w:ascii="Calibri" w:cs="Calibri" w:eastAsia="Calibri" w:hAnsi="Calibri"/>
          <w:b/>
          <w:bCs/>
          <w:i/>
          <w:iCs/>
          <w:sz w:val="22"/>
          <w:szCs w:val="22"/>
        </w:rPr>
        <w:t xml:space="preserve">Gráfico B.1 — Proyección de ventas mensuales 2026 (S/ millones)</w:t>
      </w:r>
    </w:p>
    <w:p>
      <w:pPr>
        <w:spacing w:after="200" w:line="320"/>
        <w:jc w:val="both"/>
      </w:pPr>
      <w:r>
        <w:rPr>
          <w:rFonts w:ascii="Calibri" w:cs="Calibri" w:eastAsia="Calibri" w:hAnsi="Calibri"/>
          <w:sz w:val="22"/>
          <w:szCs w:val="22"/>
        </w:rPr>
        <w:t xml:space="preserve">El gráfico muestra la distribución mensual de los S/545M proyectados, con identificación visual de los picos estacionales (en negro: julio, noviembre y diciembre) frente a los meses regulares (en rojo). La línea amarilla punteada representa el promedio mensual de S/45.4M, que sirve como referencia para identificar meses sobre o bajo la media.</w:t>
      </w:r>
    </w:p>
    <w:p>
      <w:pPr>
        <w:spacing w:after="120"/>
      </w:pPr>
      <w:r>
        <w:t xml:space="preserve"/>
      </w:r>
    </w:p>
    <w:p>
      <w:pPr>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00" w:line="320"/>
        <w:jc w:val="center"/>
      </w:pPr>
      <w:r>
        <w:rPr>
          <w:rFonts w:ascii="Calibri" w:cs="Calibri" w:eastAsia="Calibri" w:hAnsi="Calibri"/>
          <w:b/>
          <w:bCs/>
          <w:i w:val="false"/>
          <w:iCs w:val="false"/>
          <w:sz w:val="22"/>
          <w:szCs w:val="22"/>
        </w:rPr>
        <w:t xml:space="preserve">Fuente: </w:t>
      </w:r>
      <w:r>
        <w:rPr>
          <w:rFonts w:ascii="Calibri" w:cs="Calibri" w:eastAsia="Calibri" w:hAnsi="Calibri"/>
          <w:b w:val="false"/>
          <w:bCs w:val="false"/>
          <w:i w:val="false"/>
          <w:iCs w:val="false"/>
          <w:sz w:val="22"/>
          <w:szCs w:val="22"/>
        </w:rPr>
        <w:t xml:space="preserve">Elaboración propia con base en datos de Bazán (El Comercio, 2025), NielsenIQ (2025) e IAB Perú (2025).</w:t>
      </w:r>
    </w:p>
    <w:p>
      <w:pPr>
        <w:spacing w:after="120"/>
      </w:pPr>
      <w:r>
        <w:t xml:space="preserve"/>
      </w:r>
    </w:p>
    <w:p>
      <w:r>
        <w:br w:type="page"/>
      </w:r>
    </w:p>
    <w:p>
      <w:pPr>
        <w:spacing w:after="200" w:line="320"/>
        <w:jc w:val="both"/>
      </w:pPr>
      <w:r>
        <w:rPr>
          <w:rFonts w:ascii="Calibri" w:cs="Calibri" w:eastAsia="Calibri" w:hAnsi="Calibri"/>
          <w:b/>
          <w:bCs/>
          <w:i/>
          <w:iCs/>
          <w:sz w:val="22"/>
          <w:szCs w:val="22"/>
        </w:rPr>
        <w:t xml:space="preserve">Gráfico B.2 — Matriz competitiva: dónde gana y dónde defiende Coolbox</w:t>
      </w:r>
    </w:p>
    <w:p>
      <w:pPr>
        <w:spacing w:after="200" w:line="320"/>
        <w:jc w:val="both"/>
      </w:pPr>
      <w:r>
        <w:rPr>
          <w:rFonts w:ascii="Calibri" w:cs="Calibri" w:eastAsia="Calibri" w:hAnsi="Calibri"/>
          <w:sz w:val="22"/>
          <w:szCs w:val="22"/>
        </w:rPr>
        <w:t xml:space="preserve">La matriz visualiza el posicionamiento competitivo de Coolbox frente a sus cuatro rivales directos. Coolbox vence en capilaridad y especialización; defiende en financiamiento vía convenios bancarios; y opta por no entrar a la guerra de precios contra Mercado Libre, sostiendo la diferenciación por servicio, garantía y proximidad.</w:t>
      </w:r>
    </w:p>
    <w:p>
      <w:pPr>
        <w:spacing w:after="120"/>
      </w:pPr>
      <w:r>
        <w:t xml:space="preserve"/>
      </w:r>
    </w:p>
    <w:p>
      <w:pPr>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00" w:line="320"/>
        <w:jc w:val="center"/>
      </w:pPr>
      <w:r>
        <w:rPr>
          <w:rFonts w:ascii="Calibri" w:cs="Calibri" w:eastAsia="Calibri" w:hAnsi="Calibri"/>
          <w:b/>
          <w:bCs/>
          <w:i w:val="false"/>
          <w:iCs w:val="false"/>
          <w:sz w:val="22"/>
          <w:szCs w:val="22"/>
        </w:rPr>
        <w:t xml:space="preserve">Fuente: </w:t>
      </w:r>
      <w:r>
        <w:rPr>
          <w:rFonts w:ascii="Calibri" w:cs="Calibri" w:eastAsia="Calibri" w:hAnsi="Calibri"/>
          <w:b w:val="false"/>
          <w:bCs w:val="false"/>
          <w:i w:val="false"/>
          <w:iCs w:val="false"/>
          <w:sz w:val="22"/>
          <w:szCs w:val="22"/>
        </w:rPr>
        <w:t xml:space="preserve">Elaboración propia con base en El Comercio (2025), Gestión (2024a, 2024c, 2025a) y reportes corporativos públicos.</w:t>
      </w:r>
    </w:p>
    <w:p>
      <w:pPr>
        <w:spacing w:after="120"/>
      </w:pPr>
      <w:r>
        <w:t xml:space="preserve"/>
      </w:r>
    </w:p>
    <w:p>
      <w:r>
        <w:br w:type="page"/>
      </w:r>
    </w:p>
    <w:p>
      <w:pPr>
        <w:spacing w:after="200" w:line="320"/>
        <w:jc w:val="both"/>
      </w:pPr>
      <w:r>
        <w:rPr>
          <w:rFonts w:ascii="Calibri" w:cs="Calibri" w:eastAsia="Calibri" w:hAnsi="Calibri"/>
          <w:b/>
          <w:bCs/>
          <w:i/>
          <w:iCs/>
          <w:sz w:val="22"/>
          <w:szCs w:val="22"/>
        </w:rPr>
        <w:t xml:space="preserve">Gráfico B.3 — Estrategia de precios y calendario comercial 2026</w:t>
      </w:r>
    </w:p>
    <w:p>
      <w:pPr>
        <w:spacing w:after="200" w:line="320"/>
        <w:jc w:val="both"/>
      </w:pPr>
      <w:r>
        <w:rPr>
          <w:rFonts w:ascii="Calibri" w:cs="Calibri" w:eastAsia="Calibri" w:hAnsi="Calibri"/>
          <w:sz w:val="22"/>
          <w:szCs w:val="22"/>
        </w:rPr>
        <w:t xml:space="preserve">La visualización presenta los cinco principios de la estrategia de precios de Coolbox (posicionamiento competitivo, precios psicológicos, cuotas sin intereses, marcas propias y defensa de margen) junto con el calendario comercial detallado para 2026 con la profundidad de descuento sugerida por evento.</w:t>
      </w:r>
    </w:p>
    <w:p>
      <w:pPr>
        <w:spacing w:after="120"/>
      </w:pPr>
      <w:r>
        <w:t xml:space="preserve"/>
      </w:r>
    </w:p>
    <w:p>
      <w:pPr>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00" w:line="320"/>
        <w:jc w:val="center"/>
      </w:pPr>
      <w:r>
        <w:rPr>
          <w:rFonts w:ascii="Calibri" w:cs="Calibri" w:eastAsia="Calibri" w:hAnsi="Calibri"/>
          <w:b/>
          <w:bCs/>
          <w:i w:val="false"/>
          <w:iCs w:val="false"/>
          <w:sz w:val="22"/>
          <w:szCs w:val="22"/>
        </w:rPr>
        <w:t xml:space="preserve">Fuente: </w:t>
      </w:r>
      <w:r>
        <w:rPr>
          <w:rFonts w:ascii="Calibri" w:cs="Calibri" w:eastAsia="Calibri" w:hAnsi="Calibri"/>
          <w:b w:val="false"/>
          <w:bCs w:val="false"/>
          <w:i w:val="false"/>
          <w:iCs w:val="false"/>
          <w:sz w:val="22"/>
          <w:szCs w:val="22"/>
        </w:rPr>
        <w:t xml:space="preserve">Elaboración propia con base en IAB Perú (2025), CAPECE (2025) y Cámara de Comercio de Lima (2025).</w:t>
      </w:r>
    </w:p>
    <w:p>
      <w:pPr>
        <w:spacing w:after="120"/>
      </w:pPr>
      <w:r>
        <w:t xml:space="preserve"/>
      </w:r>
    </w:p>
    <w:p>
      <w:r>
        <w:br w:type="page"/>
      </w:r>
    </w:p>
    <w:p>
      <w:pPr>
        <w:spacing w:after="200" w:line="320"/>
        <w:jc w:val="both"/>
      </w:pPr>
      <w:r>
        <w:rPr>
          <w:rFonts w:ascii="Calibri" w:cs="Calibri" w:eastAsia="Calibri" w:hAnsi="Calibri"/>
          <w:b/>
          <w:bCs/>
          <w:i/>
          <w:iCs/>
          <w:sz w:val="22"/>
          <w:szCs w:val="22"/>
        </w:rPr>
        <w:t xml:space="preserve">Gráfico B.4 — Mix de comunicación 60% digital · 25% BTL · 15% ATL</w:t>
      </w:r>
    </w:p>
    <w:p>
      <w:pPr>
        <w:spacing w:after="200" w:line="320"/>
        <w:jc w:val="both"/>
      </w:pPr>
      <w:r>
        <w:rPr>
          <w:rFonts w:ascii="Calibri" w:cs="Calibri" w:eastAsia="Calibri" w:hAnsi="Calibri"/>
          <w:sz w:val="22"/>
          <w:szCs w:val="22"/>
        </w:rPr>
        <w:t xml:space="preserve">El gráfico presenta el reparto sugerido del presupuesto anual de marketing y la pirámide de voceros y creadores propuesta para 2026. El 60% digital se descompone en 35% performance, 15% branding/contenido, 5% CRM y 5% co-op con marcas; el 25% BTL incluye experiencial (15%) y trade marketing (10%); el 15% ATL combina TV selectiva (10%) y PR (5%).</w:t>
      </w:r>
    </w:p>
    <w:p>
      <w:pPr>
        <w:spacing w:after="120"/>
      </w:pPr>
      <w:r>
        <w:t xml:space="preserve"/>
      </w:r>
    </w:p>
    <w:p>
      <w:pPr>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200" w:line="320"/>
        <w:jc w:val="center"/>
      </w:pPr>
      <w:r>
        <w:rPr>
          <w:rFonts w:ascii="Calibri" w:cs="Calibri" w:eastAsia="Calibri" w:hAnsi="Calibri"/>
          <w:b/>
          <w:bCs/>
          <w:i w:val="false"/>
          <w:iCs w:val="false"/>
          <w:sz w:val="22"/>
          <w:szCs w:val="22"/>
        </w:rPr>
        <w:t xml:space="preserve">Fuente: </w:t>
      </w:r>
      <w:r>
        <w:rPr>
          <w:rFonts w:ascii="Calibri" w:cs="Calibri" w:eastAsia="Calibri" w:hAnsi="Calibri"/>
          <w:b w:val="false"/>
          <w:bCs w:val="false"/>
          <w:i w:val="false"/>
          <w:iCs w:val="false"/>
          <w:sz w:val="22"/>
          <w:szCs w:val="22"/>
        </w:rPr>
        <w:t xml:space="preserve">Elaboración propia con base en Kotler y Keller (2016), HypeAuditor (2026), WIN Internet (2024) y Revista Gana Más (2024).</w:t>
      </w:r>
    </w:p>
    <w:p>
      <w:pPr>
        <w:spacing w:after="120"/>
      </w:pPr>
      <w:r>
        <w:t xml:space="preserve"/>
      </w:r>
    </w:p>
    <w:p>
      <w:r>
        <w:br w:type="page"/>
      </w:r>
    </w:p>
    <w:p>
      <w:pPr>
        <w:pStyle w:val="Heading3"/>
        <w:spacing w:after="140" w:before="220"/>
      </w:pPr>
      <w:r>
        <w:rPr>
          <w:rFonts w:ascii="Calibri" w:cs="Calibri" w:eastAsia="Calibri" w:hAnsi="Calibri"/>
          <w:b/>
          <w:bCs/>
          <w:color w:val="2E74B5"/>
          <w:sz w:val="24"/>
          <w:szCs w:val="24"/>
        </w:rPr>
        <w:t xml:space="preserve">5.4.3 Anexo C: Notas metodológicas</w:t>
      </w:r>
    </w:p>
    <w:p>
      <w:pPr>
        <w:spacing w:after="200" w:line="320"/>
        <w:jc w:val="both"/>
      </w:pPr>
      <w:r>
        <w:rPr>
          <w:rFonts w:ascii="Calibri" w:cs="Calibri" w:eastAsia="Calibri" w:hAnsi="Calibri"/>
          <w:sz w:val="22"/>
          <w:szCs w:val="22"/>
        </w:rPr>
        <w:t xml:space="preserve">El plan se construye aplicando los marcos conceptuales del curso: análisis PESTEL del entorno macro y microeconómico, modelo de las cinco fuerzas de Porter para el análisis competitivo, FODA cruzado para conectar fortalezas y oportunidades, Business Model Canvas para visualizar la propuesta de valor, Value Proposition Canvas para precisar el ajuste con cada segmento, mix de comunicaciones integradas de Kotler y Keller, y proyección financiera básica con cálculo de punto de equilibrio operativo.</w:t>
      </w:r>
    </w:p>
    <w:p>
      <w:pPr>
        <w:spacing w:after="200" w:line="320"/>
        <w:jc w:val="both"/>
      </w:pPr>
      <w:r>
        <w:rPr>
          <w:rFonts w:ascii="Calibri" w:cs="Calibri" w:eastAsia="Calibri" w:hAnsi="Calibri"/>
          <w:sz w:val="22"/>
          <w:szCs w:val="22"/>
        </w:rPr>
        <w:t xml:space="preserve">Los datos del mercado peruano para 2025-2026 provienen de fuentes públicas verificables citadas a lo largo del trabajo: NielsenIQ, GfK, CAPECE, IAB Perú, Cámara de Comercio de Lima, Indecopi, Infomercado, El Comercio, Gestión, entre otras. Las cifras de proyección de Coolbox parten de declaraciones del CEO Marcelo Bazán a El Comercio (2025), no de estados financieros auditados de acceso público; las estimaciones internas de costos fijos y variables son referenciales y deben validarse con la información financiera real de la empresa antes de cualquier ejecución.</w:t>
      </w:r>
    </w:p>
    <w:p>
      <w:pPr>
        <w:spacing w:after="200" w:line="320"/>
        <w:jc w:val="both"/>
      </w:pPr>
      <w:r>
        <w:rPr>
          <w:rFonts w:ascii="Calibri" w:cs="Calibri" w:eastAsia="Calibri" w:hAnsi="Calibri"/>
          <w:sz w:val="22"/>
          <w:szCs w:val="22"/>
        </w:rPr>
        <w:t xml:space="preserve">Para el análisis de influencers se utilizó la métrica de engagement rate provista por HypeAuditor (2026), junto con datos de seguidores publicados por las plataformas (YouTube, TikTok, Instagram, Facebook). Para las comisiones de marketplace se tomó como referencia la información oficial publicada por Mercado Libre Perú (2025) en su Centro de Ayuda. Para la estructura de canales de última milla se utilizaron los reportes sectoriales de Enviame (2025) y Creallo (2026), así como declaraciones de ejecutivos de Olva Courier y Scharff. Para las cifras de billeteras digitales se utilizó la información reportada por Infomercado (2026a, 2026b) sobre Yape y la Superintendencia de Banca, Seguros y AFP.</w:t>
      </w:r>
    </w:p>
    <w:p>
      <w:r>
        <w:br w:type="page"/>
      </w:r>
    </w:p>
    <w:p>
      <w:pPr>
        <w:pStyle w:val="Heading1"/>
        <w:spacing w:after="200" w:before="360"/>
      </w:pPr>
      <w:r>
        <w:rPr>
          <w:rFonts w:ascii="Calibri" w:cs="Calibri" w:eastAsia="Calibri" w:hAnsi="Calibri"/>
          <w:b/>
          <w:bCs/>
          <w:color w:val="1F3864"/>
          <w:sz w:val="32"/>
          <w:szCs w:val="32"/>
        </w:rPr>
        <w:t xml:space="preserve">6. REFERENCIAS BIBLIOGRÁFICAS</w:t>
      </w:r>
    </w:p>
    <w:p>
      <w:pPr>
        <w:spacing w:after="200" w:line="320"/>
        <w:jc w:val="both"/>
      </w:pPr>
      <w:r>
        <w:rPr>
          <w:rFonts w:ascii="Calibri" w:cs="Calibri" w:eastAsia="Calibri" w:hAnsi="Calibri"/>
          <w:sz w:val="22"/>
          <w:szCs w:val="22"/>
        </w:rPr>
        <w:t xml:space="preserve">Las referencias se presentan en formato APA séptima edición. Las fuentes académicas y los reportes sectoriales utilizados se distinguen de las fuentes periodísticas y corporativas citadas como evidencia de mercado.</w:t>
      </w:r>
    </w:p>
    <w:p>
      <w:pPr>
        <w:pStyle w:val="Heading2"/>
        <w:spacing w:after="160" w:before="280"/>
      </w:pPr>
      <w:r>
        <w:rPr>
          <w:rFonts w:ascii="Calibri" w:cs="Calibri" w:eastAsia="Calibri" w:hAnsi="Calibri"/>
          <w:b/>
          <w:bCs/>
          <w:color w:val="2E74B5"/>
          <w:sz w:val="26"/>
          <w:szCs w:val="26"/>
        </w:rPr>
        <w:t xml:space="preserve">Fuentes académicas y conceptuales</w:t>
      </w:r>
    </w:p>
    <w:p>
      <w:pPr>
        <w:pStyle w:val="ListParagraph"/>
        <w:numPr>
          <w:ilvl w:val="0"/>
          <w:numId w:val="1"/>
        </w:numPr>
        <w:spacing w:after="100" w:line="300"/>
        <w:jc w:val="both"/>
      </w:pPr>
      <w:r>
        <w:rPr>
          <w:rFonts w:ascii="Calibri" w:cs="Calibri" w:eastAsia="Calibri" w:hAnsi="Calibri"/>
          <w:sz w:val="22"/>
          <w:szCs w:val="22"/>
        </w:rPr>
        <w:t xml:space="preserve">Kotler, P., &amp; Keller, K. L. (2016). Dirección de marketing (15.ª ed.). Pearson Educación.</w:t>
      </w:r>
    </w:p>
    <w:p>
      <w:pPr>
        <w:pStyle w:val="ListParagraph"/>
        <w:numPr>
          <w:ilvl w:val="0"/>
          <w:numId w:val="1"/>
        </w:numPr>
        <w:spacing w:after="100" w:line="300"/>
        <w:jc w:val="both"/>
      </w:pPr>
      <w:r>
        <w:rPr>
          <w:rFonts w:ascii="Calibri" w:cs="Calibri" w:eastAsia="Calibri" w:hAnsi="Calibri"/>
          <w:sz w:val="22"/>
          <w:szCs w:val="22"/>
        </w:rPr>
        <w:t xml:space="preserve">Porter, M. E. (1980). Competitive strategy: Techniques for analyzing industries and competitors. Free Press.</w:t>
      </w:r>
    </w:p>
    <w:p>
      <w:pPr>
        <w:pStyle w:val="ListParagraph"/>
        <w:numPr>
          <w:ilvl w:val="0"/>
          <w:numId w:val="1"/>
        </w:numPr>
        <w:spacing w:after="100" w:line="300"/>
        <w:jc w:val="both"/>
      </w:pPr>
      <w:r>
        <w:rPr>
          <w:rFonts w:ascii="Calibri" w:cs="Calibri" w:eastAsia="Calibri" w:hAnsi="Calibri"/>
          <w:sz w:val="22"/>
          <w:szCs w:val="22"/>
        </w:rPr>
        <w:t xml:space="preserve">Porter, M. E. (1985). Competitive advantage: Creating and sustaining superior performance. Free Press.</w:t>
      </w:r>
    </w:p>
    <w:p>
      <w:pPr>
        <w:pStyle w:val="Heading2"/>
        <w:spacing w:after="160" w:before="280"/>
      </w:pPr>
      <w:r>
        <w:rPr>
          <w:rFonts w:ascii="Calibri" w:cs="Calibri" w:eastAsia="Calibri" w:hAnsi="Calibri"/>
          <w:b/>
          <w:bCs/>
          <w:color w:val="2E74B5"/>
          <w:sz w:val="26"/>
          <w:szCs w:val="26"/>
        </w:rPr>
        <w:t xml:space="preserve">Reportes sectoriales y gremiales</w:t>
      </w:r>
    </w:p>
    <w:p>
      <w:pPr>
        <w:pStyle w:val="ListParagraph"/>
        <w:numPr>
          <w:ilvl w:val="0"/>
          <w:numId w:val="1"/>
        </w:numPr>
        <w:spacing w:after="100" w:line="300"/>
        <w:jc w:val="both"/>
      </w:pPr>
      <w:r>
        <w:rPr>
          <w:rFonts w:ascii="Calibri" w:cs="Calibri" w:eastAsia="Calibri" w:hAnsi="Calibri"/>
          <w:sz w:val="22"/>
          <w:szCs w:val="22"/>
        </w:rPr>
        <w:t xml:space="preserve">Agencia Órbita. (2025, 21 de agosto). NielsenIQ: Cyber Wow 2025 alcanzó récord en ventas de tecnología y electrodomésticos en Perú. https://agenciaorbita.org/nielseniq-cyber-wow-2025-alcanzo-record-en-ventas-de-tecnologia-y-electrodomesticos-en-peru/</w:t>
      </w:r>
    </w:p>
    <w:p>
      <w:pPr>
        <w:pStyle w:val="ListParagraph"/>
        <w:numPr>
          <w:ilvl w:val="0"/>
          <w:numId w:val="1"/>
        </w:numPr>
        <w:spacing w:after="100" w:line="300"/>
        <w:jc w:val="both"/>
      </w:pPr>
      <w:r>
        <w:rPr>
          <w:rFonts w:ascii="Calibri" w:cs="Calibri" w:eastAsia="Calibri" w:hAnsi="Calibri"/>
          <w:sz w:val="22"/>
          <w:szCs w:val="22"/>
        </w:rPr>
        <w:t xml:space="preserve">Cámara de Comercio de Lima. (2025). Crecimiento sostenido y consolidación del mercado online en Perú. https://lacamara.pe/crecimiento-sostenido-y-consolidacion-del-mercado-online-en-peru/</w:t>
      </w:r>
    </w:p>
    <w:p>
      <w:pPr>
        <w:pStyle w:val="ListParagraph"/>
        <w:numPr>
          <w:ilvl w:val="0"/>
          <w:numId w:val="1"/>
        </w:numPr>
        <w:spacing w:after="100" w:line="300"/>
        <w:jc w:val="both"/>
      </w:pPr>
      <w:r>
        <w:rPr>
          <w:rFonts w:ascii="Calibri" w:cs="Calibri" w:eastAsia="Calibri" w:hAnsi="Calibri"/>
          <w:sz w:val="22"/>
          <w:szCs w:val="22"/>
        </w:rPr>
        <w:t xml:space="preserve">Cámara Peruana de Comercio Electrónico [CAPECE]. (2025). Reporte oficial de comercio electrónico Perú. https://www.capece.org.pe</w:t>
      </w:r>
    </w:p>
    <w:p>
      <w:pPr>
        <w:pStyle w:val="ListParagraph"/>
        <w:numPr>
          <w:ilvl w:val="0"/>
          <w:numId w:val="1"/>
        </w:numPr>
        <w:spacing w:after="100" w:line="300"/>
        <w:jc w:val="both"/>
      </w:pPr>
      <w:r>
        <w:rPr>
          <w:rFonts w:ascii="Calibri" w:cs="Calibri" w:eastAsia="Calibri" w:hAnsi="Calibri"/>
          <w:sz w:val="22"/>
          <w:szCs w:val="22"/>
        </w:rPr>
        <w:t xml:space="preserve">Enviame. (2025). Operadores logísticos en Perú: los 12 mejores proveedores. https://enviame.io/operadores-logisticos-en-peru/</w:t>
      </w:r>
    </w:p>
    <w:p>
      <w:pPr>
        <w:pStyle w:val="ListParagraph"/>
        <w:numPr>
          <w:ilvl w:val="0"/>
          <w:numId w:val="1"/>
        </w:numPr>
        <w:spacing w:after="100" w:line="300"/>
        <w:jc w:val="both"/>
      </w:pPr>
      <w:r>
        <w:rPr>
          <w:rFonts w:ascii="Calibri" w:cs="Calibri" w:eastAsia="Calibri" w:hAnsi="Calibri"/>
          <w:sz w:val="22"/>
          <w:szCs w:val="22"/>
        </w:rPr>
        <w:t xml:space="preserve">HypeAuditor. (2026). Golemcito Games YouTube stats, analytics, net worth and earnings. https://hypeauditor.com/youtube/UC6Ij1c74Gm-TicYZsKL1FAw/</w:t>
      </w:r>
    </w:p>
    <w:p>
      <w:pPr>
        <w:pStyle w:val="ListParagraph"/>
        <w:numPr>
          <w:ilvl w:val="0"/>
          <w:numId w:val="1"/>
        </w:numPr>
        <w:spacing w:after="100" w:line="300"/>
        <w:jc w:val="both"/>
      </w:pPr>
      <w:r>
        <w:rPr>
          <w:rFonts w:ascii="Calibri" w:cs="Calibri" w:eastAsia="Calibri" w:hAnsi="Calibri"/>
          <w:sz w:val="22"/>
          <w:szCs w:val="22"/>
        </w:rPr>
        <w:t xml:space="preserve">IAB Perú. (2025, 12 de diciembre). Ventas del último CyberWow 2025 crecieron más de 161%. https://iabperu.com/2025/12/12/iab-peru-cyberwow-impulsa-el-ano-mas-fuerte-del-retail-digital-con-mas-de-2-5-millones-en-compras-con-tarjeta/</w:t>
      </w:r>
    </w:p>
    <w:p>
      <w:pPr>
        <w:pStyle w:val="ListParagraph"/>
        <w:numPr>
          <w:ilvl w:val="0"/>
          <w:numId w:val="1"/>
        </w:numPr>
        <w:spacing w:after="100" w:line="300"/>
        <w:jc w:val="both"/>
      </w:pPr>
      <w:r>
        <w:rPr>
          <w:rFonts w:ascii="Calibri" w:cs="Calibri" w:eastAsia="Calibri" w:hAnsi="Calibri"/>
          <w:sz w:val="22"/>
          <w:szCs w:val="22"/>
        </w:rPr>
        <w:t xml:space="preserve">KOM. (2025). Tendencias e-commerce Perú 2025-2026. https://kom.pe/tendencias-ecommerce-peru-2025-2026/</w:t>
      </w:r>
    </w:p>
    <w:p>
      <w:pPr>
        <w:pStyle w:val="ListParagraph"/>
        <w:numPr>
          <w:ilvl w:val="0"/>
          <w:numId w:val="1"/>
        </w:numPr>
        <w:spacing w:after="100" w:line="300"/>
        <w:jc w:val="both"/>
      </w:pPr>
      <w:r>
        <w:rPr>
          <w:rFonts w:ascii="Calibri" w:cs="Calibri" w:eastAsia="Calibri" w:hAnsi="Calibri"/>
          <w:sz w:val="22"/>
          <w:szCs w:val="22"/>
        </w:rPr>
        <w:t xml:space="preserve">NielsenIQ. (2025). Análisis del consumo masivo y retail en Perú 2025.</w:t>
      </w:r>
    </w:p>
    <w:p>
      <w:pPr>
        <w:pStyle w:val="ListParagraph"/>
        <w:numPr>
          <w:ilvl w:val="0"/>
          <w:numId w:val="1"/>
        </w:numPr>
        <w:spacing w:after="100" w:line="300"/>
        <w:jc w:val="both"/>
      </w:pPr>
      <w:r>
        <w:rPr>
          <w:rFonts w:ascii="Calibri" w:cs="Calibri" w:eastAsia="Calibri" w:hAnsi="Calibri"/>
          <w:sz w:val="22"/>
          <w:szCs w:val="22"/>
        </w:rPr>
        <w:t xml:space="preserve">Universidad Tecnológica del Perú [UTP]. (2025). Tendencias del consumidor peruano 2025. https://www.utp.edu.pe/blog/novedades-utp/tendencias-del-consumidor-peruano-2025</w:t>
      </w:r>
    </w:p>
    <w:p>
      <w:pPr>
        <w:pStyle w:val="Heading2"/>
        <w:spacing w:after="160" w:before="280"/>
      </w:pPr>
      <w:r>
        <w:rPr>
          <w:rFonts w:ascii="Calibri" w:cs="Calibri" w:eastAsia="Calibri" w:hAnsi="Calibri"/>
          <w:b/>
          <w:bCs/>
          <w:color w:val="2E74B5"/>
          <w:sz w:val="26"/>
          <w:szCs w:val="26"/>
        </w:rPr>
        <w:t xml:space="preserve">Fuentes corporativas y declaraciones de ejecutivos</w:t>
      </w:r>
    </w:p>
    <w:p>
      <w:pPr>
        <w:pStyle w:val="ListParagraph"/>
        <w:numPr>
          <w:ilvl w:val="0"/>
          <w:numId w:val="1"/>
        </w:numPr>
        <w:spacing w:after="100" w:line="300"/>
        <w:jc w:val="both"/>
      </w:pPr>
      <w:r>
        <w:rPr>
          <w:rFonts w:ascii="Calibri" w:cs="Calibri" w:eastAsia="Calibri" w:hAnsi="Calibri"/>
          <w:sz w:val="22"/>
          <w:szCs w:val="22"/>
        </w:rPr>
        <w:t xml:space="preserve">Coolbox. (2025). Quiénes somos. https://www.coolbox.pe/quienes-somos</w:t>
      </w:r>
    </w:p>
    <w:p>
      <w:pPr>
        <w:pStyle w:val="ListParagraph"/>
        <w:numPr>
          <w:ilvl w:val="0"/>
          <w:numId w:val="1"/>
        </w:numPr>
        <w:spacing w:after="100" w:line="300"/>
        <w:jc w:val="both"/>
      </w:pPr>
      <w:r>
        <w:rPr>
          <w:rFonts w:ascii="Calibri" w:cs="Calibri" w:eastAsia="Calibri" w:hAnsi="Calibri"/>
          <w:sz w:val="22"/>
          <w:szCs w:val="22"/>
        </w:rPr>
        <w:t xml:space="preserve">Coolbox. (2025). Tienda oficial en Mercado Libre. https://www.mercadolibre.com.pe/tienda/coolbox</w:t>
      </w:r>
    </w:p>
    <w:p>
      <w:pPr>
        <w:pStyle w:val="ListParagraph"/>
        <w:numPr>
          <w:ilvl w:val="0"/>
          <w:numId w:val="1"/>
        </w:numPr>
        <w:spacing w:after="100" w:line="300"/>
        <w:jc w:val="both"/>
      </w:pPr>
      <w:r>
        <w:rPr>
          <w:rFonts w:ascii="Calibri" w:cs="Calibri" w:eastAsia="Calibri" w:hAnsi="Calibri"/>
          <w:sz w:val="22"/>
          <w:szCs w:val="22"/>
        </w:rPr>
        <w:t xml:space="preserve">Clubfranquicia. (2024). Coolbox refuerza estrategia digital con ingreso a más marketplaces. https://clubfranquicia.pe/noticia/coolbox-refuerza-estrategia-digital-con-ingreso-a-mas-marketplace</w:t>
      </w:r>
    </w:p>
    <w:p>
      <w:pPr>
        <w:pStyle w:val="ListParagraph"/>
        <w:numPr>
          <w:ilvl w:val="0"/>
          <w:numId w:val="1"/>
        </w:numPr>
        <w:spacing w:after="100" w:line="300"/>
        <w:jc w:val="both"/>
      </w:pPr>
      <w:r>
        <w:rPr>
          <w:rFonts w:ascii="Calibri" w:cs="Calibri" w:eastAsia="Calibri" w:hAnsi="Calibri"/>
          <w:sz w:val="22"/>
          <w:szCs w:val="22"/>
        </w:rPr>
        <w:t xml:space="preserve">Hiraoka. (2025). Preguntas frecuentes. https://hiraoka.com.pe/preguntas-frecuentes</w:t>
      </w:r>
    </w:p>
    <w:p>
      <w:pPr>
        <w:pStyle w:val="ListParagraph"/>
        <w:numPr>
          <w:ilvl w:val="0"/>
          <w:numId w:val="1"/>
        </w:numPr>
        <w:spacing w:after="100" w:line="300"/>
        <w:jc w:val="both"/>
      </w:pPr>
      <w:r>
        <w:rPr>
          <w:rFonts w:ascii="Calibri" w:cs="Calibri" w:eastAsia="Calibri" w:hAnsi="Calibri"/>
          <w:sz w:val="22"/>
          <w:szCs w:val="22"/>
        </w:rPr>
        <w:t xml:space="preserve">Mercado Libre Perú. (2025). ¿Cuánto pago por vender un producto? Centro de Ayuda. https://www.mercadolibre.com.pe/ayuda/Costos-de-vender-un-producto_870</w:t>
      </w:r>
    </w:p>
    <w:p>
      <w:pPr>
        <w:pStyle w:val="Heading2"/>
        <w:spacing w:after="160" w:before="280"/>
      </w:pPr>
      <w:r>
        <w:rPr>
          <w:rFonts w:ascii="Calibri" w:cs="Calibri" w:eastAsia="Calibri" w:hAnsi="Calibri"/>
          <w:b/>
          <w:bCs/>
          <w:color w:val="2E74B5"/>
          <w:sz w:val="26"/>
          <w:szCs w:val="26"/>
        </w:rPr>
        <w:t xml:space="preserve">Fuentes periodísticas</w:t>
      </w:r>
    </w:p>
    <w:p>
      <w:pPr>
        <w:pStyle w:val="ListParagraph"/>
        <w:numPr>
          <w:ilvl w:val="0"/>
          <w:numId w:val="1"/>
        </w:numPr>
        <w:spacing w:after="100" w:line="300"/>
        <w:jc w:val="both"/>
      </w:pPr>
      <w:r>
        <w:rPr>
          <w:rFonts w:ascii="Calibri" w:cs="Calibri" w:eastAsia="Calibri" w:hAnsi="Calibri"/>
          <w:sz w:val="22"/>
          <w:szCs w:val="22"/>
        </w:rPr>
        <w:t xml:space="preserve">Creallo. (2026). Envíos e-commerce en Perú 2026: Olva vs. Scharff vs. Motorizados. https://creallo.pe/envios-ecommerce-peru-guia-logistica/</w:t>
      </w:r>
    </w:p>
    <w:p>
      <w:pPr>
        <w:pStyle w:val="ListParagraph"/>
        <w:numPr>
          <w:ilvl w:val="0"/>
          <w:numId w:val="1"/>
        </w:numPr>
        <w:spacing w:after="100" w:line="300"/>
        <w:jc w:val="both"/>
      </w:pPr>
      <w:r>
        <w:rPr>
          <w:rFonts w:ascii="Calibri" w:cs="Calibri" w:eastAsia="Calibri" w:hAnsi="Calibri"/>
          <w:sz w:val="22"/>
          <w:szCs w:val="22"/>
        </w:rPr>
        <w:t xml:space="preserve">El Comercio. (2025). Coolbox: "Se viene un incremento de precios en el mercado mundial [de productos tecnológicos], por ejemplo, de laptops" [Entrevista a Marcelo Bazán]. https://elcomercio.pe/economia/dia-1/coolbox-se-viene-un-incremento-de-precios-en-el-mercado-mundial-de-productos-tecnologicos-por-ejemplo-de-laptops-noticia/</w:t>
      </w:r>
    </w:p>
    <w:p>
      <w:pPr>
        <w:pStyle w:val="ListParagraph"/>
        <w:numPr>
          <w:ilvl w:val="0"/>
          <w:numId w:val="1"/>
        </w:numPr>
        <w:spacing w:after="100" w:line="300"/>
        <w:jc w:val="both"/>
      </w:pPr>
      <w:r>
        <w:rPr>
          <w:rFonts w:ascii="Calibri" w:cs="Calibri" w:eastAsia="Calibri" w:hAnsi="Calibri"/>
          <w:sz w:val="22"/>
          <w:szCs w:val="22"/>
        </w:rPr>
        <w:t xml:space="preserve">El Comercio. (2025). Comercio electrónico peruano cierra el año con 2.5 millones en compras. https://elcomercio.pe/economia/peru/comercio-electronico-peruano-cierra-el-ano-con-25-millones-en-compras-cifra-historica-impulsada-por-el-cyber-wow-l-ciber-wow-l-ultimas-noticia/</w:t>
      </w:r>
    </w:p>
    <w:p>
      <w:pPr>
        <w:pStyle w:val="ListParagraph"/>
        <w:numPr>
          <w:ilvl w:val="0"/>
          <w:numId w:val="1"/>
        </w:numPr>
        <w:spacing w:after="100" w:line="300"/>
        <w:jc w:val="both"/>
      </w:pPr>
      <w:r>
        <w:rPr>
          <w:rFonts w:ascii="Calibri" w:cs="Calibri" w:eastAsia="Calibri" w:hAnsi="Calibri"/>
          <w:sz w:val="22"/>
          <w:szCs w:val="22"/>
        </w:rPr>
        <w:t xml:space="preserve">Gestión. (2024a). Hiraoka apuesta por SJL con nueva megatienda de electrodomésticos: ¿Cuándo abrirá? https://gestion.pe/economia/empresas/hiraoka-apuesta-por-sjl-con-nueva-megatienda-de-electrodomesticos-cuando-abrira-noticia/</w:t>
      </w:r>
    </w:p>
    <w:p>
      <w:pPr>
        <w:pStyle w:val="ListParagraph"/>
        <w:numPr>
          <w:ilvl w:val="0"/>
          <w:numId w:val="1"/>
        </w:numPr>
        <w:spacing w:after="100" w:line="300"/>
        <w:jc w:val="both"/>
      </w:pPr>
      <w:r>
        <w:rPr>
          <w:rFonts w:ascii="Calibri" w:cs="Calibri" w:eastAsia="Calibri" w:hAnsi="Calibri"/>
          <w:sz w:val="22"/>
          <w:szCs w:val="22"/>
        </w:rPr>
        <w:t xml:space="preserve">Gestión. (2024b). Casi el 50% de los peruanos prefieren celulares premium: ¿qué toman en cuenta? https://gestion.pe/economia/empresas/casi-el-50-de-los-peruanos-prefieren-celulares-premium-que-toman-en-cuenta-gfk-tecnologia-peru-smartphone-noticia/</w:t>
      </w:r>
    </w:p>
    <w:p>
      <w:pPr>
        <w:pStyle w:val="ListParagraph"/>
        <w:numPr>
          <w:ilvl w:val="0"/>
          <w:numId w:val="1"/>
        </w:numPr>
        <w:spacing w:after="100" w:line="300"/>
        <w:jc w:val="both"/>
      </w:pPr>
      <w:r>
        <w:rPr>
          <w:rFonts w:ascii="Calibri" w:cs="Calibri" w:eastAsia="Calibri" w:hAnsi="Calibri"/>
          <w:sz w:val="22"/>
          <w:szCs w:val="22"/>
        </w:rPr>
        <w:t xml:space="preserve">Gestión. (2024c). Coolbox y su estrategia para captar el canal digital. https://gestion.pe/economia/empresas/coolbox-y-su-estrategia-para-captar-el-canal-digital-alianzas-claves-audio-rappi-tecnologia-marketplace-falabella-celulares-noticia/</w:t>
      </w:r>
    </w:p>
    <w:p>
      <w:pPr>
        <w:pStyle w:val="ListParagraph"/>
        <w:numPr>
          <w:ilvl w:val="0"/>
          <w:numId w:val="1"/>
        </w:numPr>
        <w:spacing w:after="100" w:line="300"/>
        <w:jc w:val="both"/>
      </w:pPr>
      <w:r>
        <w:rPr>
          <w:rFonts w:ascii="Calibri" w:cs="Calibri" w:eastAsia="Calibri" w:hAnsi="Calibri"/>
          <w:sz w:val="22"/>
          <w:szCs w:val="22"/>
        </w:rPr>
        <w:t xml:space="preserve">Gestión. (2025a). Cinco tendencias que marcarán el consumo peruano hacia el 2026. https://gestion.pe/economia/cinco-tendencias-que-marcaran-el-consumo-peruano-hacia-el-2026-noticia/</w:t>
      </w:r>
    </w:p>
    <w:p>
      <w:pPr>
        <w:pStyle w:val="ListParagraph"/>
        <w:numPr>
          <w:ilvl w:val="0"/>
          <w:numId w:val="1"/>
        </w:numPr>
        <w:spacing w:after="100" w:line="300"/>
        <w:jc w:val="both"/>
      </w:pPr>
      <w:r>
        <w:rPr>
          <w:rFonts w:ascii="Calibri" w:cs="Calibri" w:eastAsia="Calibri" w:hAnsi="Calibri"/>
          <w:sz w:val="22"/>
          <w:szCs w:val="22"/>
        </w:rPr>
        <w:t xml:space="preserve">Gestión. (2025b). Gigante asiático de electrodomésticos Dreame pisa Perú. https://gestion.pe/economia/empresas/gigante-asiatico-de-electrodomesticos-pisa-peru-noticia/</w:t>
      </w:r>
    </w:p>
    <w:p>
      <w:pPr>
        <w:pStyle w:val="ListParagraph"/>
        <w:numPr>
          <w:ilvl w:val="0"/>
          <w:numId w:val="1"/>
        </w:numPr>
        <w:spacing w:after="100" w:line="300"/>
        <w:jc w:val="both"/>
      </w:pPr>
      <w:r>
        <w:rPr>
          <w:rFonts w:ascii="Calibri" w:cs="Calibri" w:eastAsia="Calibri" w:hAnsi="Calibri"/>
          <w:sz w:val="22"/>
          <w:szCs w:val="22"/>
        </w:rPr>
        <w:t xml:space="preserve">Infobae. (2025). Cyber Wow 2025: más de 800 marcas y dos mil ofertas en la última edición de compra online. https://www.infobae.com/peru/2025/11/04/cyber-wow-2025-mas-de-800-marcas-y-dos-mil-ofertas-en-la-ultima-edicion-de-compra-online-de-este-ano/</w:t>
      </w:r>
    </w:p>
    <w:p>
      <w:pPr>
        <w:pStyle w:val="ListParagraph"/>
        <w:numPr>
          <w:ilvl w:val="0"/>
          <w:numId w:val="1"/>
        </w:numPr>
        <w:spacing w:after="100" w:line="300"/>
        <w:jc w:val="both"/>
      </w:pPr>
      <w:r>
        <w:rPr>
          <w:rFonts w:ascii="Calibri" w:cs="Calibri" w:eastAsia="Calibri" w:hAnsi="Calibri"/>
          <w:sz w:val="22"/>
          <w:szCs w:val="22"/>
        </w:rPr>
        <w:t xml:space="preserve">Infobae. (2025). Edad promedio de compradores del Cyber Wow fue de 29 años y el 63% fueron mujeres. https://www.infobae.com/peru/2025/12/12/edad-promedio-de-compradores-del-cyber-wow-fue-de-29-anos-y-el-63-fueron-mujeres-un-total-de-912-marcas-participaron-del-evento/</w:t>
      </w:r>
    </w:p>
    <w:p>
      <w:pPr>
        <w:pStyle w:val="ListParagraph"/>
        <w:numPr>
          <w:ilvl w:val="0"/>
          <w:numId w:val="1"/>
        </w:numPr>
        <w:spacing w:after="100" w:line="300"/>
        <w:jc w:val="both"/>
      </w:pPr>
      <w:r>
        <w:rPr>
          <w:rFonts w:ascii="Calibri" w:cs="Calibri" w:eastAsia="Calibri" w:hAnsi="Calibri"/>
          <w:sz w:val="22"/>
          <w:szCs w:val="22"/>
        </w:rPr>
        <w:t xml:space="preserve">Infomercado. (2026a). Yape supera los 16 millones de usuarios activos y Credicorp ganó S/2,063 millones. https://infomercado.pe/credicorp-yape-supera-los-mas-de-16-millones-de-usuarios-activos-mensuales/</w:t>
      </w:r>
    </w:p>
    <w:p>
      <w:pPr>
        <w:pStyle w:val="ListParagraph"/>
        <w:numPr>
          <w:ilvl w:val="0"/>
          <w:numId w:val="1"/>
        </w:numPr>
        <w:spacing w:after="100" w:line="300"/>
        <w:jc w:val="both"/>
      </w:pPr>
      <w:r>
        <w:rPr>
          <w:rFonts w:ascii="Calibri" w:cs="Calibri" w:eastAsia="Calibri" w:hAnsi="Calibri"/>
          <w:sz w:val="22"/>
          <w:szCs w:val="22"/>
        </w:rPr>
        <w:t xml:space="preserve">Infomercado. (2026b). SBS fija nuevos topes para billeteras digitales y cuentas básicas desde 2026. https://infomercado.pe/sbs-fija-nuevos-topes-para-billeteras-digitales-y-cuentas-basicas-desde-2026/</w:t>
      </w:r>
    </w:p>
    <w:p>
      <w:pPr>
        <w:pStyle w:val="ListParagraph"/>
        <w:numPr>
          <w:ilvl w:val="0"/>
          <w:numId w:val="1"/>
        </w:numPr>
        <w:spacing w:after="100" w:line="300"/>
        <w:jc w:val="both"/>
      </w:pPr>
      <w:r>
        <w:rPr>
          <w:rFonts w:ascii="Calibri" w:cs="Calibri" w:eastAsia="Calibri" w:hAnsi="Calibri"/>
          <w:sz w:val="22"/>
          <w:szCs w:val="22"/>
        </w:rPr>
        <w:t xml:space="preserve">Infomercado. (2026c). Cyber Wow 2026: ¿Cuándo empieza y cuánto dura? https://infomercado.pe/cyber-wow-2026-cuando-empieza-y-cuanto-dura/</w:t>
      </w:r>
    </w:p>
    <w:p>
      <w:pPr>
        <w:pStyle w:val="ListParagraph"/>
        <w:numPr>
          <w:ilvl w:val="0"/>
          <w:numId w:val="1"/>
        </w:numPr>
        <w:spacing w:after="100" w:line="300"/>
        <w:jc w:val="both"/>
      </w:pPr>
      <w:r>
        <w:rPr>
          <w:rFonts w:ascii="Calibri" w:cs="Calibri" w:eastAsia="Calibri" w:hAnsi="Calibri"/>
          <w:sz w:val="22"/>
          <w:szCs w:val="22"/>
        </w:rPr>
        <w:t xml:space="preserve">Revista Gana Más. (2024). Cinco creadoras de Perú que triunfan en YouTube. https://revistaganamas.com.pe/cinco-creadoras-de-peru-que-triunfan-en-youtube/</w:t>
      </w:r>
    </w:p>
    <w:p>
      <w:pPr>
        <w:pStyle w:val="ListParagraph"/>
        <w:numPr>
          <w:ilvl w:val="0"/>
          <w:numId w:val="1"/>
        </w:numPr>
        <w:spacing w:after="100" w:line="300"/>
        <w:jc w:val="both"/>
      </w:pPr>
      <w:r>
        <w:rPr>
          <w:rFonts w:ascii="Calibri" w:cs="Calibri" w:eastAsia="Calibri" w:hAnsi="Calibri"/>
          <w:sz w:val="22"/>
          <w:szCs w:val="22"/>
        </w:rPr>
        <w:t xml:space="preserve">Serperuano. (2025). NielsenIQ: Cyber Wow 2025 alcanzó récord en ventas de tecnología y electrodomésticos. https://www.serperuano.com/2025/08/nielseniq-cyber-wow-2025-alcanzo-record-en-ventas-de-tecnologia-y-electrodomesticos-en-peru/</w:t>
      </w:r>
    </w:p>
    <w:p>
      <w:pPr>
        <w:pStyle w:val="ListParagraph"/>
        <w:numPr>
          <w:ilvl w:val="0"/>
          <w:numId w:val="1"/>
        </w:numPr>
        <w:spacing w:after="100" w:line="300"/>
        <w:jc w:val="both"/>
      </w:pPr>
      <w:r>
        <w:rPr>
          <w:rFonts w:ascii="Calibri" w:cs="Calibri" w:eastAsia="Calibri" w:hAnsi="Calibri"/>
          <w:sz w:val="22"/>
          <w:szCs w:val="22"/>
        </w:rPr>
        <w:t xml:space="preserve">Votu. (2026). Cuánto cobra Mercado Libre Perú de comisión por cada venta en 2026: guía completa. https://votu.pe/cuanto-cobra-mercado-libre-peru-de-comision-por-cada-venta-en-2026-guia-completa/</w:t>
      </w:r>
    </w:p>
    <w:p>
      <w:pPr>
        <w:pStyle w:val="ListParagraph"/>
        <w:numPr>
          <w:ilvl w:val="0"/>
          <w:numId w:val="1"/>
        </w:numPr>
        <w:spacing w:after="100" w:line="300"/>
        <w:jc w:val="both"/>
      </w:pPr>
      <w:r>
        <w:rPr>
          <w:rFonts w:ascii="Calibri" w:cs="Calibri" w:eastAsia="Calibri" w:hAnsi="Calibri"/>
          <w:sz w:val="22"/>
          <w:szCs w:val="22"/>
        </w:rPr>
        <w:t xml:space="preserve">WIN Internet. (2024). Top 5: influencers peruanos de tecnología que debes conocer. https://win.pe/blog/top-5-influencers-peruanos-de-tecnologia-que-debes-conocer/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Página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de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Plan Comercial – Coolbox Perú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40" w:before="220"/>
      <w:outlineLvl w:val="2"/>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ec4629825353b3c52f897bc0726aa2a60fdf1a.undefined"/><Relationship Id="rId10" Type="http://schemas.openxmlformats.org/officeDocument/2006/relationships/image" Target="media/9062f61b445f290d7c2cb3b5790949881d4706ce.undefined"/><Relationship Id="rId11" Type="http://schemas.openxmlformats.org/officeDocument/2006/relationships/image" Target="media/90d440da0e53c12f17fd74f4411b7c483b17d1ed.undefined"/><Relationship Id="rId12" Type="http://schemas.openxmlformats.org/officeDocument/2006/relationships/image" Target="media/fba18d12d14dbc95b3c1121e5a44c66cd5e40983.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Comercial Coolbox Perú - Trabajo Final</dc:title>
  <dc:creator>Miguel Zavala</dc:creator>
  <dc:description>Análisis del entorno, estrategia, implementación y cierre del proyecto</dc:description>
  <cp:lastModifiedBy>Un-named</cp:lastModifiedBy>
  <cp:revision>1</cp:revision>
  <dcterms:created xsi:type="dcterms:W3CDTF">2026-06-12T03:22:43.792Z</dcterms:created>
  <dcterms:modified xsi:type="dcterms:W3CDTF">2026-06-12T03:22:43.809Z</dcterms:modified>
</cp:coreProperties>
</file>

<file path=docProps/custom.xml><?xml version="1.0" encoding="utf-8"?>
<Properties xmlns="http://schemas.openxmlformats.org/officeDocument/2006/custom-properties" xmlns:vt="http://schemas.openxmlformats.org/officeDocument/2006/docPropsVTypes"/>
</file>