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Figure-making scripts for each revision task</w:t>
      </w:r>
    </w:p>
    <w:p>
      <w:pPr>
        <w:spacing w:after="120" w:before="0" w:line="240" w:lineRule="auto"/>
      </w:pPr>
      <w:r>
        <w:rPr>
          <w:rFonts w:ascii="Calibri" w:hAnsi="Calibri"/>
          <w:b w:val="0"/>
          <w:sz w:val="22"/>
        </w:rPr>
        <w:t>Repository play-bout-analysis-behavior-and-physiology, origin/main at 677d766 (21 October 2026). Each task lists the scripts that draw the figures for that point. Estimate and GENERATE scripts are named only when you have to run them before the figure script. A blank list means there is no figure script for that point yet.</w:t>
      </w:r>
    </w:p>
    <w:p>
      <w:pPr>
        <w:spacing w:after="120" w:before="0" w:line="240" w:lineRule="auto"/>
      </w:pPr>
      <w:r>
        <w:rPr>
          <w:rFonts w:ascii="Calibri" w:hAnsi="Calibri"/>
          <w:b/>
          <w:sz w:val="22"/>
        </w:rPr>
        <w:t xml:space="preserve">Phase-lag plots. </w:t>
      </w:r>
      <w:r>
        <w:rPr>
          <w:rFonts w:ascii="Calibri" w:hAnsi="Calibri"/>
          <w:b w:val="0"/>
          <w:sz w:val="22"/>
        </w:rPr>
        <w:t>These are drawn in Figure 2/Supporting codes v2/Estimate_coherence_maps.m, section “Plot — phase lags”. The loop plots pli_struct.mean_phaseLag_freq2, channels ordered by depth, one panel per recording. In that same file, freq_range_2 is 6–12 Hz and freq_range_1 is 1–5 Hz, so the figure as written is the second band. Delta phase lag is the field mean_phaseLag_freq1, which this loop does not plot. These plots are listed under the dorsoventral phase and volume-conduction task.</w:t>
      </w:r>
    </w:p>
    <w:p>
      <w:pPr>
        <w:pStyle w:val="Heading1"/>
      </w:pPr>
      <w:r>
        <w:t>1. Analyses whose figure code is in the repository</w:t>
      </w:r>
    </w:p>
    <w:p>
      <w:pPr>
        <w:pStyle w:val="Heading2"/>
      </w:pPr>
      <w:r>
        <w:rPr>
          <w:rFonts w:ascii="Calibri" w:hAnsi="Calibri"/>
          <w:sz w:val="26"/>
        </w:rPr>
        <w:t>1.1 Probe maps of the onset PSTH, together with the aperiodic analysis (Reviewer 2.3)</w:t>
      </w:r>
    </w:p>
    <w:p>
      <w:pPr/>
      <w:r>
        <w:t>These scripts answer the request to draw the probe maps together with the aperiodic analysis.</w:t>
      </w:r>
    </w:p>
    <w:p>
      <w:pPr/>
      <w:r>
        <w:t>Probe maps, onset PSTH for each area. Figure script: Figure 2/Supporting codes v2/Analyze_psth_area_maps.m. Each row is one animal and probe.</w:t>
      </w:r>
    </w:p>
    <w:p>
      <w:pPr>
        <w:pStyle w:val="ListBullet"/>
      </w:pPr>
      <w:r>
        <w:t>Section “Plot 1 — compare area PSTHs (LPAG vs VLPAG) with LME”.</w:t>
      </w:r>
    </w:p>
    <w:p>
      <w:pPr>
        <w:pStyle w:val="ListBullet"/>
      </w:pPr>
      <w:r>
        <w:t>Section “Plot 2 — power-spectrum percentile maps by area”. Areas are SupCol, DLPAG, LPAG, VLPAG, and DR.</w:t>
      </w:r>
    </w:p>
    <w:p>
      <w:pPr>
        <w:pStyle w:val="ListBullet"/>
      </w:pPr>
      <w:r>
        <w:t>Section “Plot 3 — LPAG detail (PSTH + power spectrum, 4-panel)”. Onset heatmap, mean with confidence interval, power-percentile map, and spectrum.</w:t>
      </w:r>
    </w:p>
    <w:p>
      <w:pPr/>
      <w:r>
        <w:t>Run Figure 2/Supporting codes v2/Estimate_psth_area_maps.m before that figure. It calls GENERATE_PSTH_AREA_MAPS.m and builds the per-channel play_bout_onset maps.</w:t>
      </w:r>
    </w:p>
    <w:p>
      <w:pPr>
        <w:spacing w:after="120" w:before="0" w:line="240" w:lineRule="auto"/>
      </w:pPr>
      <w:r>
        <w:rPr>
          <w:rFonts w:ascii="Calibri" w:hAnsi="Calibri"/>
          <w:b w:val="0"/>
          <w:sz w:val="22"/>
        </w:rPr>
        <w:t>Aperiodic analysis at the same play onset. Figure script: Figure 2/Supporting codes v2/Analyze_psth_full_spectrogram_fooof.m</w:t>
      </w:r>
    </w:p>
    <w:p>
      <w:pPr>
        <w:pStyle w:val="ListBullet"/>
        <w:spacing w:after="40" w:before="0"/>
      </w:pPr>
      <w:r>
        <w:rPr>
          <w:rFonts w:ascii="Calibri" w:hAnsi="Calibri"/>
          <w:b w:val="0"/>
          <w:sz w:val="22"/>
        </w:rPr>
        <w:t>Section “Plot: change in periodic power only”.</w:t>
      </w:r>
    </w:p>
    <w:p>
      <w:pPr>
        <w:pStyle w:val="ListBullet"/>
        <w:spacing w:after="40" w:before="0"/>
      </w:pPr>
      <w:r>
        <w:rPr>
          <w:rFonts w:ascii="Calibri" w:hAnsi="Calibri"/>
          <w:b w:val="0"/>
          <w:sz w:val="22"/>
        </w:rPr>
        <w:t>Section “Optional reference: full z-scored spectrum difference vs periodic-only”.</w:t>
      </w:r>
    </w:p>
    <w:p>
      <w:pPr>
        <w:pStyle w:val="ListBullet"/>
        <w:spacing w:after="40" w:before="0"/>
      </w:pPr>
      <w:r>
        <w:rPr>
          <w:rFonts w:ascii="Calibri" w:hAnsi="Calibri"/>
          <w:b w:val="0"/>
          <w:sz w:val="22"/>
        </w:rPr>
        <w:t>Section “Plot LME intercept estimate for periodic Δ”.</w:t>
      </w:r>
    </w:p>
    <w:p>
      <w:pPr>
        <w:pStyle w:val="ListBullet"/>
        <w:spacing w:after="40" w:before="0"/>
      </w:pPr>
      <w:r>
        <w:rPr>
          <w:rFonts w:ascii="Calibri" w:hAnsi="Calibri"/>
          <w:b w:val="0"/>
          <w:sz w:val="22"/>
        </w:rPr>
        <w:t>Section “Plot LME estimate vs session-mean periodic difference”.</w:t>
      </w:r>
    </w:p>
    <w:p>
      <w:pPr>
        <w:pStyle w:val="ListBullet"/>
        <w:spacing w:after="40" w:before="0"/>
      </w:pPr>
      <w:r>
        <w:rPr>
          <w:rFonts w:ascii="Calibri" w:hAnsi="Calibri"/>
          <w:b w:val="0"/>
          <w:sz w:val="22"/>
        </w:rPr>
        <w:t>Section “Plot aperiodic-subtracted delta PSTH (mean ± SEM across trials)”.</w:t>
      </w:r>
    </w:p>
    <w:p>
      <w:pPr>
        <w:pStyle w:val="ListBullet"/>
        <w:spacing w:after="40" w:before="0"/>
      </w:pPr>
      <w:r>
        <w:rPr>
          <w:rFonts w:ascii="Calibri" w:hAnsi="Calibri"/>
          <w:b w:val="0"/>
          <w:sz w:val="22"/>
        </w:rPr>
        <w:t>Section “Per-animal mean aperiodic-subtracted delta PSTH”.</w:t>
      </w:r>
    </w:p>
    <w:p>
      <w:pPr>
        <w:pStyle w:val="Heading2"/>
      </w:pPr>
      <w:r>
        <w:rPr>
          <w:rFonts w:ascii="Calibri" w:hAnsi="Calibri"/>
          <w:sz w:val="26"/>
        </w:rPr>
        <w:t>1.2 Sliding-window aperiodic analysis of the same onset (Reviewer 2.3)</w:t>
      </w:r>
    </w:p>
    <w:p>
      <w:pPr>
        <w:spacing w:after="120" w:before="0" w:line="240" w:lineRule="auto"/>
      </w:pPr>
      <w:r>
        <w:rPr>
          <w:rFonts w:ascii="Calibri" w:hAnsi="Calibri"/>
          <w:b w:val="0"/>
          <w:sz w:val="22"/>
        </w:rPr>
        <w:t>Time-resolved part of the same probe-map and aperiodic request (task 1.1). Figure script: Figure 2/Supporting codes v2/Analyze_psth_full_spectrogram_fooof_sliding.m</w:t>
      </w:r>
    </w:p>
    <w:p>
      <w:pPr>
        <w:pStyle w:val="ListBullet"/>
        <w:spacing w:after="40" w:before="0"/>
      </w:pPr>
      <w:r>
        <w:rPr>
          <w:rFonts w:ascii="Calibri" w:hAnsi="Calibri"/>
          <w:b w:val="0"/>
          <w:sz w:val="22"/>
        </w:rPr>
        <w:t>Section “Quick look figure: mean ± t-test CI + top significance bars”.</w:t>
      </w:r>
    </w:p>
    <w:p>
      <w:pPr>
        <w:pStyle w:val="ListBullet"/>
        <w:spacing w:after="40" w:before="0"/>
      </w:pPr>
      <w:r>
        <w:rPr>
          <w:rFonts w:ascii="Calibri" w:hAnsi="Calibri"/>
          <w:b w:val="0"/>
          <w:sz w:val="22"/>
        </w:rPr>
        <w:t>Section “Extra: LME mean ± CI with animal as random intercept”.</w:t>
      </w:r>
    </w:p>
    <w:p>
      <w:pPr>
        <w:pStyle w:val="ListBullet"/>
        <w:spacing w:after="40" w:before="0"/>
      </w:pPr>
      <w:r>
        <w:rPr>
          <w:rFonts w:ascii="Calibri" w:hAnsi="Calibri"/>
          <w:b w:val="0"/>
          <w:sz w:val="22"/>
        </w:rPr>
        <w:t>Section “Quick look: example session aperiodic-corrected spectrum heatmap”.</w:t>
      </w:r>
    </w:p>
    <w:p>
      <w:pPr>
        <w:spacing w:after="120" w:before="0" w:line="240" w:lineRule="auto"/>
      </w:pPr>
      <w:r>
        <w:rPr>
          <w:rFonts w:ascii="Calibri" w:hAnsi="Calibri"/>
          <w:b w:val="0"/>
          <w:sz w:val="22"/>
        </w:rPr>
        <w:t>The default window in that file is 5 s. It does not yet answer the separate point about a 1 s window smearing the pre-onset rise (task 2.3).</w:t>
      </w:r>
    </w:p>
    <w:p>
      <w:pPr>
        <w:pStyle w:val="Heading2"/>
      </w:pPr>
      <w:r>
        <w:rPr>
          <w:rFonts w:ascii="Calibri" w:hAnsi="Calibri"/>
          <w:sz w:val="26"/>
        </w:rPr>
        <w:t>1.3 Session LPAG spectra, peak centers, theta removed (Reviewer 2.3)</w:t>
      </w:r>
    </w:p>
    <w:p>
      <w:pPr>
        <w:spacing w:after="120" w:before="0" w:line="240" w:lineRule="auto"/>
      </w:pPr>
      <w:r>
        <w:rPr>
          <w:rFonts w:ascii="Calibri" w:hAnsi="Calibri"/>
          <w:b w:val="0"/>
          <w:sz w:val="22"/>
        </w:rPr>
        <w:t>Figure script: Figure 2/Supporting codes v2/Analyse_play_session_lpag_spectra.m</w:t>
      </w:r>
    </w:p>
    <w:p>
      <w:pPr>
        <w:pStyle w:val="ListBullet"/>
        <w:spacing w:after="40" w:before="0"/>
      </w:pPr>
      <w:r>
        <w:rPr>
          <w:rFonts w:ascii="Calibri" w:hAnsi="Calibri"/>
          <w:b w:val="0"/>
          <w:sz w:val="22"/>
        </w:rPr>
        <w:t>Section “Plot original spectra and fitted aperiodic components”.</w:t>
      </w:r>
    </w:p>
    <w:p>
      <w:pPr>
        <w:pStyle w:val="ListBullet"/>
        <w:spacing w:after="40" w:before="0"/>
      </w:pPr>
      <w:r>
        <w:rPr>
          <w:rFonts w:ascii="Calibri" w:hAnsi="Calibri"/>
          <w:b w:val="0"/>
          <w:sz w:val="22"/>
        </w:rPr>
        <w:t>Section “Plot spectra after removing aperiodic and theta Gaussian components”.</w:t>
      </w:r>
    </w:p>
    <w:p>
      <w:pPr>
        <w:pStyle w:val="ListBullet"/>
        <w:spacing w:after="40" w:before="0"/>
      </w:pPr>
      <w:r>
        <w:rPr>
          <w:rFonts w:ascii="Calibri" w:hAnsi="Calibri"/>
          <w:b w:val="0"/>
          <w:sz w:val="22"/>
        </w:rPr>
        <w:t>Section “Plot both periodic estimates”.</w:t>
      </w:r>
    </w:p>
    <w:p>
      <w:pPr>
        <w:pStyle w:val="ListBullet"/>
        <w:spacing w:after="40" w:before="0"/>
      </w:pPr>
      <w:r>
        <w:rPr>
          <w:rFonts w:ascii="Calibri" w:hAnsi="Calibri"/>
          <w:b w:val="0"/>
          <w:sz w:val="22"/>
        </w:rPr>
        <w:t>Section “Scatter fitted Gaussian centers to reveal frequency clustering”.</w:t>
      </w:r>
    </w:p>
    <w:p>
      <w:pPr>
        <w:pStyle w:val="ListBullet"/>
        <w:spacing w:after="40" w:before="0"/>
      </w:pPr>
      <w:r>
        <w:rPr>
          <w:rFonts w:ascii="Calibri" w:hAnsi="Calibri"/>
          <w:b w:val="0"/>
          <w:sz w:val="22"/>
        </w:rPr>
        <w:t>Section “Plot Fourier-center Gaussian-mixture model selection and best fit”.</w:t>
      </w:r>
    </w:p>
    <w:p>
      <w:pPr>
        <w:pStyle w:val="ListBullet"/>
        <w:spacing w:after="40" w:before="0"/>
      </w:pPr>
      <w:r>
        <w:rPr>
          <w:rFonts w:ascii="Calibri" w:hAnsi="Calibri"/>
          <w:b w:val="0"/>
          <w:sz w:val="22"/>
        </w:rPr>
        <w:t>Section “Directly compare the 3-, 4-, and 5-component Fourier-center fits”.</w:t>
      </w:r>
    </w:p>
    <w:p>
      <w:pPr>
        <w:pStyle w:val="Heading2"/>
      </w:pPr>
      <w:r>
        <w:rPr>
          <w:rFonts w:ascii="Calibri" w:hAnsi="Calibri"/>
          <w:sz w:val="26"/>
        </w:rPr>
        <w:t>1.4 Speed-binned play versus non-play power (Reviewer 2.2)</w:t>
      </w:r>
    </w:p>
    <w:p>
      <w:pPr>
        <w:spacing w:after="120" w:before="0" w:line="240" w:lineRule="auto"/>
      </w:pPr>
      <w:r>
        <w:rPr>
          <w:rFonts w:ascii="Calibri" w:hAnsi="Calibri"/>
          <w:b w:val="0"/>
          <w:sz w:val="22"/>
        </w:rPr>
        <w:t>Figure script: Figure 2/Supporting codes v2/Analyze_speed_freq_relation.m</w:t>
      </w:r>
    </w:p>
    <w:p>
      <w:pPr>
        <w:pStyle w:val="ListBullet"/>
        <w:spacing w:after="40" w:before="0"/>
      </w:pPr>
      <w:r>
        <w:rPr>
          <w:rFonts w:ascii="Calibri" w:hAnsi="Calibri"/>
          <w:b w:val="0"/>
          <w:sz w:val="22"/>
        </w:rPr>
        <w:t>Section “Scatter and binned play-minus-non-play difference”.</w:t>
      </w:r>
    </w:p>
    <w:p>
      <w:pPr>
        <w:pStyle w:val="ListBullet"/>
        <w:spacing w:after="40" w:before="0"/>
      </w:pPr>
      <w:r>
        <w:rPr>
          <w:rFonts w:ascii="Calibri" w:hAnsi="Calibri"/>
          <w:b w:val="0"/>
          <w:sz w:val="22"/>
        </w:rPr>
        <w:t>Section “Mixed linear model of the play−non-play difference”.</w:t>
      </w:r>
    </w:p>
    <w:p>
      <w:pPr>
        <w:spacing w:after="120" w:before="0" w:line="240" w:lineRule="auto"/>
      </w:pPr>
      <w:r>
        <w:rPr>
          <w:rFonts w:ascii="Calibri" w:hAnsi="Calibri"/>
          <w:b w:val="0"/>
          <w:sz w:val="22"/>
        </w:rPr>
        <w:t>Figure 2/Figure 2.m sections 18–21 still draw the paper speed-versus-theta panels (Supp. Fig. 4b). The speed-bin difference statistics were copied into Figure 2.m and then reverted, so the referee comparison is the Analyze script, not Figure 2.m.</w:t>
      </w:r>
    </w:p>
    <w:p>
      <w:pPr>
        <w:pStyle w:val="Heading2"/>
      </w:pPr>
      <w:r>
        <w:rPr>
          <w:rFonts w:ascii="Calibri" w:hAnsi="Calibri"/>
          <w:sz w:val="26"/>
        </w:rPr>
        <w:t>1.5 Delta peak and trough depth profile and current-source density (Reviewer 2.3)</w:t>
      </w:r>
    </w:p>
    <w:p>
      <w:pPr>
        <w:pStyle w:val="ListBullet"/>
        <w:spacing w:after="40" w:before="0"/>
      </w:pPr>
      <w:r>
        <w:rPr>
          <w:rFonts w:ascii="Calibri" w:hAnsi="Calibri"/>
          <w:b w:val="0"/>
          <w:sz w:val="22"/>
        </w:rPr>
        <w:t>CSD analysis/Plot_delta_peak_trough_evoked.m. Trial-averaged LFP and amplitude versus depth, with a confidence interval, for peak and for trough.</w:t>
      </w:r>
    </w:p>
    <w:p>
      <w:pPr>
        <w:pStyle w:val="ListBullet"/>
        <w:spacing w:after="40" w:before="0"/>
      </w:pPr>
      <w:r>
        <w:rPr>
          <w:rFonts w:ascii="Calibri" w:hAnsi="Calibri"/>
          <w:b w:val="0"/>
          <w:sz w:val="22"/>
        </w:rPr>
        <w:t>CSD analysis/csd_1d_pipeline.py, function run_delta_csd_from_root. Writes kcsd_x{X}.png for each shank column.</w:t>
      </w:r>
    </w:p>
    <w:p>
      <w:pPr>
        <w:pStyle w:val="ListBullet"/>
        <w:spacing w:after="40" w:before="0"/>
      </w:pPr>
      <w:r>
        <w:rPr>
          <w:rFonts w:ascii="Calibri" w:hAnsi="Calibri"/>
          <w:b w:val="0"/>
          <w:sz w:val="22"/>
        </w:rPr>
        <w:t>CSD analysis/CSD_1D_general.ipynb. Same delta peak/trough figures as the Python function.</w:t>
      </w:r>
    </w:p>
    <w:p>
      <w:pPr>
        <w:spacing w:after="120" w:before="0" w:line="240" w:lineRule="auto"/>
      </w:pPr>
      <w:r>
        <w:rPr>
          <w:rFonts w:ascii="Calibri" w:hAnsi="Calibri"/>
          <w:b w:val="0"/>
          <w:sz w:val="22"/>
        </w:rPr>
        <w:t>Run CSD analysis/Estimate_delta_peak_trough_csd.m before those plots. That export does not re-reference.</w:t>
      </w:r>
    </w:p>
    <w:p>
      <w:pPr>
        <w:pStyle w:val="Heading2"/>
      </w:pPr>
      <w:r>
        <w:rPr>
          <w:rFonts w:ascii="Calibri" w:hAnsi="Calibri"/>
          <w:sz w:val="26"/>
        </w:rPr>
        <w:t>1.6 Acute breathing lock versus delta lock (Reviewer 2.3)</w:t>
      </w:r>
    </w:p>
    <w:p>
      <w:pPr>
        <w:spacing w:after="120" w:before="0" w:line="240" w:lineRule="auto"/>
      </w:pPr>
      <w:r>
        <w:rPr>
          <w:rFonts w:ascii="Calibri" w:hAnsi="Calibri"/>
          <w:b w:val="0"/>
          <w:sz w:val="22"/>
        </w:rPr>
        <w:t>Figure script: Complementary figures/Analyze_acute_phase_locking.m</w:t>
      </w:r>
    </w:p>
    <w:p>
      <w:pPr>
        <w:pStyle w:val="ListBullet"/>
        <w:spacing w:after="40" w:before="0"/>
      </w:pPr>
      <w:r>
        <w:rPr>
          <w:rFonts w:ascii="Calibri" w:hAnsi="Calibri"/>
          <w:b w:val="0"/>
          <w:sz w:val="22"/>
        </w:rPr>
        <w:t>Section “Breathing-lock proportions: all neurons vs trough-locked”.</w:t>
      </w:r>
    </w:p>
    <w:p>
      <w:pPr>
        <w:pStyle w:val="ListBullet"/>
        <w:spacing w:after="40" w:before="0"/>
      </w:pPr>
      <w:r>
        <w:rPr>
          <w:rFonts w:ascii="Calibri" w:hAnsi="Calibri"/>
          <w:b w:val="0"/>
          <w:sz w:val="22"/>
        </w:rPr>
        <w:t>Section “Breathing peak- and trough-aligned PSTHs”.</w:t>
      </w:r>
    </w:p>
    <w:p>
      <w:pPr>
        <w:pStyle w:val="ListBullet"/>
        <w:spacing w:after="40" w:before="0"/>
      </w:pPr>
      <w:r>
        <w:rPr>
          <w:rFonts w:ascii="Calibri" w:hAnsi="Calibri"/>
          <w:b w:val="0"/>
          <w:sz w:val="22"/>
        </w:rPr>
        <w:t>Section “LFP × breathing lock combinations”.</w:t>
      </w:r>
    </w:p>
    <w:p>
      <w:pPr>
        <w:pStyle w:val="ListBullet"/>
        <w:spacing w:after="40" w:before="0"/>
      </w:pPr>
      <w:r>
        <w:rPr>
          <w:rFonts w:ascii="Calibri" w:hAnsi="Calibri"/>
          <w:b w:val="0"/>
          <w:sz w:val="22"/>
        </w:rPr>
        <w:t>Section “Delta vs breathing modulation and PPC”.</w:t>
      </w:r>
    </w:p>
    <w:p>
      <w:pPr>
        <w:pStyle w:val="ListBullet"/>
        <w:spacing w:after="40" w:before="0"/>
      </w:pPr>
      <w:r>
        <w:rPr>
          <w:rFonts w:ascii="Calibri" w:hAnsi="Calibri"/>
          <w:b w:val="0"/>
          <w:sz w:val="22"/>
        </w:rPr>
        <w:t>Section “Example breathing-locked neuron”.</w:t>
      </w:r>
    </w:p>
    <w:p>
      <w:pPr>
        <w:spacing w:after="120" w:before="0" w:line="240" w:lineRule="auto"/>
      </w:pPr>
      <w:r>
        <w:rPr>
          <w:rFonts w:ascii="Calibri" w:hAnsi="Calibri"/>
          <w:b w:val="0"/>
          <w:sz w:val="22"/>
        </w:rPr>
        <w:t>These are the acute recordings, not the tethered play sessions.</w:t>
      </w:r>
    </w:p>
    <w:p>
      <w:pPr>
        <w:pStyle w:val="Heading2"/>
      </w:pPr>
      <w:r>
        <w:rPr>
          <w:rFonts w:ascii="Calibri" w:hAnsi="Calibri"/>
          <w:sz w:val="26"/>
        </w:rPr>
        <w:t>1.7 Amplitude-matched phase locking, 1 s play versus pre-play (Reviewer 2.3)</w:t>
      </w:r>
    </w:p>
    <w:p>
      <w:pPr>
        <w:spacing w:after="120" w:before="0" w:line="240" w:lineRule="auto"/>
      </w:pPr>
      <w:r>
        <w:rPr>
          <w:rFonts w:ascii="Calibri" w:hAnsi="Calibri"/>
          <w:b w:val="0"/>
          <w:sz w:val="22"/>
        </w:rPr>
        <w:t>Figure script: Figure 3/Supporting codes/Analyze_play_ppc_amplitude_matched.m</w:t>
      </w:r>
    </w:p>
    <w:p>
      <w:pPr>
        <w:pStyle w:val="ListBullet"/>
        <w:spacing w:after="40" w:before="0"/>
      </w:pPr>
      <w:r>
        <w:rPr>
          <w:rFonts w:ascii="Calibri" w:hAnsi="Calibri"/>
          <w:b w:val="0"/>
          <w:sz w:val="22"/>
        </w:rPr>
        <w:t>Section “Overall trough-locked-cell result, using animals as replicates”.</w:t>
      </w:r>
    </w:p>
    <w:p>
      <w:pPr>
        <w:pStyle w:val="ListBullet"/>
        <w:spacing w:after="40" w:before="0"/>
      </w:pPr>
      <w:r>
        <w:rPr>
          <w:rFonts w:ascii="Calibri" w:hAnsi="Calibri"/>
          <w:b w:val="0"/>
          <w:sz w:val="22"/>
        </w:rPr>
        <w:t>Section “Diagnostics”.</w:t>
      </w:r>
    </w:p>
    <w:p>
      <w:pPr>
        <w:pStyle w:val="ListBullet"/>
        <w:spacing w:after="40" w:before="0"/>
      </w:pPr>
      <w:r>
        <w:rPr>
          <w:rFonts w:ascii="Calibri" w:hAnsi="Calibri"/>
          <w:b w:val="0"/>
          <w:sz w:val="22"/>
        </w:rPr>
        <w:t>Section “Power-balanced trough-cell PPC, in the Figure 3e square-plot layout”.</w:t>
      </w:r>
    </w:p>
    <w:p>
      <w:pPr>
        <w:spacing w:after="120" w:before="0" w:line="240" w:lineRule="auto"/>
      </w:pPr>
      <w:r>
        <w:rPr>
          <w:rFonts w:ascii="Calibri" w:hAnsi="Calibri"/>
          <w:b w:val="0"/>
          <w:sz w:val="22"/>
        </w:rPr>
        <w:t>The published panel this controls is Figure 3/Figure 3a-e.m, section 15, “Fig 3e Paired comparisons (square plots)”.</w:t>
      </w:r>
    </w:p>
    <w:p>
      <w:pPr>
        <w:spacing w:after="120" w:before="0" w:line="240" w:lineRule="auto"/>
      </w:pPr>
      <w:r>
        <w:rPr>
          <w:rFonts w:ascii="Calibri" w:hAnsi="Calibri"/>
          <w:b w:val="0"/>
          <w:sz w:val="22"/>
        </w:rPr>
        <w:t>Run Figure 3/Supporting codes/Estimate_phase_locking_power_control.m first.</w:t>
      </w:r>
    </w:p>
    <w:p>
      <w:pPr>
        <w:pStyle w:val="Heading2"/>
      </w:pPr>
      <w:r>
        <w:rPr>
          <w:rFonts w:ascii="Calibri" w:hAnsi="Calibri"/>
          <w:sz w:val="26"/>
        </w:rPr>
        <w:t>1.8 Phase-locking null from non-play power tails (Reviewer 2.3)</w:t>
      </w:r>
    </w:p>
    <w:p>
      <w:pPr>
        <w:spacing w:after="120" w:before="0" w:line="240" w:lineRule="auto"/>
      </w:pPr>
      <w:r>
        <w:rPr>
          <w:rFonts w:ascii="Calibri" w:hAnsi="Calibri"/>
          <w:b w:val="0"/>
          <w:sz w:val="22"/>
        </w:rPr>
        <w:t>Figure script: Figure 3/Supporting codes/Analyze_play_ppc_power_contrast.m</w:t>
      </w:r>
    </w:p>
    <w:p>
      <w:pPr>
        <w:pStyle w:val="ListBullet"/>
        <w:spacing w:after="40" w:before="0"/>
      </w:pPr>
      <w:r>
        <w:rPr>
          <w:rFonts w:ascii="Calibri" w:hAnsi="Calibri"/>
          <w:b w:val="0"/>
          <w:sz w:val="22"/>
        </w:rPr>
        <w:t>Section “Overall trough-locked-cell result, using animals as replicates”.</w:t>
      </w:r>
    </w:p>
    <w:p>
      <w:pPr>
        <w:pStyle w:val="ListBullet"/>
        <w:spacing w:after="40" w:before="0"/>
      </w:pPr>
      <w:r>
        <w:rPr>
          <w:rFonts w:ascii="Calibri" w:hAnsi="Calibri"/>
          <w:b w:val="0"/>
          <w:sz w:val="22"/>
        </w:rPr>
        <w:t>Section “Diagnostics”.</w:t>
      </w:r>
    </w:p>
    <w:p>
      <w:pPr>
        <w:pStyle w:val="ListBullet"/>
        <w:spacing w:after="40" w:before="0"/>
      </w:pPr>
      <w:r>
        <w:rPr>
          <w:rFonts w:ascii="Calibri" w:hAnsi="Calibri"/>
          <w:b w:val="0"/>
          <w:sz w:val="22"/>
        </w:rPr>
        <w:t>Section “Power-balanced pre-play versus play PPC, Figure 3e areas”.</w:t>
      </w:r>
    </w:p>
    <w:p>
      <w:pPr>
        <w:pStyle w:val="ListBullet"/>
        <w:spacing w:after="40" w:before="0"/>
      </w:pPr>
      <w:r>
        <w:rPr>
          <w:rFonts w:ascii="Calibri" w:hAnsi="Calibri"/>
          <w:b w:val="0"/>
          <w:sz w:val="22"/>
        </w:rPr>
        <w:t>Section “Observed versus null-model PPC difference, Figure 3e areas”.</w:t>
      </w:r>
    </w:p>
    <w:p>
      <w:pPr>
        <w:pStyle w:val="ListBullet"/>
        <w:spacing w:after="40" w:before="0"/>
      </w:pPr>
      <w:r>
        <w:rPr>
          <w:rFonts w:ascii="Calibri" w:hAnsi="Calibri"/>
          <w:b w:val="0"/>
          <w:sz w:val="22"/>
        </w:rPr>
        <w:t>Section “Example matched powers and one neuron's null-model fit”.</w:t>
      </w:r>
    </w:p>
    <w:p>
      <w:pPr>
        <w:spacing w:after="120" w:before="0" w:line="240" w:lineRule="auto"/>
      </w:pPr>
      <w:r>
        <w:rPr>
          <w:rFonts w:ascii="Calibri" w:hAnsi="Calibri"/>
          <w:b w:val="0"/>
          <w:sz w:val="22"/>
        </w:rPr>
        <w:t>Run Figure 3/Supporting codes/Estimate_phase_locking_power_contrast.m first.</w:t>
      </w:r>
    </w:p>
    <w:p>
      <w:pPr>
        <w:pStyle w:val="Heading2"/>
      </w:pPr>
      <w:r>
        <w:rPr>
          <w:rFonts w:ascii="Calibri" w:hAnsi="Calibri"/>
          <w:sz w:val="26"/>
        </w:rPr>
        <w:t>1.9 Behavior-aligned onset and offset current-source density (Reviewer 2.3 and 2.4)</w:t>
      </w:r>
    </w:p>
    <w:p>
      <w:pPr>
        <w:spacing w:after="120" w:before="0" w:line="240" w:lineRule="auto"/>
      </w:pPr>
      <w:r>
        <w:rPr>
          <w:rFonts w:ascii="Calibri" w:hAnsi="Calibri"/>
          <w:b w:val="0"/>
          <w:sz w:val="22"/>
        </w:rPr>
        <w:t>Figure code is Python, in CSD analysis/behavior_aligned_kcsd.py, and in CSD analysis/CSD_1D_general.ipynb, Section C.</w:t>
      </w:r>
    </w:p>
    <w:p>
      <w:pPr>
        <w:pStyle w:val="ListBullet"/>
        <w:spacing w:after="40" w:before="0"/>
      </w:pPr>
      <w:r>
        <w:rPr>
          <w:rFonts w:ascii="Calibri" w:hAnsi="Calibri"/>
          <w:b w:val="0"/>
          <w:sz w:val="22"/>
        </w:rPr>
        <w:t>run_behavior_aligned_kcsd and run_behavior_aligned_kcsd_from_root. Writes kcsd_xmean.png for onset and offset.</w:t>
      </w:r>
    </w:p>
    <w:p>
      <w:pPr>
        <w:pStyle w:val="ListBullet"/>
        <w:spacing w:after="40" w:before="0"/>
      </w:pPr>
      <w:r>
        <w:rPr>
          <w:rFonts w:ascii="Calibri" w:hAnsi="Calibri"/>
          <w:b w:val="0"/>
          <w:sz w:val="22"/>
        </w:rPr>
        <w:t>estimate_animal_pooled_kcsd. Pools trials from the same animal before the category and play-bout maps.</w:t>
      </w:r>
    </w:p>
    <w:p>
      <w:pPr>
        <w:pStyle w:val="ListBullet"/>
        <w:spacing w:after="40" w:before="0"/>
      </w:pPr>
      <w:r>
        <w:rPr>
          <w:rFonts w:ascii="Calibri" w:hAnsi="Calibri"/>
          <w:b w:val="0"/>
          <w:sz w:val="22"/>
        </w:rPr>
        <w:t>organize_behavior_aligned_figures. Copies figures into sorted_figures/by_session and by_behavior.</w:t>
      </w:r>
    </w:p>
    <w:p>
      <w:pPr>
        <w:pStyle w:val="ListBullet"/>
        <w:spacing w:after="40" w:before="0"/>
      </w:pPr>
      <w:r>
        <w:rPr>
          <w:rFonts w:ascii="Calibri" w:hAnsi="Calibri"/>
          <w:b w:val="0"/>
          <w:sz w:val="22"/>
        </w:rPr>
        <w:t>organize_animal_pooled_figures. Copies the animal-pooled figures.</w:t>
      </w:r>
    </w:p>
    <w:p>
      <w:pPr>
        <w:pStyle w:val="ListBullet"/>
        <w:spacing w:after="40" w:before="0"/>
      </w:pPr>
      <w:r>
        <w:rPr>
          <w:rFonts w:ascii="Calibri" w:hAnsi="Calibri"/>
          <w:b w:val="0"/>
          <w:sz w:val="22"/>
        </w:rPr>
        <w:t>replot_saved_mean_kcsd. Redraws saved mean maps with a chosen color scale.</w:t>
      </w:r>
    </w:p>
    <w:p>
      <w:pPr>
        <w:spacing w:after="120" w:before="0" w:line="240" w:lineRule="auto"/>
      </w:pPr>
      <w:r>
        <w:rPr>
          <w:rFonts w:ascii="Calibri" w:hAnsi="Calibri"/>
          <w:b w:val="0"/>
          <w:sz w:val="22"/>
        </w:rPr>
        <w:t>Run CSD analysis/Estimate_behavior_aligned_csd.m first. The export covers 14 behaviors, play / aggression / exploration, implanted-animal play versus partner play, and whole play bouts. These maps are laminar current, not delta-band power (task 2.8).</w:t>
      </w:r>
    </w:p>
    <w:p>
      <w:pPr>
        <w:pStyle w:val="Heading2"/>
      </w:pPr>
      <w:r>
        <w:rPr>
          <w:rFonts w:ascii="Calibri" w:hAnsi="Calibri"/>
          <w:sz w:val="26"/>
        </w:rPr>
        <w:t>1.10 Current-source density consistency inside each area (Reviewer 2.3)</w:t>
      </w:r>
    </w:p>
    <w:p>
      <w:pPr>
        <w:spacing w:after="120" w:before="0" w:line="240" w:lineRule="auto"/>
      </w:pPr>
      <w:r>
        <w:rPr>
          <w:rFonts w:ascii="Calibri" w:hAnsi="Calibri"/>
          <w:b w:val="0"/>
          <w:sz w:val="22"/>
        </w:rPr>
        <w:t>Figure code: CSD analysis/area_csd_consistency.py</w:t>
      </w:r>
    </w:p>
    <w:p>
      <w:pPr>
        <w:pStyle w:val="ListBullet"/>
        <w:spacing w:after="40" w:before="0"/>
      </w:pPr>
      <w:r>
        <w:rPr>
          <w:rFonts w:ascii="Calibri" w:hAnsi="Calibri"/>
          <w:b w:val="0"/>
          <w:sz w:val="22"/>
        </w:rPr>
        <w:t>summarize_area_csd_across_sessions. Writes mean_csd.png, sign_consistency.png, and smoothed_mean_clusters.png.</w:t>
      </w:r>
    </w:p>
    <w:p>
      <w:pPr>
        <w:pStyle w:val="ListBullet"/>
        <w:spacing w:after="40" w:before="0"/>
      </w:pPr>
      <w:r>
        <w:rPr>
          <w:rFonts w:ascii="Calibri" w:hAnsi="Calibri"/>
          <w:b w:val="0"/>
          <w:sz w:val="22"/>
        </w:rPr>
        <w:t>finalize_area_consistency_from_cache. Rebuilds those figures from the session cache.</w:t>
      </w:r>
    </w:p>
    <w:p>
      <w:pPr>
        <w:pStyle w:val="ListBullet"/>
        <w:spacing w:after="40" w:before="0"/>
      </w:pPr>
      <w:r>
        <w:rPr>
          <w:rFonts w:ascii="Calibri" w:hAnsi="Calibri"/>
          <w:b w:val="0"/>
          <w:sz w:val="22"/>
        </w:rPr>
        <w:t>organize_area_consistency_figures. Copies them into area_consistency/by_behavior/onset and offset.</w:t>
      </w:r>
    </w:p>
    <w:p>
      <w:pPr>
        <w:spacing w:after="120" w:before="0" w:line="240" w:lineRule="auto"/>
      </w:pPr>
      <w:r>
        <w:rPr>
          <w:rFonts w:ascii="Calibri" w:hAnsi="Calibri"/>
          <w:b w:val="0"/>
          <w:sz w:val="22"/>
        </w:rPr>
        <w:t>This shows whether a laminar pattern repeats across sessions. It does not test the neuron phase-gradient point in task 2.5.</w:t>
      </w:r>
    </w:p>
    <w:p>
      <w:pPr>
        <w:pStyle w:val="Heading2"/>
      </w:pPr>
      <w:r>
        <w:rPr>
          <w:rFonts w:ascii="Calibri" w:hAnsi="Calibri"/>
          <w:sz w:val="26"/>
        </w:rPr>
        <w:t>1.11 Click tracking of both animals</w:t>
      </w:r>
    </w:p>
    <w:p>
      <w:pPr>
        <w:spacing w:after="120" w:before="0" w:line="240" w:lineRule="auto"/>
      </w:pPr>
      <w:r>
        <w:rPr>
          <w:rFonts w:ascii="Calibri" w:hAnsi="Calibri"/>
          <w:b w:val="0"/>
          <w:sz w:val="22"/>
        </w:rPr>
        <w:t>manual traking/manual_traking.m collects clicks. It does not draw a referee figure. Figure 1 and Figure 2 later load the saved traking_structure files.</w:t>
      </w:r>
    </w:p>
    <w:p>
      <w:pPr>
        <w:pStyle w:val="Heading2"/>
      </w:pPr>
      <w:r>
        <w:rPr>
          <w:rFonts w:ascii="Calibri" w:hAnsi="Calibri"/>
          <w:sz w:val="26"/>
        </w:rPr>
        <w:t>1.12 Synchronous-spike waveforms on the channels between units (Reviewer 2.3)</w:t>
      </w:r>
    </w:p>
    <w:p>
      <w:pPr>
        <w:spacing w:after="120" w:before="0" w:line="240" w:lineRule="auto"/>
      </w:pPr>
      <w:r>
        <w:rPr>
          <w:rFonts w:ascii="Calibri" w:hAnsi="Calibri"/>
          <w:b w:val="0"/>
          <w:sz w:val="22"/>
        </w:rPr>
        <w:t>The claim these figures answer is the zero-lag peak in:</w:t>
      </w:r>
    </w:p>
    <w:p>
      <w:pPr>
        <w:pStyle w:val="ListBullet"/>
        <w:spacing w:after="40" w:before="0"/>
      </w:pPr>
      <w:r>
        <w:rPr>
          <w:rFonts w:ascii="Calibri" w:hAnsi="Calibri"/>
          <w:b w:val="0"/>
          <w:sz w:val="22"/>
        </w:rPr>
        <w:t>Figure 3/Figure 3i cross correlogram.m, section 7, “Fig 3i, and Supp Fig 5g”.</w:t>
      </w:r>
    </w:p>
    <w:p>
      <w:pPr>
        <w:pStyle w:val="ListBullet"/>
        <w:spacing w:after="40" w:before="0"/>
      </w:pPr>
      <w:r>
        <w:rPr>
          <w:rFonts w:ascii="Calibri" w:hAnsi="Calibri"/>
          <w:b w:val="0"/>
          <w:sz w:val="22"/>
        </w:rPr>
        <w:t>Figure 3/Figure 3k Coincident events.m, section “Fig 3k: X Plot”.</w:t>
      </w:r>
    </w:p>
    <w:p>
      <w:pPr>
        <w:spacing w:after="120" w:before="0" w:line="240" w:lineRule="auto"/>
      </w:pPr>
      <w:r>
        <w:rPr>
          <w:rFonts w:ascii="Calibri" w:hAnsi="Calibri"/>
          <w:b w:val="0"/>
          <w:sz w:val="22"/>
        </w:rPr>
        <w:t>The artifact check itself:</w:t>
      </w:r>
    </w:p>
    <w:p>
      <w:pPr>
        <w:pStyle w:val="ListBullet"/>
        <w:spacing w:after="40" w:before="0"/>
      </w:pPr>
      <w:r>
        <w:rPr>
          <w:rFonts w:ascii="Calibri" w:hAnsi="Calibri"/>
          <w:b w:val="0"/>
          <w:sz w:val="22"/>
        </w:rPr>
        <w:t>Synchronous spike artifacts/Analyze_sync_spike_waveforms.m. Distance-percentile histogram, and the high-percentile pairs drawn with both neurons, the non-synchronous mean, the synchronous mean, and the null envelope.</w:t>
      </w:r>
    </w:p>
    <w:p>
      <w:pPr>
        <w:pStyle w:val="ListBullet"/>
        <w:spacing w:after="40" w:before="0"/>
      </w:pPr>
      <w:r>
        <w:rPr>
          <w:rFonts w:ascii="Calibri" w:hAnsi="Calibri"/>
          <w:b w:val="0"/>
          <w:sz w:val="22"/>
        </w:rPr>
        <w:t>Synchronous spike artifacts/Plot_sync_spike_acg_and_waveforms.m. Waveform profile, peak-to-peak range against distance from the largest channel, autocorrelogram stack, and the same stacks again for pairs at least 500 micrometers apart. Example waveforms keep three channels on either side of the peak.</w:t>
      </w:r>
    </w:p>
    <w:p>
      <w:pPr>
        <w:pStyle w:val="ListBullet"/>
        <w:spacing w:after="40" w:before="0"/>
      </w:pPr>
      <w:r>
        <w:rPr>
          <w:rFonts w:ascii="Calibri" w:hAnsi="Calibri"/>
          <w:b w:val="0"/>
          <w:sz w:val="22"/>
        </w:rPr>
        <w:t>Synchronous spike artifacts/Analyze_sync_spike_lfp_power.m. Raw local-field potential power at the synchronous spikes versus phase-matched samples in the same bout windows.</w:t>
      </w:r>
    </w:p>
    <w:p>
      <w:pPr>
        <w:spacing w:after="120" w:before="0" w:line="240" w:lineRule="auto"/>
      </w:pPr>
      <w:r>
        <w:rPr>
          <w:rFonts w:ascii="Calibri" w:hAnsi="Calibri"/>
          <w:b w:val="0"/>
          <w:sz w:val="22"/>
        </w:rPr>
        <w:t>Run Estimate_sync_spike_waveforms.m and Estimate_sync_spike_lfp_power.m before the matching Analyze scripts. Check_NPX_folders_and_load_waveforms.m, section 3, is a folder check (four units per session), not the referee figure.</w:t>
      </w:r>
    </w:p>
    <w:p>
      <w:pPr>
        <w:pStyle w:val="Heading1"/>
      </w:pPr>
      <w:r>
        <w:t>2. Still open on your side</w:t>
      </w:r>
    </w:p>
    <w:p>
      <w:pPr>
        <w:pStyle w:val="Heading2"/>
      </w:pPr>
      <w:r>
        <w:rPr>
          <w:rFonts w:ascii="Calibri" w:hAnsi="Calibri"/>
          <w:sz w:val="26"/>
        </w:rPr>
        <w:t>2.1 Sex, pairing, and units per animal (Reviewer 1)</w:t>
      </w:r>
    </w:p>
    <w:p>
      <w:pPr>
        <w:spacing w:after="120" w:before="0" w:line="240" w:lineRule="auto"/>
      </w:pPr>
      <w:r>
        <w:rPr>
          <w:rFonts w:ascii="Calibri" w:hAnsi="Calibri"/>
          <w:b w:val="0"/>
          <w:sz w:val="22"/>
        </w:rPr>
        <w:t>No figure script splits the results by sex or prints units per region per animal.</w:t>
      </w:r>
    </w:p>
    <w:p>
      <w:pPr>
        <w:pStyle w:val="Heading2"/>
      </w:pPr>
      <w:r>
        <w:rPr>
          <w:rFonts w:ascii="Calibri" w:hAnsi="Calibri"/>
          <w:sz w:val="26"/>
        </w:rPr>
        <w:t>2.2 One table of animals, sessions, units, and dual pairs (Reviewer 2.5)</w:t>
      </w:r>
    </w:p>
    <w:p>
      <w:pPr>
        <w:spacing w:after="120" w:before="0" w:line="240" w:lineRule="auto"/>
      </w:pPr>
      <w:r>
        <w:rPr>
          <w:rFonts w:ascii="Calibri" w:hAnsi="Calibri"/>
          <w:b w:val="0"/>
          <w:sz w:val="22"/>
        </w:rPr>
        <w:t>No figure or table script.</w:t>
      </w:r>
    </w:p>
    <w:p>
      <w:pPr>
        <w:pStyle w:val="Heading2"/>
      </w:pPr>
      <w:r>
        <w:rPr>
          <w:rFonts w:ascii="Calibri" w:hAnsi="Calibri"/>
          <w:sz w:val="26"/>
        </w:rPr>
        <w:t>2.3 Pre-onset rise versus the analysis window (Reviewer 2.3)</w:t>
      </w:r>
    </w:p>
    <w:p>
      <w:pPr>
        <w:spacing w:after="120" w:before="0" w:line="240" w:lineRule="auto"/>
      </w:pPr>
      <w:r>
        <w:rPr>
          <w:rFonts w:ascii="Calibri" w:hAnsi="Calibri"/>
          <w:b w:val="0"/>
          <w:sz w:val="22"/>
        </w:rPr>
        <w:t>The published onset curve the reviewer is asking about:</w:t>
      </w:r>
    </w:p>
    <w:p>
      <w:pPr>
        <w:pStyle w:val="ListBullet"/>
        <w:spacing w:after="40" w:before="0"/>
      </w:pPr>
      <w:r>
        <w:rPr>
          <w:rFonts w:ascii="Calibri" w:hAnsi="Calibri"/>
          <w:b w:val="0"/>
          <w:sz w:val="22"/>
        </w:rPr>
        <w:t>Figure 2/Figure 2.m, section 12, “Fig 2e,f and Supp Fig 4a,d”.</w:t>
      </w:r>
    </w:p>
    <w:p>
      <w:pPr>
        <w:spacing w:after="120" w:before="0" w:line="240" w:lineRule="auto"/>
      </w:pPr>
      <w:r>
        <w:rPr>
          <w:rFonts w:ascii="Calibri" w:hAnsi="Calibri"/>
          <w:b w:val="0"/>
          <w:sz w:val="22"/>
        </w:rPr>
        <w:t>The closest existing time-resolved spectrum, with a window that is still 5 s by default:</w:t>
      </w:r>
    </w:p>
    <w:p>
      <w:pPr>
        <w:pStyle w:val="ListBullet"/>
        <w:spacing w:after="40" w:before="0"/>
      </w:pPr>
      <w:r>
        <w:rPr>
          <w:rFonts w:ascii="Calibri" w:hAnsi="Calibri"/>
          <w:b w:val="0"/>
          <w:sz w:val="22"/>
        </w:rPr>
        <w:t>Figure 2/Supporting codes v2/Analyze_psth_full_spectrogram_fooof_sliding.m. Sections listed in task 1.2.</w:t>
      </w:r>
    </w:p>
    <w:p>
      <w:pPr>
        <w:spacing w:after="120" w:before="0" w:line="240" w:lineRule="auto"/>
      </w:pPr>
      <w:r>
        <w:rPr>
          <w:rFonts w:ascii="Calibri" w:hAnsi="Calibri"/>
          <w:b w:val="0"/>
          <w:sz w:val="22"/>
        </w:rPr>
        <w:t>There is no short-window figure that shows the pre-onset lead outside the smear of a 1 s window.</w:t>
      </w:r>
    </w:p>
    <w:p>
      <w:pPr>
        <w:pStyle w:val="Heading2"/>
      </w:pPr>
      <w:r>
        <w:rPr>
          <w:rFonts w:ascii="Calibri" w:hAnsi="Calibri"/>
          <w:sz w:val="26"/>
        </w:rPr>
        <w:t>2.4 Local re-reference (Reviewer 2.3)</w:t>
      </w:r>
    </w:p>
    <w:p>
      <w:pPr>
        <w:spacing w:after="120" w:before="0" w:line="240" w:lineRule="auto"/>
      </w:pPr>
      <w:r>
        <w:rPr>
          <w:rFonts w:ascii="Calibri" w:hAnsi="Calibri"/>
          <w:b w:val="0"/>
          <w:sz w:val="22"/>
        </w:rPr>
        <w:t>No script draws a locally re-referenced local-field potential. The current-source density figures in tasks 1.5 and 1.9, and the phase-lag figure in task 2.5, are the plots that can stand in that reply.</w:t>
      </w:r>
    </w:p>
    <w:p>
      <w:pPr>
        <w:pStyle w:val="Heading2"/>
      </w:pPr>
      <w:r>
        <w:rPr>
          <w:rFonts w:ascii="Calibri" w:hAnsi="Calibri"/>
          <w:sz w:val="26"/>
        </w:rPr>
        <w:t>2.5 Dorsoventral lock gradient versus a volume-conducted phase shift (Reviewer 2.3)</w:t>
      </w:r>
    </w:p>
    <w:p>
      <w:pPr>
        <w:spacing w:after="120" w:before="0" w:line="240" w:lineRule="auto"/>
      </w:pPr>
      <w:r>
        <w:rPr>
          <w:rFonts w:ascii="Calibri" w:hAnsi="Calibri"/>
          <w:b w:val="0"/>
          <w:sz w:val="22"/>
        </w:rPr>
        <w:t>Phase-lag figure you are drawing:</w:t>
      </w:r>
    </w:p>
    <w:p>
      <w:pPr>
        <w:pStyle w:val="ListBullet"/>
        <w:spacing w:after="40" w:before="0"/>
      </w:pPr>
      <w:r>
        <w:rPr>
          <w:rFonts w:ascii="Calibri" w:hAnsi="Calibri"/>
          <w:b w:val="0"/>
          <w:sz w:val="22"/>
        </w:rPr>
        <w:t>Figure 2/Supporting codes v2/Estimate_coherence_maps.m, section “Plot — phase lags”. Channel-by-channel phase-lag matrix, depth on both axes. As written it uses mean_phaseLag_freq2 (6–12 Hz). Delta is mean_phaseLag_freq1.</w:t>
      </w:r>
    </w:p>
    <w:p>
      <w:pPr>
        <w:spacing w:after="120" w:before="0" w:line="240" w:lineRule="auto"/>
      </w:pPr>
      <w:r>
        <w:rPr>
          <w:rFonts w:ascii="Calibri" w:hAnsi="Calibri"/>
          <w:b w:val="0"/>
          <w:sz w:val="22"/>
        </w:rPr>
        <w:t>The gradient the reviewer is questioning:</w:t>
      </w:r>
    </w:p>
    <w:p>
      <w:pPr>
        <w:pStyle w:val="ListBullet"/>
        <w:spacing w:after="40" w:before="0"/>
      </w:pPr>
      <w:r>
        <w:rPr>
          <w:rFonts w:ascii="Calibri" w:hAnsi="Calibri"/>
          <w:b w:val="0"/>
          <w:sz w:val="22"/>
        </w:rPr>
        <w:t>Figure 3/Figure 3a-e.m, section 13, “Fig 3d Percent per area” (trough-locked versus peak-locked fractions).</w:t>
      </w:r>
    </w:p>
    <w:p>
      <w:pPr>
        <w:pStyle w:val="ListBullet"/>
        <w:spacing w:after="40" w:before="0"/>
      </w:pPr>
      <w:r>
        <w:rPr>
          <w:rFonts w:ascii="Calibri" w:hAnsi="Calibri"/>
          <w:b w:val="0"/>
          <w:sz w:val="22"/>
        </w:rPr>
        <w:t>Figure 3/Figure 3a-e.m, section 11, “Plot mean preferred angle per structure”.</w:t>
      </w:r>
    </w:p>
    <w:p>
      <w:pPr>
        <w:spacing w:after="120" w:before="0" w:line="240" w:lineRule="auto"/>
      </w:pPr>
      <w:r>
        <w:rPr>
          <w:rFonts w:ascii="Calibri" w:hAnsi="Calibri"/>
          <w:b w:val="0"/>
          <w:sz w:val="22"/>
        </w:rPr>
        <w:t>Depth-resolved field figures that belong with the same answer:</w:t>
      </w:r>
    </w:p>
    <w:p>
      <w:pPr>
        <w:pStyle w:val="ListBullet"/>
        <w:spacing w:after="40" w:before="0"/>
      </w:pPr>
      <w:r>
        <w:rPr>
          <w:rFonts w:ascii="Calibri" w:hAnsi="Calibri"/>
          <w:b w:val="0"/>
          <w:sz w:val="22"/>
        </w:rPr>
        <w:t>CSD analysis/Plot_delta_peak_trough_evoked.m. Amplitude versus depth.</w:t>
      </w:r>
    </w:p>
    <w:p>
      <w:pPr>
        <w:pStyle w:val="ListBullet"/>
        <w:spacing w:after="40" w:before="0"/>
      </w:pPr>
      <w:r>
        <w:rPr>
          <w:rFonts w:ascii="Calibri" w:hAnsi="Calibri"/>
          <w:b w:val="0"/>
          <w:sz w:val="22"/>
        </w:rPr>
        <w:t>CSD analysis/csd_1d_pipeline.py, run_delta_csd_from_root, and CSD_1D_general.ipynb. Peak and trough current-source density.</w:t>
      </w:r>
    </w:p>
    <w:p>
      <w:pPr>
        <w:pStyle w:val="ListBullet"/>
        <w:spacing w:after="40" w:before="0"/>
      </w:pPr>
      <w:r>
        <w:rPr>
          <w:rFonts w:ascii="Calibri" w:hAnsi="Calibri"/>
          <w:b w:val="0"/>
          <w:sz w:val="22"/>
        </w:rPr>
        <w:t>CSD analysis/area_csd_consistency.py. mean_csd.png, sign_consistency.png, smoothed_mean_clusters.png (task 1.10).</w:t>
      </w:r>
    </w:p>
    <w:p>
      <w:pPr>
        <w:pStyle w:val="ListBullet"/>
        <w:spacing w:after="40" w:before="0"/>
      </w:pPr>
      <w:r>
        <w:rPr>
          <w:rFonts w:ascii="Calibri" w:hAnsi="Calibri"/>
          <w:b w:val="0"/>
          <w:sz w:val="22"/>
        </w:rPr>
        <w:t>Per-area onset PSTHs and power maps are in task 1.1: Figure 2/Supporting codes v2/Analyze_psth_area_maps.m.</w:t>
      </w:r>
    </w:p>
    <w:p>
      <w:pPr>
        <w:pStyle w:val="Heading2"/>
      </w:pPr>
      <w:r>
        <w:rPr>
          <w:rFonts w:ascii="Calibri" w:hAnsi="Calibri"/>
          <w:sz w:val="26"/>
        </w:rPr>
        <w:t>2.6 Second partner confounded with order (Reviewer 2.2)</w:t>
      </w:r>
    </w:p>
    <w:p>
      <w:pPr>
        <w:spacing w:after="120" w:before="0" w:line="240" w:lineRule="auto"/>
      </w:pPr>
      <w:r>
        <w:rPr>
          <w:rFonts w:ascii="Calibri" w:hAnsi="Calibri"/>
          <w:b w:val="0"/>
          <w:sz w:val="22"/>
        </w:rPr>
        <w:t>Figure script: Figure 2/Play partner.m</w:t>
      </w:r>
    </w:p>
    <w:p>
      <w:pPr>
        <w:pStyle w:val="ListBullet"/>
        <w:spacing w:after="40" w:before="0"/>
      </w:pPr>
      <w:r>
        <w:rPr>
          <w:rFonts w:ascii="Calibri" w:hAnsi="Calibri"/>
          <w:b w:val="0"/>
          <w:sz w:val="22"/>
        </w:rPr>
        <w:t>Section 4, “Supp Fig 2i” (change in delta power against change in amount of play).</w:t>
      </w:r>
    </w:p>
    <w:p>
      <w:pPr>
        <w:pStyle w:val="ListBullet"/>
        <w:spacing w:after="40" w:before="0"/>
      </w:pPr>
      <w:r>
        <w:rPr>
          <w:rFonts w:ascii="Calibri" w:hAnsi="Calibri"/>
          <w:b w:val="0"/>
          <w:sz w:val="22"/>
        </w:rPr>
        <w:t>Section 5, “Stacking and ploting responsed with each partner”.</w:t>
      </w:r>
    </w:p>
    <w:p>
      <w:pPr>
        <w:pStyle w:val="ListBullet"/>
        <w:spacing w:after="40" w:before="0"/>
      </w:pPr>
      <w:r>
        <w:rPr>
          <w:rFonts w:ascii="Calibri" w:hAnsi="Calibri"/>
          <w:b w:val="0"/>
          <w:sz w:val="22"/>
        </w:rPr>
        <w:t>Section 6, “Supp Fig 2h” (partner effect from the mixed model).</w:t>
      </w:r>
    </w:p>
    <w:p>
      <w:pPr>
        <w:spacing w:after="120" w:before="0" w:line="240" w:lineRule="auto"/>
      </w:pPr>
      <w:r>
        <w:rPr>
          <w:rFonts w:ascii="Calibri" w:hAnsi="Calibri"/>
          <w:b w:val="0"/>
          <w:sz w:val="22"/>
        </w:rPr>
        <w:t>These compare partner 1 with partner 2. None of them separates partner identity from session order.</w:t>
      </w:r>
    </w:p>
    <w:p>
      <w:pPr>
        <w:pStyle w:val="Heading2"/>
      </w:pPr>
      <w:r>
        <w:rPr>
          <w:rFonts w:ascii="Calibri" w:hAnsi="Calibri"/>
          <w:sz w:val="26"/>
        </w:rPr>
        <w:t>2.7 Pounce versus pounce-with-immobilization, as behavior (Reviewer 1)</w:t>
      </w:r>
    </w:p>
    <w:p>
      <w:pPr>
        <w:spacing w:after="120" w:before="0" w:line="240" w:lineRule="auto"/>
      </w:pPr>
      <w:r>
        <w:rPr>
          <w:rFonts w:ascii="Calibri" w:hAnsi="Calibri"/>
          <w:b w:val="0"/>
          <w:sz w:val="22"/>
        </w:rPr>
        <w:t>Behavior and rate figures already in the repository:</w:t>
      </w:r>
    </w:p>
    <w:p>
      <w:pPr>
        <w:pStyle w:val="ListBullet"/>
        <w:spacing w:after="40" w:before="0"/>
      </w:pPr>
      <w:r>
        <w:rPr>
          <w:rFonts w:ascii="Calibri" w:hAnsi="Calibri"/>
          <w:b w:val="0"/>
          <w:sz w:val="22"/>
        </w:rPr>
        <w:t>Figure 5/Figure_5_Panels_bd_v1.m. Pounce entrainment comparison. This redraws existing panels. It does not report classifier false alarms.</w:t>
      </w:r>
    </w:p>
    <w:p>
      <w:pPr>
        <w:pStyle w:val="ListBullet"/>
        <w:spacing w:after="40" w:before="0"/>
      </w:pPr>
      <w:r>
        <w:rPr>
          <w:rFonts w:ascii="Calibri" w:hAnsi="Calibri"/>
          <w:b w:val="0"/>
          <w:sz w:val="22"/>
        </w:rPr>
        <w:t>Figure 5/Figure_5_Panel_e_v1.m. Early, late, and sustained pounce responses.</w:t>
      </w:r>
    </w:p>
    <w:p>
      <w:pPr>
        <w:pStyle w:val="ListBullet"/>
        <w:spacing w:after="40" w:before="0"/>
      </w:pPr>
      <w:r>
        <w:rPr>
          <w:rFonts w:ascii="Calibri" w:hAnsi="Calibri"/>
          <w:b w:val="0"/>
          <w:sz w:val="22"/>
        </w:rPr>
        <w:t>Figure 2/Supporting codes v2/Analyze_psth_all_behaviors.m. Sections “Plot self vs other — play behaviors” and “Plot colormap and mean responses”. Pounce is one behavior in that set.</w:t>
      </w:r>
    </w:p>
    <w:p>
      <w:pPr>
        <w:spacing w:after="120" w:before="0" w:line="240" w:lineRule="auto"/>
      </w:pPr>
      <w:r>
        <w:rPr>
          <w:rFonts w:ascii="Calibri" w:hAnsi="Calibri"/>
          <w:b w:val="0"/>
          <w:sz w:val="22"/>
        </w:rPr>
        <w:t>The neural decoder, false alarms, and split-half ceiling are listed under the collaborator (task 3.6). Gamma in both animals is task 3.5.</w:t>
      </w:r>
    </w:p>
    <w:p>
      <w:pPr>
        <w:pStyle w:val="Heading2"/>
      </w:pPr>
      <w:r>
        <w:rPr>
          <w:rFonts w:ascii="Calibri" w:hAnsi="Calibri"/>
          <w:sz w:val="26"/>
        </w:rPr>
        <w:t>2.8 Delta power per behavior and per role (Reviewer 2.4)</w:t>
      </w:r>
    </w:p>
    <w:p>
      <w:pPr>
        <w:spacing w:after="120" w:before="0" w:line="240" w:lineRule="auto"/>
      </w:pPr>
      <w:r>
        <w:rPr>
          <w:rFonts w:ascii="Calibri" w:hAnsi="Calibri"/>
          <w:b w:val="0"/>
          <w:sz w:val="22"/>
        </w:rPr>
        <w:t>Figure script: Figure 2/Supporting codes v2/Analyze_psth_all_behaviors.m</w:t>
      </w:r>
    </w:p>
    <w:p>
      <w:pPr>
        <w:pStyle w:val="ListBullet"/>
        <w:spacing w:after="40" w:before="0"/>
      </w:pPr>
      <w:r>
        <w:rPr>
          <w:rFonts w:ascii="Calibri" w:hAnsi="Calibri"/>
          <w:b w:val="0"/>
          <w:sz w:val="22"/>
        </w:rPr>
        <w:t>Section “Plot colormap and mean responses (play vs non-play)”.</w:t>
      </w:r>
    </w:p>
    <w:p>
      <w:pPr>
        <w:pStyle w:val="ListBullet"/>
        <w:spacing w:after="40" w:before="0"/>
      </w:pPr>
      <w:r>
        <w:rPr>
          <w:rFonts w:ascii="Calibri" w:hAnsi="Calibri"/>
          <w:b w:val="0"/>
          <w:sz w:val="22"/>
        </w:rPr>
        <w:t>Section “Plot bar and scatter comparison (onset-aligned)”.</w:t>
      </w:r>
    </w:p>
    <w:p>
      <w:pPr>
        <w:pStyle w:val="ListBullet"/>
        <w:spacing w:after="40" w:before="0"/>
      </w:pPr>
      <w:r>
        <w:rPr>
          <w:rFonts w:ascii="Calibri" w:hAnsi="Calibri"/>
          <w:b w:val="0"/>
          <w:sz w:val="22"/>
        </w:rPr>
        <w:t>Section “Plot self vs other — play behaviors”.</w:t>
      </w:r>
    </w:p>
    <w:p>
      <w:pPr>
        <w:pStyle w:val="ListBullet"/>
        <w:spacing w:after="40" w:before="0"/>
      </w:pPr>
      <w:r>
        <w:rPr>
          <w:rFonts w:ascii="Calibri" w:hAnsi="Calibri"/>
          <w:b w:val="0"/>
          <w:sz w:val="22"/>
        </w:rPr>
        <w:t>Section “Plot self vs other — non-play behaviors”.</w:t>
      </w:r>
    </w:p>
    <w:p>
      <w:pPr>
        <w:pStyle w:val="ListBullet"/>
        <w:spacing w:after="40" w:before="0"/>
      </w:pPr>
      <w:r>
        <w:rPr>
          <w:rFonts w:ascii="Calibri" w:hAnsi="Calibri"/>
          <w:b w:val="0"/>
          <w:sz w:val="22"/>
        </w:rPr>
        <w:t>The matching time-wrapped sections: “Plot colormap and mean responses (time-wrapped)” and “Plot bar and scatter comparison (time-wrapped)”.</w:t>
      </w:r>
    </w:p>
    <w:p>
      <w:pPr>
        <w:spacing w:after="120" w:before="0" w:line="240" w:lineRule="auto"/>
      </w:pPr>
      <w:r>
        <w:rPr>
          <w:rFonts w:ascii="Calibri" w:hAnsi="Calibri"/>
          <w:b w:val="0"/>
          <w:sz w:val="22"/>
        </w:rPr>
        <w:t>The laminar version, not delta-band power, is task 1.9.</w:t>
      </w:r>
    </w:p>
    <w:p>
      <w:pPr>
        <w:pStyle w:val="Heading2"/>
      </w:pPr>
      <w:r>
        <w:rPr>
          <w:rFonts w:ascii="Calibri" w:hAnsi="Calibri"/>
          <w:sz w:val="26"/>
        </w:rPr>
        <w:t>2.9 Distance-matched play versus non-play, and a high-arousal control (Reviewer 2.2)</w:t>
      </w:r>
    </w:p>
    <w:p>
      <w:pPr>
        <w:spacing w:after="120" w:before="0" w:line="240" w:lineRule="auto"/>
      </w:pPr>
      <w:r>
        <w:rPr>
          <w:rFonts w:ascii="Calibri" w:hAnsi="Calibri"/>
          <w:b w:val="0"/>
          <w:sz w:val="22"/>
        </w:rPr>
        <w:t>No distance-matched figure. The speed-matched figure is task 1.4. manual traking/manual_traking.m can supply positions later. It does not draw this comparison.</w:t>
      </w:r>
    </w:p>
    <w:p>
      <w:pPr>
        <w:pStyle w:val="Heading2"/>
      </w:pPr>
      <w:r>
        <w:rPr>
          <w:rFonts w:ascii="Calibri" w:hAnsi="Calibri"/>
          <w:sz w:val="26"/>
        </w:rPr>
        <w:t>2.10 Nest the original pooled neuron tests by animal (Reviewer 2.5)</w:t>
      </w:r>
    </w:p>
    <w:p>
      <w:pPr>
        <w:spacing w:after="120" w:before="0" w:line="240" w:lineRule="auto"/>
      </w:pPr>
      <w:r>
        <w:rPr>
          <w:rFonts w:ascii="Calibri" w:hAnsi="Calibri"/>
          <w:b w:val="0"/>
          <w:sz w:val="22"/>
        </w:rPr>
        <w:t>Figures that already average within animal:</w:t>
      </w:r>
    </w:p>
    <w:p>
      <w:pPr>
        <w:pStyle w:val="ListBullet"/>
        <w:spacing w:after="40" w:before="0"/>
      </w:pPr>
      <w:r>
        <w:rPr>
          <w:rFonts w:ascii="Calibri" w:hAnsi="Calibri"/>
          <w:b w:val="0"/>
          <w:sz w:val="22"/>
        </w:rPr>
        <w:t>Figure 3/Supporting codes/Analyze_play_ppc_amplitude_matched.m, section “Overall trough-locked-cell result, using animals as replicates”.</w:t>
      </w:r>
    </w:p>
    <w:p>
      <w:pPr>
        <w:pStyle w:val="ListBullet"/>
        <w:spacing w:after="40" w:before="0"/>
      </w:pPr>
      <w:r>
        <w:rPr>
          <w:rFonts w:ascii="Calibri" w:hAnsi="Calibri"/>
          <w:b w:val="0"/>
          <w:sz w:val="22"/>
        </w:rPr>
        <w:t>Figure 3/Supporting codes/Analyze_play_ppc_power_contrast.m, the same section.</w:t>
      </w:r>
    </w:p>
    <w:p>
      <w:pPr>
        <w:spacing w:after="120" w:before="0" w:line="240" w:lineRule="auto"/>
      </w:pPr>
      <w:r>
        <w:rPr>
          <w:rFonts w:ascii="Calibri" w:hAnsi="Calibri"/>
          <w:b w:val="0"/>
          <w:sz w:val="22"/>
        </w:rPr>
        <w:t>The original pooled figures were not redrawn with animal nesting:</w:t>
      </w:r>
    </w:p>
    <w:p>
      <w:pPr>
        <w:pStyle w:val="ListBullet"/>
        <w:spacing w:after="40" w:before="0"/>
      </w:pPr>
      <w:r>
        <w:rPr>
          <w:rFonts w:ascii="Calibri" w:hAnsi="Calibri"/>
          <w:b w:val="0"/>
          <w:sz w:val="22"/>
        </w:rPr>
        <w:t>Figure 3/Figure 3a-e.m, sections 7, 13, and 15 (Fig. 3c, 3d, 3e).</w:t>
      </w:r>
    </w:p>
    <w:p>
      <w:pPr>
        <w:pStyle w:val="ListBullet"/>
        <w:spacing w:after="40" w:before="0"/>
      </w:pPr>
      <w:r>
        <w:rPr>
          <w:rFonts w:ascii="Calibri" w:hAnsi="Calibri"/>
          <w:b w:val="0"/>
          <w:sz w:val="22"/>
        </w:rPr>
        <w:t>Figure 3/Figure 3g-h Activation Index.m, sections 3 and 4 (Fig. 3h and 3g).</w:t>
      </w:r>
    </w:p>
    <w:p>
      <w:pPr>
        <w:pStyle w:val="ListBullet"/>
        <w:spacing w:after="40" w:before="0"/>
      </w:pPr>
      <w:r>
        <w:rPr>
          <w:rFonts w:ascii="Calibri" w:hAnsi="Calibri"/>
          <w:b w:val="0"/>
          <w:sz w:val="22"/>
        </w:rPr>
        <w:t>Figure 3/Figure 3k Coincident events.m, section “Fig 3k: X Plot”.</w:t>
      </w:r>
    </w:p>
    <w:p>
      <w:pPr>
        <w:pStyle w:val="Heading2"/>
      </w:pPr>
      <w:r>
        <w:rPr>
          <w:rFonts w:ascii="Calibri" w:hAnsi="Calibri"/>
          <w:sz w:val="26"/>
        </w:rPr>
        <w:t>2.11 Variance partitioning and reciprocity (Reviewer 2.2)</w:t>
      </w:r>
    </w:p>
    <w:p>
      <w:pPr>
        <w:pStyle w:val="ListBullet"/>
        <w:spacing w:after="40" w:before="0"/>
      </w:pPr>
      <w:r>
        <w:rPr>
          <w:rFonts w:ascii="Calibri" w:hAnsi="Calibri"/>
          <w:b w:val="0"/>
          <w:sz w:val="22"/>
        </w:rPr>
        <w:t>Figure 2/Figure 2.m, section 7, “Fig 2g, Supp Fig 4c,f”. Unique R². Full-model R² is not a separate panel.</w:t>
      </w:r>
    </w:p>
    <w:p>
      <w:pPr>
        <w:pStyle w:val="ListBullet"/>
        <w:spacing w:after="40" w:before="0"/>
      </w:pPr>
      <w:r>
        <w:rPr>
          <w:rFonts w:ascii="Calibri" w:hAnsi="Calibri"/>
          <w:b w:val="0"/>
          <w:sz w:val="22"/>
        </w:rPr>
        <w:t>Figure 2/Reciprocity.m, section 11, “Fig 2h, Supp Fig 3b,c”.</w:t>
      </w:r>
    </w:p>
    <w:p>
      <w:pPr>
        <w:pStyle w:val="ListBullet"/>
        <w:spacing w:after="40" w:before="0"/>
      </w:pPr>
      <w:r>
        <w:rPr>
          <w:rFonts w:ascii="Calibri" w:hAnsi="Calibri"/>
          <w:b w:val="0"/>
          <w:sz w:val="22"/>
        </w:rPr>
        <w:t>Figure 2/Reciprocity.m, section 8, “Supp Fig 3a”, and section 12, “Supp Fig 3e,f”.</w:t>
      </w:r>
    </w:p>
    <w:p>
      <w:pPr>
        <w:pStyle w:val="Heading1"/>
      </w:pPr>
      <w:r>
        <w:t>3. Collaborator: coupling, mutual information, and specificity</w:t>
      </w:r>
    </w:p>
    <w:p>
      <w:pPr>
        <w:spacing w:after="120" w:before="0" w:line="240" w:lineRule="auto"/>
      </w:pPr>
      <w:r>
        <w:rPr>
          <w:rFonts w:ascii="Calibri" w:hAnsi="Calibri"/>
          <w:b w:val="0"/>
          <w:sz w:val="22"/>
        </w:rPr>
        <w:t>These figure scripts already exist. They are listed so the reply can point at them. The new analyses the reviewers asked for are not in these files.</w:t>
      </w:r>
    </w:p>
    <w:p>
      <w:pPr>
        <w:pStyle w:val="Heading2"/>
      </w:pPr>
      <w:r>
        <w:rPr>
          <w:rFonts w:ascii="Calibri" w:hAnsi="Calibri"/>
          <w:sz w:val="26"/>
        </w:rPr>
        <w:t>3.1 Between-animal delta mutual information and cross-correlation (Reviewer 2.1)</w:t>
      </w:r>
    </w:p>
    <w:p>
      <w:pPr>
        <w:pStyle w:val="ListBullet"/>
        <w:spacing w:after="40" w:before="0"/>
      </w:pPr>
      <w:r>
        <w:rPr>
          <w:rFonts w:ascii="Calibri" w:hAnsi="Calibri"/>
          <w:b w:val="0"/>
          <w:sz w:val="22"/>
        </w:rPr>
        <w:t>Figure 6/Figure 6 Basic MI.m. Panels for the basic mutual-information results.</w:t>
      </w:r>
    </w:p>
    <w:p>
      <w:pPr>
        <w:pStyle w:val="ListBullet"/>
        <w:spacing w:after="40" w:before="0"/>
      </w:pPr>
      <w:r>
        <w:rPr>
          <w:rFonts w:ascii="Calibri" w:hAnsi="Calibri"/>
          <w:b w:val="0"/>
          <w:sz w:val="22"/>
        </w:rPr>
        <w:t>Figure 6/Fig 6f.m. Two-animal local-field potential cross-correlation.</w:t>
      </w:r>
    </w:p>
    <w:p>
      <w:pPr>
        <w:pStyle w:val="ListBullet"/>
        <w:spacing w:after="40" w:before="0"/>
      </w:pPr>
      <w:r>
        <w:rPr>
          <w:rFonts w:ascii="Calibri" w:hAnsi="Calibri"/>
          <w:b w:val="0"/>
          <w:sz w:val="22"/>
        </w:rPr>
        <w:t>Figure 6/Fig 6i.m.</w:t>
      </w:r>
    </w:p>
    <w:p>
      <w:pPr>
        <w:spacing w:after="120" w:before="0" w:line="240" w:lineRule="auto"/>
      </w:pPr>
      <w:r>
        <w:rPr>
          <w:rFonts w:ascii="Calibri" w:hAnsi="Calibri"/>
          <w:b w:val="0"/>
          <w:sz w:val="22"/>
        </w:rPr>
        <w:t>No script yet draws residual delta after regressing both animals’ behavior, feature-matched nulls, session-wide or lagged correlations, or a no-interaction control.</w:t>
      </w:r>
    </w:p>
    <w:p>
      <w:pPr>
        <w:pStyle w:val="Heading2"/>
      </w:pPr>
      <w:r>
        <w:rPr>
          <w:rFonts w:ascii="Calibri" w:hAnsi="Calibri"/>
          <w:sz w:val="26"/>
        </w:rPr>
        <w:t>3.2 Behavior specificity of single neurons (Reviewer 2.4)</w:t>
      </w:r>
    </w:p>
    <w:p>
      <w:pPr>
        <w:pStyle w:val="ListBullet"/>
        <w:spacing w:after="40" w:before="0"/>
      </w:pPr>
      <w:r>
        <w:rPr>
          <w:rFonts w:ascii="Calibri" w:hAnsi="Calibri"/>
          <w:b w:val="0"/>
          <w:sz w:val="22"/>
        </w:rPr>
        <w:t>Figure 4/Figure_4_Panels_abc_Extended_Fig_6_ab_v2.m. Fig. 4a–c and Extended Data Fig. 6a–b.</w:t>
      </w:r>
    </w:p>
    <w:p>
      <w:pPr>
        <w:pStyle w:val="ListBullet"/>
        <w:spacing w:after="40" w:before="0"/>
      </w:pPr>
      <w:r>
        <w:rPr>
          <w:rFonts w:ascii="Calibri" w:hAnsi="Calibri"/>
          <w:b w:val="0"/>
          <w:sz w:val="22"/>
        </w:rPr>
        <w:t>Figure 4/Extended_Fig_6_c_v2.m. Extended Data Fig. 6c.</w:t>
      </w:r>
    </w:p>
    <w:p>
      <w:pPr>
        <w:spacing w:after="120" w:before="0" w:line="240" w:lineRule="auto"/>
      </w:pPr>
      <w:r>
        <w:rPr>
          <w:rFonts w:ascii="Calibri" w:hAnsi="Calibri"/>
          <w:b w:val="0"/>
          <w:sz w:val="22"/>
        </w:rPr>
        <w:t>These redraw the existing warped co-modulation. They do not add the coefficient-count control for firing rate and event count.</w:t>
      </w:r>
    </w:p>
    <w:p>
      <w:pPr>
        <w:pStyle w:val="Heading2"/>
      </w:pPr>
      <w:r>
        <w:rPr>
          <w:rFonts w:ascii="Calibri" w:hAnsi="Calibri"/>
          <w:sz w:val="26"/>
        </w:rPr>
        <w:t>3.3 Pounce-type decoder, false alarms, and split-half ceiling (Reviewer 2.4)</w:t>
      </w:r>
    </w:p>
    <w:p>
      <w:pPr>
        <w:pStyle w:val="ListBullet"/>
        <w:spacing w:after="40" w:before="0"/>
      </w:pPr>
      <w:r>
        <w:rPr>
          <w:rFonts w:ascii="Calibri" w:hAnsi="Calibri"/>
          <w:b w:val="0"/>
          <w:sz w:val="22"/>
        </w:rPr>
        <w:t>Figure 5/Figure_5_Panels_bd_v1.m.</w:t>
      </w:r>
    </w:p>
    <w:p>
      <w:pPr>
        <w:pStyle w:val="ListBullet"/>
        <w:spacing w:after="40" w:before="0"/>
      </w:pPr>
      <w:r>
        <w:rPr>
          <w:rFonts w:ascii="Calibri" w:hAnsi="Calibri"/>
          <w:b w:val="0"/>
          <w:sz w:val="22"/>
        </w:rPr>
        <w:t>Figure 5/Figure_5_Panel_e_v1.m.</w:t>
      </w:r>
    </w:p>
    <w:p>
      <w:pPr>
        <w:spacing w:after="120" w:before="0" w:line="240" w:lineRule="auto"/>
      </w:pPr>
      <w:r>
        <w:rPr>
          <w:rFonts w:ascii="Calibri" w:hAnsi="Calibri"/>
          <w:b w:val="0"/>
          <w:sz w:val="22"/>
        </w:rPr>
        <w:t>Neither file reports the decoder, the false-alarm counts, or a split-half reliability ceiling.</w:t>
      </w:r>
    </w:p>
    <w:p>
      <w:pPr>
        <w:pStyle w:val="Heading2"/>
      </w:pPr>
      <w:r>
        <w:rPr>
          <w:rFonts w:ascii="Calibri" w:hAnsi="Calibri"/>
          <w:sz w:val="26"/>
        </w:rPr>
        <w:t>3.4 Gamma in both animals during the two pounce types (Reviewer 1)</w:t>
      </w:r>
    </w:p>
    <w:p>
      <w:pPr>
        <w:spacing w:after="120" w:before="0" w:line="240" w:lineRule="auto"/>
      </w:pPr>
      <w:r>
        <w:rPr>
          <w:rFonts w:ascii="Calibri" w:hAnsi="Calibri"/>
          <w:b w:val="0"/>
          <w:sz w:val="22"/>
        </w:rPr>
        <w:t>No dual-animal gamma figure. The single-animal call-locked gamma panel is Figure 2/Figure 2.m, section 17, “Supp Fig 4e”.</w:t>
      </w:r>
    </w:p>
    <w:p>
      <w:pPr>
        <w:pStyle w:val="Heading1"/>
      </w:pPr>
      <w:r>
        <w:t>4. Letter and caption fixes that touch a figure file</w:t>
      </w:r>
    </w:p>
    <w:p>
      <w:pPr>
        <w:pStyle w:val="Heading2"/>
      </w:pPr>
      <w:r>
        <w:rPr>
          <w:rFonts w:ascii="Calibri" w:hAnsi="Calibri"/>
          <w:sz w:val="26"/>
        </w:rPr>
        <w:t>4.1 Fig. 5e asterisks are cited and not visible (Reviewer 1)</w:t>
      </w:r>
    </w:p>
    <w:p>
      <w:pPr>
        <w:pStyle w:val="ListBullet"/>
        <w:spacing w:after="40" w:before="0"/>
      </w:pPr>
      <w:r>
        <w:rPr>
          <w:rFonts w:ascii="Calibri" w:hAnsi="Calibri"/>
          <w:b w:val="0"/>
          <w:sz w:val="22"/>
        </w:rPr>
        <w:t>Figure 5/Figure_5_Panel_e_v1.m. The asterisks are not drawn by a labeled section in this script.</w:t>
      </w:r>
    </w:p>
    <w:p>
      <w:pPr>
        <w:pStyle w:val="Heading2"/>
      </w:pPr>
      <w:r>
        <w:rPr>
          <w:rFonts w:ascii="Calibri" w:hAnsi="Calibri"/>
          <w:sz w:val="26"/>
        </w:rPr>
        <w:t>4.2 Fig. 6d threshold does not match Methods (Reviewer 2)</w:t>
      </w:r>
    </w:p>
    <w:p>
      <w:pPr>
        <w:pStyle w:val="ListBullet"/>
        <w:spacing w:after="40" w:before="0"/>
      </w:pPr>
      <w:r>
        <w:rPr>
          <w:rFonts w:ascii="Calibri" w:hAnsi="Calibri"/>
          <w:b w:val="0"/>
          <w:sz w:val="22"/>
        </w:rPr>
        <w:t>Figure 6/Figure 6 Basic MI.m. This is the mutual-information figure file. The threshold edit belongs with the collaborator.</w:t>
      </w:r>
    </w:p>
    <w:p>
      <w:pPr>
        <w:pStyle w:val="Heading2"/>
      </w:pPr>
      <w:r>
        <w:rPr>
          <w:rFonts w:ascii="Calibri" w:hAnsi="Calibri"/>
          <w:sz w:val="26"/>
        </w:rPr>
        <w:t>4.3 Extended Data Fig. 4d says theta and should say gamma (Reviewer 2)</w:t>
      </w:r>
    </w:p>
    <w:p>
      <w:pPr>
        <w:spacing w:after="120" w:before="0" w:line="240" w:lineRule="auto"/>
      </w:pPr>
      <w:r>
        <w:rPr>
          <w:rFonts w:ascii="Calibri" w:hAnsi="Calibri"/>
          <w:b w:val="0"/>
          <w:sz w:val="22"/>
        </w:rPr>
        <w:t>Caption text, not a new analysis. The gamma call panel is Figure 2/Figure 2.m, section 17. The theta speed panel is Figure 2/Figure 2.m, section 21.</w:t>
      </w:r>
    </w:p>
    <w:p>
      <w:pPr>
        <w:pStyle w:val="Heading2"/>
      </w:pPr>
      <w:r>
        <w:rPr>
          <w:rFonts w:ascii="Calibri" w:hAnsi="Calibri"/>
          <w:sz w:val="26"/>
        </w:rPr>
        <w:t>4.4 The reported “PLI” on neurons is pairwise phase consistency (Reviewer 2)</w:t>
      </w:r>
    </w:p>
    <w:p>
      <w:pPr>
        <w:spacing w:after="120" w:before="0" w:line="240" w:lineRule="auto"/>
      </w:pPr>
      <w:r>
        <w:rPr>
          <w:rFonts w:ascii="Calibri" w:hAnsi="Calibri"/>
          <w:b w:val="0"/>
          <w:sz w:val="22"/>
        </w:rPr>
        <w:t>Do not use the coherence phase-lag figure for this correction. That figure is channel phase lag.</w:t>
      </w:r>
    </w:p>
    <w:p>
      <w:pPr>
        <w:pStyle w:val="ListBullet"/>
        <w:spacing w:after="40" w:before="0"/>
      </w:pPr>
      <w:r>
        <w:rPr>
          <w:rFonts w:ascii="Calibri" w:hAnsi="Calibri"/>
          <w:b w:val="0"/>
          <w:sz w:val="22"/>
        </w:rPr>
        <w:t>Neuron–field pairwise phase consistency: Figure 3/Figure 3a-e.m, and Custom functions/ppc.m.</w:t>
      </w:r>
    </w:p>
    <w:p>
      <w:pPr>
        <w:pStyle w:val="ListBullet"/>
        <w:spacing w:after="40" w:before="0"/>
      </w:pPr>
      <w:r>
        <w:rPr>
          <w:rFonts w:ascii="Calibri" w:hAnsi="Calibri"/>
          <w:b w:val="0"/>
          <w:sz w:val="22"/>
        </w:rPr>
        <w:t>Channel phase-lag index and weighted phase-lag index, a different measure: Figure 2/Supporting codes v2/Compute_pli_wpli.m and Compute_pli_wpli_segments.m, plotted from Estimate_coherence_maps.m.</w:t>
      </w:r>
    </w:p>
    <w:p>
      <w:pPr>
        <w:spacing w:after="0" w:before="0" w:line="240" w:lineRule="auto"/>
      </w:pPr>
      <w:r>
        <w:rPr>
          <w:rFonts w:ascii="Calibri" w:hAnsi="Calibri"/>
          <w:b w:val="0"/>
          <w:sz w:val="22"/>
        </w:rPr>
        <w:t>End of list. Scripts that only build .mat files, and do not draw, are omitted except where the figure script cannot run without them.</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