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</w:pPr>
    </w:p>
    <w:p>
      <w:pPr>
        <w:spacing w:after="240"/>
        <w:jc w:val="center"/>
      </w:pPr>
      <w:r>
        <w:rPr>
          <w:rFonts w:ascii="Georgia" w:cs="Georgia" w:eastAsia="Georgia" w:hAnsi="Georgia"/>
          <w:b/>
          <w:bCs/>
          <w:color w:val="1F3864"/>
          <w:sz w:val="60"/>
          <w:szCs w:val="60"/>
        </w:rPr>
        <w:t xml:space="preserve">Un contrato público de tecnología dura años. La tecnología que compra, no.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Cláusulas de IA y deep tech para pliegos de contratación pública · resumen en dos páginas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El problema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Un ayuntamiento contrata un sistema de gestión —tributos, padrón, contabilidad, atención al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ciudadano— por cuatro o cinco años, con prórrogas. El día de la firma la herramienta está al día.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Dos años después han aparecido capacidades que entonces no existían y que nadie podía nombrar al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redactar el pliego. El contrato no dice nada sobre ellas, porque no podía decirlo.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Entonces sólo hay tres salidas, y las tres cuestan dinero público: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Se paga dos veces.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Un contrato nuevo para «modernizar» lo que ya se compró.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Se aguanta.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Años de servicio público prestado con herramientas de otra época.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Se queda cautivo.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Cambiar de proveedor obligaría a dejar atrás los datos y los desarrollos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propios, y sale tan caro que no se cambia. La licitación siguiente está decidida antes de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publicarse.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Nadie ha hecho nada mal por el camino. Es un defecto de diseño del contrato.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Por qué no basta con pedir «que se mantenga actualizado»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Es lo primero que uno escribiría, y no funciona.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La empresa no puede ponerle precio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, porque se le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pide algo cuyo contenido nadie conoce todavía: o infla la oferta por si acaso, o la ignora y ya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discutirá durante la ejecución.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La administración no puede exigirlo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, porque demostrar que una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tecnología concreta «era necesaria» es una apreciación técnica que no se sostiene frente a un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contratista bien asesorado.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Y un tribunal la anula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: una obligación genérica no puede ser ni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siquiera una obligación contractual, y menos aún una cuyo incumplimiento permita resolver el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contrato.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La solución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En lugar de comprar una evolución futura indefinida, **se compran capacidades concretas, con plazo y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con criterios de aceptación verificables**, fijadas en el momento de licitar y revisadas cada año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para las licitaciones siguientes.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La empresa sabe exactamente qué está ofertando y puede presupuestarlo. La administración sabe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exactamente qué puede exigir y cuándo. El tribunal no tiene nada indeterminado que anular. Y el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cumplimiento se comprueba con un acta, no con una discusión.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La otra mitad: de quién son los datos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Un pliego puede restringir la competencia de dos maneras. La conocida es escribirlo a medida de un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proveedor. La otra es más silenciosa: dejar que quien ya está dentro se quede dentro para siempre.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Por eso una parte central del clausulado no habla de inteligencia artificial, sino de **propiedad,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reversibilidad y salida ordenada**: de quién son los datos, de quién son los algoritmos hechos 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medida, qué se entrega al terminar el contrato, en qué formato, en qué plazo y quién comprueba que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funciona. Y por eso renuncia expresamente a puntuar el hecho de tener ya una tecnología a fecha de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licitación: eso premia al proveedor que ya está dentro, y la propia ley lo declara anulable.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Qué es esto, y qué no es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Es un catálogo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de cláusulas ya redactadas, cada una con su justificación, su medio de prueba, su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forma de verificación y su consecuencia; con la memoria justificativa, el circuito completo del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expediente, un caso piloto resuelto entero y los modelos que hacen falta.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No es una norma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: no obliga a nadie por sí mismo.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No es de aplicación automática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: ninguna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cláusula entra en un pliego por el hecho de existir aquí.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No es un «copia y pega»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: una cláusula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incorporada sin necesidad acreditada en la memoria del expediente no protege a la administración, le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añade un motivo de recurso.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Qué se promete, y qué no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No se promete que ningún tribunal pueda anular nada.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No es prometible: todavía no existe doctrina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sobre cláusulas de inteligencia artificial en contratación pública, y el primer recurso creará el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precedente.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Lo que sí está diseñado, y puede comprobarse cláusula por cláusula: cada exigencia tiene una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necesidad identificada y la norma o el acuerdo que la impone; un instrumento correcto —prescripción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técnica, solvencia, criterio de adjudicación o condición especial de ejecución— y sólo uno, para que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nada se compute dos veces; un medio de acreditación y una forma de verificación, con actor municipal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designado y carga estimada; una consecuencia tasada si se incumple; y una regla de separabilidad,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para que la caída de una pieza no arrastre el pliego entero.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Las referencias normativas y de doctrina están verificadas en su fuente primaria, a fecha de corte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del 1 de septiembre de 2026. Lo que no ha podido verificarse se dice expresamente.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De dónde sale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Del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Ayuntamiento de Pozuelo de Alarcón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, y de las objeciones de su propia área de contratación: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que unas cláusulas que no nacen de una necesidad demandada por nadie son artificiosas al contrato,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que el nivel de abstracción era demasiado alto para quien redacta pliegos, y que había que probarlo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en un contrato real antes de generalizarlo. Las tres están respondidas dentro del documento.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Cómo debe usarse: no copie sin entender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Se publica *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tal cual (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as is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)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*, sin garantía de ningún tipo. No es asesoramiento legal ni sustituye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a los informes preceptivos de ninguna administración. Se recomienda su lectura y su uso — y con la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misma firmeza, no copiarlo sin entenderlo: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Una cláusula copiada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sin necesidad acreditada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añade un motivo de recurso. La justificación no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vive en el catálogo, vive en la memoria del expediente, y no se puede completar después.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Una exigencia copiada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sin contrastar con el mercado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no es más ambiciosa: es más restrictiva.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Una obligación copiada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sin nadie que la verifique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es peor que no tenerla.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- Un parámetro copiado </w:t>
      </w: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sin adaptar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puede ser ilegal en otra entidad: categorías de seguridad,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órganos competentes y umbrales cambian de una administración a otra.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Un aviso, antes de citarlo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Este no es un documento oficial del Ayuntamiento de Pozuelo de Alarcón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: no ha sido aprobado por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ningún órgano municipal ni expresa la posición de la Corporación. Es un trabajo profesional de las tres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personas que lo firman, una de las cuales ejerce un cargo público en ese Ayuntamiento. Y el propio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documento enumera las condiciones que aún no se cumplen —entre ellas, que las declaraciones de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conflicto de interés no están firmadas—: mientras no se cumplan, es una propuesta técnica publicada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para el debate, no un instrumento listo para meter en un expediente.</w:t>
      </w:r>
    </w:p>
    <w:p>
      <w:pPr>
        <w:spacing w:after="900"/>
        <w:jc w:val="center"/>
      </w:pPr>
      <w:r>
        <w:rPr>
          <w:rFonts w:ascii="Georgia" w:cs="Georgia" w:eastAsia="Georgia" w:hAnsi="Georgia"/>
          <w:i/>
          <w:iCs/>
          <w:color w:val="595959"/>
          <w:sz w:val="28"/>
          <w:szCs w:val="28"/>
        </w:rPr>
        <w:t xml:space="preserve">Quién lo ha hecho</w:t>
      </w:r>
    </w:p>
    <w:p>
      <w:pPr>
        <w:spacing w:after="140"/>
        <w:jc w:val="center"/>
      </w:pPr>
      <w:hyperlink w:history="1" r:id="rIdpgjievp9tk0znluahcvay">
        <w:r>
          <w:rPr>
            <w:rFonts w:ascii="Calibri" w:cs="Calibri" w:eastAsia="Calibri" w:hAnsi="Calibri"/>
            <w:b/>
            <w:bCs/>
            <w:color w:val="2F5496"/>
            <w:sz w:val="20"/>
            <w:szCs w:val="20"/>
            <w:u w:val="single"/>
          </w:rPr>
          <w:t xml:space="preserve">Delfina Lafuente Veira</w:t>
        </w:r>
      </w:hyperlink>
      <w:r>
        <w:rPr>
          <w:rFonts w:ascii="Calibri" w:cs="Calibri" w:eastAsia="Calibri" w:hAnsi="Calibri"/>
          <w:color w:val="595959"/>
          <w:sz w:val="20"/>
          <w:szCs w:val="20"/>
        </w:rPr>
        <w:t xml:space="preserve">, Concejal de Administración Digital, Calidad e Innovación del Ayuntamiento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de Pozuelo de Alarcón: de ella nace el proyecto y suya es la primera redacción. </w:t>
      </w:r>
      <w:hyperlink w:history="1" r:id="rIdzngx2ch_3bfsme3nz6tus">
        <w:r>
          <w:rPr>
            <w:rFonts w:ascii="Calibri" w:cs="Calibri" w:eastAsia="Calibri" w:hAnsi="Calibri"/>
            <w:b/>
            <w:bCs/>
            <w:color w:val="2F5496"/>
            <w:sz w:val="20"/>
            <w:szCs w:val="20"/>
            <w:u w:val="single"/>
          </w:rPr>
          <w:t xml:space="preserve">Dr. José Antonio Ondiviela García</w:t>
        </w:r>
      </w:hyperlink>
      <w:r>
        <w:rPr>
          <w:rFonts w:ascii="Calibri" w:cs="Calibri" w:eastAsia="Calibri" w:hAnsi="Calibri"/>
          <w:color w:val="595959"/>
          <w:sz w:val="20"/>
          <w:szCs w:val="20"/>
        </w:rPr>
        <w:t xml:space="preserve">,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profesor e investigador de la Universidad Francisco de Vitoria: la mirada del mercado y la idea que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resuelve el problema de fondo. </w:t>
      </w:r>
      <w:hyperlink w:history="1" r:id="rIdms2p3hcd8xcoi0b_bsier">
        <w:r>
          <w:rPr>
            <w:rFonts w:ascii="Calibri" w:cs="Calibri" w:eastAsia="Calibri" w:hAnsi="Calibri"/>
            <w:b/>
            <w:bCs/>
            <w:color w:val="2F5496"/>
            <w:sz w:val="20"/>
            <w:szCs w:val="20"/>
            <w:u w:val="single"/>
          </w:rPr>
          <w:t xml:space="preserve">Miguel Ángel Domínguez Castellano</w:t>
        </w:r>
      </w:hyperlink>
      <w:r>
        <w:rPr>
          <w:rFonts w:ascii="Calibri" w:cs="Calibri" w:eastAsia="Calibri" w:hAnsi="Calibri"/>
          <w:color w:val="595959"/>
          <w:sz w:val="20"/>
          <w:szCs w:val="20"/>
        </w:rPr>
        <w:t xml:space="preserve">, CEO de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Add4u y presidente de Alastria y del Clúster de Blockchain de la Comunidad de Madrid: la perspectiva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de quien conoce las dos orillas, y la responsabilidad editorial de la publicación.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Uso de inteligencia artificial.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En la elaboración de este trabajo se han utilizado sistemas de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IA: el clon digital (</w:t>
      </w: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second brain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) de Miguel Ángel Domínguez, determinante en la recuperación del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material, la investigación jurídica, la verificación de las fuentes y la redacción de los borradores.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Se declara aunque el artículo 50.4 del Reglamento (UE) 2024/1689 exima de hacerlo cuando hay revisión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humana y responsabilidad editorial, porque un documento que exige transparencia de IA no puede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ocultarla en sí mismo. Las decisiones y la responsabilidad son de las personas que lo firman.</w:t>
      </w:r>
    </w:p>
    <w:p>
      <w:pPr>
        <w:spacing w:after="140"/>
        <w:jc w:val="center"/>
      </w:pPr>
      <w:r>
        <w:rPr>
          <w:rFonts w:ascii="Calibri" w:cs="Calibri" w:eastAsia="Calibri" w:hAnsi="Calibri"/>
          <w:b/>
          <w:bCs/>
          <w:color w:val="595959"/>
          <w:sz w:val="20"/>
          <w:szCs w:val="20"/>
        </w:rPr>
        <w:t xml:space="preserve">Documento completo, presentación y modelos: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 github.com/migueldadd4u/ai-clauses ·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Licencia Creative Commons Attribution 4.0 · Versión 3.0, septiembre de 2026</w:t>
      </w:r>
    </w:p>
    <w:p>
      <w:r>
        <w:br w:type="page"/>
      </w:r>
    </w:p>
    <w:p>
      <w:pPr>
        <w:spacing w:after="300"/>
      </w:pPr>
      <w:r>
        <w:rPr>
          <w:rFonts w:ascii="Georgia" w:cs="Georgia" w:eastAsia="Georgia" w:hAnsi="Georgia"/>
          <w:b/>
          <w:bCs/>
          <w:color w:val="1F3864"/>
          <w:sz w:val="36"/>
          <w:szCs w:val="36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"1-4"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sectPr>
      <w:headerReference w:type="default" r:id="rId7"/>
      <w:footerReference w:type="default" r:id="rId8"/>
      <w:pgSz w:w="11906" w:h="16838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0D0" w:sz="4" w:space="4"/>
      </w:pBdr>
      <w:spacing w:after="200"/>
      <w:jc w:val="right"/>
    </w:pPr>
    <w:r>
      <w:rPr>
        <w:rFonts w:ascii="Calibri" w:cs="Calibri" w:eastAsia="Calibri" w:hAnsi="Calibri"/>
        <w:color w:val="595959"/>
        <w:sz w:val="16"/>
        <w:szCs w:val="16"/>
      </w:rPr>
      <w:t xml:space="preserve">Cláusulas de IA y Deep Tech · versión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gjievp9tk0znluahcvay" Type="http://schemas.openxmlformats.org/officeDocument/2006/relationships/hyperlink" Target="https://www.pozuelodealarcon.org/tu-ayuntamiento/organizacion-municipal/trayectoria-profesional-delfina-lafuente-veira" TargetMode="External"/><Relationship Id="rIdzngx2ch_3bfsme3nz6tus" Type="http://schemas.openxmlformats.org/officeDocument/2006/relationships/hyperlink" Target="https://www.ufv.es/una-nueva-definicion-para-las-ciudades-que-transformaran-el-mundo-noticias-actualidad/" TargetMode="External"/><Relationship Id="rIdms2p3hcd8xcoi0b_bsier" Type="http://schemas.openxmlformats.org/officeDocument/2006/relationships/hyperlink" Target="https://miguelangeldominguez.info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Cláusulas de IA y Deep Tech para la contratación pública</dc:title>
  <dc:creator>Miguel Ángel Domínguez Castellano</dc:creator>
  <dc:description>Clausulado tipo, versión 3.0</dc:description>
  <cp:lastModifiedBy>Un-named</cp:lastModifiedBy>
  <cp:revision>1</cp:revision>
  <dcterms:created xsi:type="dcterms:W3CDTF">2026-09-01T13:41:47.796Z</dcterms:created>
  <dcterms:modified xsi:type="dcterms:W3CDTF">2026-09-01T13:41:47.797Z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