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Qué agiliza el catálogo y qué no</w:t>
      </w:r>
    </w:p>
    <w:p>
      <w:pPr>
        <w:spacing w:after="900"/>
        <w:jc w:val="center"/>
      </w:pPr>
      <w:r>
        <w:rPr>
          <w:rFonts w:ascii="Georgia" w:cs="Georgia" w:eastAsia="Georgia" w:hAnsi="Georgia"/>
          <w:i/>
          <w:iCs/>
          <w:color w:val="595959"/>
          <w:sz w:val="28"/>
          <w:szCs w:val="28"/>
        </w:rPr>
        <w:t xml:space="preserve">Para entender el catálogo</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Explica el catálogo; no lo sustituye. Donde discrepen, manda el catálogo. </w:t>
      </w:r>
      <w:hyperlink w:history="1" r:id="rId0kcg89aomqd2pxy9cb0fq">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sz w:val="21"/>
          <w:szCs w:val="21"/>
        </w:rPr>
        <w:t xml:space="preserve">Seis agilizaciones concretas, cada una con su mecanismo.</w:t>
      </w:r>
    </w:p>
    <w:p>
      <w:r>
        <w:br w:type="page"/>
      </w:r>
    </w:p>
    <w:p>
      <w:pPr>
        <w:pStyle w:val="Heading1"/>
        <w:keepNext/>
        <w:spacing w:after="240" w:before="200"/>
      </w:pPr>
      <w:r>
        <w:rPr>
          <w:rFonts w:ascii="Georgia" w:cs="Georgia" w:eastAsia="Georgia" w:hAnsi="Georgia"/>
          <w:b/>
          <w:bCs/>
          <w:color w:val="1F3864"/>
          <w:sz w:val="34"/>
          <w:szCs w:val="34"/>
        </w:rPr>
        <w:t xml:space="preserve">1 · Lo previsible ya está comprado, y no necesita modificación contractual</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III, ADM-2·v3, apartado 4.</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las exigencias del Anexo «forman parte del alcance ordinario del contrato y se entienden retribuidas con el precio ofertado, sin que su cumplimiento dé lugar a facturación adicional ni requiera modificación contractual».</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tramitar después una modificación del contrato —con su propuesta, informe técnico, audiencia al contratista, informe jurídico, fiscalización, acuerdo, formalización y publicación— para algo que ya estaba previsto. Los controles no desaparecen: se hicieron al aprobar y fiscalizar el contrato que ya contenía la exigencia. Lo que se ejecuta después se comprueba con un acta de aceptación.</w:t>
      </w:r>
    </w:p>
    <w:p>
      <w:r>
        <w:br w:type="page"/>
      </w:r>
    </w:p>
    <w:p>
      <w:pPr>
        <w:pStyle w:val="Heading1"/>
        <w:keepNext/>
        <w:spacing w:after="240" w:before="200"/>
      </w:pPr>
      <w:r>
        <w:rPr>
          <w:rFonts w:ascii="Georgia" w:cs="Georgia" w:eastAsia="Georgia" w:hAnsi="Georgia"/>
          <w:b/>
          <w:bCs/>
          <w:color w:val="1F3864"/>
          <w:sz w:val="34"/>
          <w:szCs w:val="34"/>
        </w:rPr>
        <w:t xml:space="preserve">2 · Las adaptaciones menores tienen vía propia, con precio ya pactado</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III, ADM-3·v3, bloque 2, al amparo del art. 308.3 LCSP.</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catálogo cerrado de seis clases de peticiones —un informe nuevo, un cambio de flujo, una integración, una migración de datos— retribuidas por los precios unitarios que el licitador ofertó. El responsable del contrato emite petición escrita, el contratista estima horas, se acepta y se ejecuta.</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el documento lo dice sin rodeos. Esas adaptaciones tienen una vía contractual con precio pactado, «en lugar de resolverse con presiones informales al proveedor o con contratos menores encadenados» (epígrafe 3 de la misma cláusula). Cada contrato menor evitado es un expediente completo que no se tramita.</w:t>
      </w:r>
    </w:p>
    <w:p>
      <w:r>
        <w:br w:type="page"/>
      </w:r>
    </w:p>
    <w:p>
      <w:pPr>
        <w:pStyle w:val="Heading1"/>
        <w:keepNext/>
        <w:spacing w:after="240" w:before="200"/>
      </w:pPr>
      <w:r>
        <w:rPr>
          <w:rFonts w:ascii="Georgia" w:cs="Georgia" w:eastAsia="Georgia" w:hAnsi="Georgia"/>
          <w:b/>
          <w:bCs/>
          <w:color w:val="1F3864"/>
          <w:sz w:val="34"/>
          <w:szCs w:val="34"/>
        </w:rPr>
        <w:t xml:space="preserve">3 · Las versiones nuevas del producto entran solas</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 DT-9·v3, apartado 7, y Parte III, ADM-2·v3, apartado 6.</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el adjudicatario pone a disposición, «sin coste adicional durante la vigencia del contrato y de sus prórrogas», las versiones sucesoras que el fabricante publique, con una definición triple comprobable con documentación del propio fabricante.</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la discusión de si una versión nueva es mejora incluida o prestación adicional facturable. Esa discusión, hoy, o se pierde o se paga.</w:t>
      </w:r>
    </w:p>
    <w:p>
      <w:r>
        <w:br w:type="page"/>
      </w:r>
    </w:p>
    <w:p>
      <w:pPr>
        <w:pStyle w:val="Heading1"/>
        <w:keepNext/>
        <w:spacing w:after="240" w:before="200"/>
      </w:pPr>
      <w:r>
        <w:rPr>
          <w:rFonts w:ascii="Georgia" w:cs="Georgia" w:eastAsia="Georgia" w:hAnsi="Georgia"/>
          <w:b/>
          <w:bCs/>
          <w:color w:val="1F3864"/>
          <w:sz w:val="34"/>
          <w:szCs w:val="34"/>
        </w:rPr>
        <w:t xml:space="preserve">4 · El contrato firmado no se reabre cuando el catálogo cambia</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III, ADM-2·v3, apartado 3, e invariabilidad del Anexo V (Parte II, DT-9·v3, apartado 2).</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el contenido del Anexo transcrito «permanece invariable durante toda la vigencia del contrato y de sus prórrogas»; las revisiones posteriores no le son exigibles.</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que la actualización anual obligue a tocar los contratos vivos. Norma estable arriba, catálogo revisable debajo. Es lo que permite que la revisión ocurra de verdad: un catálogo dentro del articulado, dice el documento, garantiza que no se revise nunca.</w:t>
      </w:r>
    </w:p>
    <w:p>
      <w:r>
        <w:br w:type="page"/>
      </w:r>
    </w:p>
    <w:p>
      <w:pPr>
        <w:pStyle w:val="Heading1"/>
        <w:keepNext/>
        <w:spacing w:after="240" w:before="200"/>
      </w:pPr>
      <w:r>
        <w:rPr>
          <w:rFonts w:ascii="Georgia" w:cs="Georgia" w:eastAsia="Georgia" w:hAnsi="Georgia"/>
          <w:b/>
          <w:bCs/>
          <w:color w:val="1F3864"/>
          <w:sz w:val="34"/>
          <w:szCs w:val="34"/>
        </w:rPr>
        <w:t xml:space="preserve">5 · El estudio de mercado se hace una vez al año, no por expediente</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 DT-9·v3, epígrafe 3, «Advertencia de expediente, obligatoria».</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el contraste con el mercado es el mismo trabajo de la consulta preliminar del art. 115 LCSP: se hace una vez al aprobar el Anexo V y se reutiliza en cada expediente.</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repetirlo contrato a contrato. Y aquí la frase del documento es la más honesta de todas: hacerlo por expediente «es inasumible para un servicio de contratación, y quien lo intente acabará no haciéndolo».</w:t>
      </w:r>
    </w:p>
    <w:p>
      <w:r>
        <w:br w:type="page"/>
      </w:r>
    </w:p>
    <w:p>
      <w:pPr>
        <w:pStyle w:val="Heading1"/>
        <w:keepNext/>
        <w:spacing w:after="240" w:before="200"/>
      </w:pPr>
      <w:r>
        <w:rPr>
          <w:rFonts w:ascii="Georgia" w:cs="Georgia" w:eastAsia="Georgia" w:hAnsi="Georgia"/>
          <w:b/>
          <w:bCs/>
          <w:color w:val="1F3864"/>
          <w:sz w:val="34"/>
          <w:szCs w:val="34"/>
        </w:rPr>
        <w:t xml:space="preserve">6 · La licitación siguiente no arranca de cero</w:t>
      </w:r>
    </w:p>
    <w:p>
      <w:pPr>
        <w:spacing w:after="140" w:line="276"/>
      </w:pPr>
      <w:r>
        <w:rPr>
          <w:rFonts w:ascii="Calibri" w:cs="Calibri" w:eastAsia="Calibri" w:hAnsi="Calibri"/>
          <w:b/>
          <w:bCs/>
          <w:sz w:val="21"/>
          <w:szCs w:val="21"/>
        </w:rPr>
        <w:t xml:space="preserve">Dónde:</w:t>
      </w:r>
      <w:r>
        <w:rPr>
          <w:rFonts w:ascii="Calibri" w:cs="Calibri" w:eastAsia="Calibri" w:hAnsi="Calibri"/>
          <w:sz w:val="21"/>
          <w:szCs w:val="21"/>
        </w:rPr>
        <w:t xml:space="preserve"> Parte II, DT-8·v3, apartado 6: el Dossier de Reversibilidad.</w:t>
      </w:r>
    </w:p>
    <w:p>
      <w:pPr>
        <w:spacing w:after="140" w:line="276"/>
      </w:pPr>
      <w:r>
        <w:rPr>
          <w:rFonts w:ascii="Calibri" w:cs="Calibri" w:eastAsia="Calibri" w:hAnsi="Calibri"/>
          <w:b/>
          <w:bCs/>
          <w:sz w:val="21"/>
          <w:szCs w:val="21"/>
        </w:rPr>
        <w:t xml:space="preserve">Cómo:</w:t>
      </w:r>
      <w:r>
        <w:rPr>
          <w:rFonts w:ascii="Calibri" w:cs="Calibri" w:eastAsia="Calibri" w:hAnsi="Calibri"/>
          <w:sz w:val="21"/>
          <w:szCs w:val="21"/>
        </w:rPr>
        <w:t xml:space="preserve"> modelo de datos, relación de interfaces, inventario de componentes, procedimiento de migración y estimación de esfuerzo. El Ayuntamiento puede incorporarlo, depurado de información confidencial, al pliego de la licitación siguiente.</w:t>
      </w:r>
    </w:p>
    <w:p>
      <w:pPr>
        <w:spacing w:after="140" w:line="276"/>
      </w:pPr>
      <w:r>
        <w:rPr>
          <w:rFonts w:ascii="Calibri" w:cs="Calibri" w:eastAsia="Calibri" w:hAnsi="Calibri"/>
          <w:b/>
          <w:bCs/>
          <w:sz w:val="21"/>
          <w:szCs w:val="21"/>
        </w:rPr>
        <w:t xml:space="preserve">Qué se ahorra:</w:t>
      </w:r>
      <w:r>
        <w:rPr>
          <w:rFonts w:ascii="Calibri" w:cs="Calibri" w:eastAsia="Calibri" w:hAnsi="Calibri"/>
          <w:sz w:val="21"/>
          <w:szCs w:val="21"/>
        </w:rPr>
        <w:t xml:space="preserve"> el trabajo de reconstruir desde cero qué hay dentro del sistema. Y algo mayor: sin reversibilidad, migrar sale tan caro que no se cambia de proveedor, y la licitación siguiente está decidida antes de publicarse.</w:t>
      </w:r>
    </w:p>
    <w:p>
      <w:r>
        <w:br w:type="page"/>
      </w:r>
    </w:p>
    <w:p>
      <w:pPr>
        <w:pStyle w:val="Heading1"/>
        <w:keepNext/>
        <w:spacing w:after="240" w:before="200"/>
      </w:pPr>
      <w:r>
        <w:rPr>
          <w:rFonts w:ascii="Georgia" w:cs="Georgia" w:eastAsia="Georgia" w:hAnsi="Georgia"/>
          <w:b/>
          <w:bCs/>
          <w:color w:val="1F3864"/>
          <w:sz w:val="34"/>
          <w:szCs w:val="34"/>
        </w:rPr>
        <w:t xml:space="preserve">Y lo que hay que decir en la misma frase</w:t>
      </w:r>
    </w:p>
    <w:p>
      <w:pPr>
        <w:spacing w:after="140" w:line="276"/>
      </w:pPr>
      <w:r>
        <w:rPr>
          <w:rFonts w:ascii="Calibri" w:cs="Calibri" w:eastAsia="Calibri" w:hAnsi="Calibri"/>
          <w:sz w:val="21"/>
          <w:szCs w:val="21"/>
        </w:rPr>
        <w:t xml:space="preserve">Esto no acorta la tramitación de un expediente. Al contrario: añade trabajo de preparación —ficha, informe de necesidad, motivación en la memoria— y el propio catálogo cuantifica el coste de verificación en 124,5 a 140,5 horas anuales por contrato aplicado entero, y entre 180,5 y 220,5 el primer año (Parte III, ADM-4·v3, epígrafe 5).</w:t>
      </w:r>
    </w:p>
    <w:p>
      <w:pPr>
        <w:spacing w:after="140" w:line="276"/>
      </w:pPr>
      <w:r>
        <w:rPr>
          <w:rFonts w:ascii="Calibri" w:cs="Calibri" w:eastAsia="Calibri" w:hAnsi="Calibri"/>
          <w:sz w:val="21"/>
          <w:szCs w:val="21"/>
        </w:rPr>
        <w:t xml:space="preserve">La agilidad no está en tramitar más rápido. Está en no tener que volver a tramitar. Se concentra el trabajo al principio y se evita el expediente siguiente: la modificación que no hace falta, el contrato menor que no se encadena, el estudio de mercado que no se repite, el pliego que no se escribe desde cero.</w:t>
      </w:r>
    </w:p>
    <w:p>
      <w:pPr>
        <w:spacing w:after="140" w:line="276"/>
      </w:pPr>
      <w:r>
        <w:rPr>
          <w:rFonts w:ascii="Calibri" w:cs="Calibri" w:eastAsia="Calibri" w:hAnsi="Calibri"/>
          <w:sz w:val="21"/>
          <w:szCs w:val="21"/>
        </w:rPr>
        <w:t xml:space="preserve">Por eso el catálogo ofrece, para el primer ejercicio, una versión mínima de seis cláusulas (Parte VI, §VI.2.2) —siete si intervienen sistemas de inteligencia artificial—, cuya verificación cuesta entre 20 y 24 horas al año y entre 44 y 60 el primer año, más lo que añaden DT-1·v3 y DT-7·v3 cuando entran (Parte III, ADM-4·v3, epígrafe 5).</w:t>
      </w:r>
    </w:p>
    <w:p>
      <w:pPr>
        <w:spacing w:after="140" w:line="276"/>
      </w:pPr>
      <w:r>
        <w:rPr>
          <w:rFonts w:ascii="Calibri" w:cs="Calibri" w:eastAsia="Calibri" w:hAnsi="Calibri"/>
          <w:sz w:val="21"/>
          <w:szCs w:val="21"/>
        </w:rPr>
        <w:t xml:space="preserve">La formulación más defendible es ésa: no se promete rapidez en el procedimiento; se evitan procedimientos. Es comprobable, y no se cae cuando alguien abra la tabla de horas.</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kcg89aomqd2pxy9cb0fq"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2026-10-15T10:02:19.380Z</dcterms:created>
  <dcterms:modified xsi:type="dcterms:W3CDTF">2026-10-15T10:02:19.389Z</dcterms:modified>
</cp:coreProperties>
</file>

<file path=docProps/custom.xml><?xml version="1.0" encoding="utf-8"?>
<Properties xmlns="http://schemas.openxmlformats.org/officeDocument/2006/custom-properties" xmlns:vt="http://schemas.openxmlformats.org/officeDocument/2006/docPropsVTypes"/>
</file>