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Enrique Jiménez · Roberto García — autoría y supervisión técnica</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cinco personas que lo firman, una de las cuales ejerce un</w:t>
      </w:r>
    </w:p>
    <w:p>
      <w:pPr>
        <w:spacing w:after="140" w:line="276"/>
      </w:pPr>
      <w:r>
        <w:rPr>
          <w:rFonts w:ascii="Calibri" w:cs="Calibri" w:eastAsia="Calibri" w:hAnsi="Calibri"/>
          <w:sz w:val="21"/>
          <w:szCs w:val="21"/>
        </w:rPr>
        <w:t xml:space="preserve">cargo público en ese Ayuntamiento.</w:t>
      </w:r>
    </w:p>
    <w:p>
      <w:pPr>
        <w:spacing w:after="140" w:line="276"/>
      </w:pPr>
      <w:r>
        <w:rPr>
          <w:rFonts w:ascii="Calibri" w:cs="Calibri" w:eastAsia="Calibri" w:hAnsi="Calibri"/>
          <w:b/>
          <w:bCs/>
          <w:sz w:val="21"/>
          <w:szCs w:val="21"/>
        </w:rPr>
        <w:t xml:space="preserve">Qué falta para que pueda incorporarse a un expediente:</w:t>
      </w:r>
      <w:r>
        <w:rPr>
          <w:rFonts w:ascii="Calibri" w:cs="Calibri" w:eastAsia="Calibri" w:hAnsi="Calibri"/>
          <w:sz w:val="21"/>
          <w:szCs w:val="21"/>
        </w:rPr>
        <w:t xml:space="preserve"> las tres condiciones suspensivas que la</w:t>
      </w:r>
    </w:p>
    <w:p>
      <w:pPr>
        <w:spacing w:after="140" w:line="276"/>
      </w:pPr>
      <w:r>
        <w:rPr>
          <w:rFonts w:ascii="Calibri" w:cs="Calibri" w:eastAsia="Calibri" w:hAnsi="Calibri"/>
          <w:sz w:val="21"/>
          <w:szCs w:val="21"/>
        </w:rPr>
        <w:t xml:space="preserve">propia memoria justificativa enumera (Parte IV, §M11, filas 1 a 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aplicarse en un expediente que supere el umbral del recurso especial</w:t>
      </w:r>
      <w:r>
        <w:rPr>
          <w:rFonts w:ascii="Calibri" w:cs="Calibri" w:eastAsia="Calibri" w:hAnsi="Calibri"/>
          <w:sz w:val="21"/>
          <w:szCs w:val="21"/>
        </w:rPr>
        <w:t xml:space="preserve"> ni citarse</w:t>
      </w:r>
    </w:p>
    <w:p>
      <w:pPr>
        <w:spacing w:after="140" w:line="276"/>
      </w:pPr>
      <w:r>
        <w:rPr>
          <w:rFonts w:ascii="Calibri" w:cs="Calibri" w:eastAsia="Calibri" w:hAnsi="Calibri"/>
          <w:sz w:val="21"/>
          <w:szCs w:val="21"/>
        </w:rPr>
        <w:t xml:space="preserve">como modelo aprobado.</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cinco personas, cada una desde su oficio, con el Ayuntamiento de</w:t>
      </w:r>
    </w:p>
    <w:p>
      <w:pPr>
        <w:spacing w:after="140" w:line="276"/>
      </w:pPr>
      <w:r>
        <w:rPr>
          <w:rFonts w:ascii="Calibri" w:cs="Calibri" w:eastAsia="Calibri" w:hAnsi="Calibri"/>
          <w:sz w:val="21"/>
          <w:szCs w:val="21"/>
        </w:rPr>
        <w:t xml:space="preserve">Pozuelo de Alarcón como banco de pruebas real.</w:t>
      </w:r>
    </w:p>
    <w:p>
      <w:pPr>
        <w:spacing w:after="140" w:line="276"/>
      </w:pPr>
      <w:hyperlink w:history="1" r:id="rIdcl1sfdevoqoutfmex6as0">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hyperlink w:history="1" r:id="rId0jtkod5qkgr3xedlx2ci0">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dwrsowsfqs0unsd3625cd">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Enrique Jiménez</w:t>
      </w:r>
      <w:r>
        <w:rPr>
          <w:rFonts w:ascii="Calibri" w:cs="Calibri" w:eastAsia="Calibri" w:hAnsi="Calibri"/>
          <w:sz w:val="21"/>
          <w:szCs w:val="21"/>
        </w:rPr>
        <w:t xml:space="preserve"> — responsable de los contratos de innovación, y </w:t>
      </w:r>
      <w:r>
        <w:rPr>
          <w:rFonts w:ascii="Calibri" w:cs="Calibri" w:eastAsia="Calibri" w:hAnsi="Calibri"/>
          <w:b/>
          <w:bCs/>
          <w:sz w:val="21"/>
          <w:szCs w:val="21"/>
        </w:rPr>
        <w:t xml:space="preserve">Roberto García</w:t>
      </w:r>
      <w:r>
        <w:rPr>
          <w:rFonts w:ascii="Calibri" w:cs="Calibri" w:eastAsia="Calibri" w:hAnsi="Calibri"/>
          <w:sz w:val="21"/>
          <w:szCs w:val="21"/>
        </w:rPr>
        <w:t xml:space="preserve"> — jefe de</w:t>
      </w:r>
    </w:p>
    <w:p>
      <w:pPr>
        <w:spacing w:after="140" w:line="276"/>
      </w:pPr>
      <w:r>
        <w:rPr>
          <w:rFonts w:ascii="Calibri" w:cs="Calibri" w:eastAsia="Calibri" w:hAnsi="Calibri"/>
          <w:sz w:val="21"/>
          <w:szCs w:val="21"/>
        </w:rPr>
        <w:t xml:space="preserve">informática, ambos del Ayuntamiento de Pozuelo de Alarcón; </w:t>
      </w:r>
      <w:r>
        <w:rPr>
          <w:rFonts w:ascii="Calibri" w:cs="Calibri" w:eastAsia="Calibri" w:hAnsi="Calibri"/>
          <w:b/>
          <w:bCs/>
          <w:sz w:val="21"/>
          <w:szCs w:val="21"/>
        </w:rPr>
        <w:t xml:space="preserve">autores y supervisores técnicos</w:t>
      </w:r>
      <w:r>
        <w:rPr>
          <w:rFonts w:ascii="Calibri" w:cs="Calibri" w:eastAsia="Calibri" w:hAnsi="Calibri"/>
          <w:sz w:val="21"/>
          <w:szCs w:val="21"/>
        </w:rPr>
        <w:t xml:space="preserve">. Han</w:t>
      </w:r>
    </w:p>
    <w:p>
      <w:pPr>
        <w:spacing w:after="140" w:line="276"/>
      </w:pPr>
      <w:r>
        <w:rPr>
          <w:rFonts w:ascii="Calibri" w:cs="Calibri" w:eastAsia="Calibri" w:hAnsi="Calibri"/>
          <w:sz w:val="21"/>
          <w:szCs w:val="21"/>
        </w:rPr>
        <w:t xml:space="preserve">aportado el contraste de la práctica municipal —qué se puede exigir de verdad en un pliego y qué no</w:t>
      </w:r>
    </w:p>
    <w:p>
      <w:pPr>
        <w:spacing w:after="140" w:line="276"/>
      </w:pPr>
      <w:r>
        <w:rPr>
          <w:rFonts w:ascii="Calibri" w:cs="Calibri" w:eastAsia="Calibri" w:hAnsi="Calibri"/>
          <w:sz w:val="21"/>
          <w:szCs w:val="21"/>
        </w:rPr>
        <w:t xml:space="preserve">llega a ejecutarse— y la supervisión técnica de la formulación contractual.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cinco personas que lo</w:t>
      </w:r>
    </w:p>
    <w:p>
      <w:pPr>
        <w:spacing w:after="140" w:line="276"/>
      </w:pPr>
      <w:r>
        <w:rPr>
          <w:rFonts w:ascii="Calibri" w:cs="Calibri" w:eastAsia="Calibri" w:hAnsi="Calibri"/>
          <w:sz w:val="21"/>
          <w:szCs w:val="21"/>
        </w:rPr>
        <w:t xml:space="preserve">firman, una de las cuales ejerce un cargo público en ese Ayuntamiento.</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se ha sometido por escrito a la crítica de quien tendría que aplicarlo. Esa objeción</w:t>
      </w:r>
    </w:p>
    <w:p>
      <w:pPr>
        <w:spacing w:after="140" w:line="276"/>
      </w:pPr>
      <w:r>
        <w:rPr>
          <w:rFonts w:ascii="Calibri" w:cs="Calibri" w:eastAsia="Calibri" w:hAnsi="Calibri"/>
          <w:sz w:val="21"/>
          <w:szCs w:val="21"/>
        </w:rPr>
        <w:t xml:space="preserve">interna —cuatro reproches concretos, que constan literalmente en el texto, en el §M1.5 de la Parte</w:t>
      </w:r>
    </w:p>
    <w:p>
      <w:pPr>
        <w:spacing w:after="140" w:line="276"/>
      </w:pPr>
      <w:r>
        <w:rPr>
          <w:rFonts w:ascii="Calibri" w:cs="Calibri" w:eastAsia="Calibri" w:hAnsi="Calibri"/>
          <w:sz w:val="21"/>
          <w:szCs w:val="21"/>
        </w:rPr>
        <w:t xml:space="preserve">IV, citados sin identificar a su autor por no ser un informe registrado— es la que ha dado forma a</w:t>
      </w:r>
    </w:p>
    <w:p>
      <w:pPr>
        <w:spacing w:after="140" w:line="276"/>
      </w:pPr>
      <w:r>
        <w:rPr>
          <w:rFonts w:ascii="Calibri" w:cs="Calibri" w:eastAsia="Calibri" w:hAnsi="Calibri"/>
          <w:sz w:val="21"/>
          <w:szCs w:val="21"/>
        </w:rPr>
        <w:t xml:space="preserve">esta versión: sin ella no existirían ni la doble vía de firma de la ficha, ni la exigencia de acuerdo</w:t>
      </w:r>
    </w:p>
    <w:p>
      <w:pPr>
        <w:spacing w:after="140" w:line="276"/>
      </w:pPr>
      <w:r>
        <w:rPr>
          <w:rFonts w:ascii="Calibri" w:cs="Calibri" w:eastAsia="Calibri" w:hAnsi="Calibri"/>
          <w:sz w:val="21"/>
          <w:szCs w:val="21"/>
        </w:rPr>
        <w:t xml:space="preserve">del órgano de gobierno, ni el subconjunto mínimo de seis cláusulas para un primer expediente. Ese</w:t>
      </w:r>
    </w:p>
    <w:p>
      <w:pPr>
        <w:spacing w:after="140" w:line="276"/>
      </w:pPr>
      <w:r>
        <w:rPr>
          <w:rFonts w:ascii="Calibri" w:cs="Calibri" w:eastAsia="Calibri" w:hAnsi="Calibri"/>
          <w:sz w:val="21"/>
          <w:szCs w:val="21"/>
        </w:rPr>
        <w:t xml:space="preserve">contraste con quien tiene que redactar y fiscalizar de verdad es lo que distingue este documento de</w:t>
      </w:r>
    </w:p>
    <w:p>
      <w:pPr>
        <w:spacing w:after="140" w:line="276"/>
      </w:pPr>
      <w:r>
        <w:rPr>
          <w:rFonts w:ascii="Calibri" w:cs="Calibri" w:eastAsia="Calibri" w:hAnsi="Calibri"/>
          <w:sz w:val="21"/>
          <w:szCs w:val="21"/>
        </w:rPr>
        <w:t xml:space="preserve">un clausulado de 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ese Ayuntamiento —ni de ningún otro—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 la objeción interna que estaba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que no cubre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por el que la objeción interna del §M1.5 escribió que las cláusulas «nacen a partir de unas necesidades que no se demandan por ninguno de los gestores y si no es así no dejan de ser algo artificioso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klw6r22smisrffsgsdcfj">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la respuesta a una de las quejas de la objeción interna del §M1.5: que el grado de abstracción del documento anterior era «muy elevado».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qbzoreezar21ij_8z3u9r">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s5dq3fbnk8zdgvshhkz94">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objeción interna que se reproduce en la Parte IV, §M1.5, advirtió que «son pocos los contratos en los que se haga un seguimiento real y este se basa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por qué no cabe y qué se puede hacer en su lugar.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q70i8-n4fpqf5h5fpmuy-">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tbsnujo__r94h3kejvcrl">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eigisaiq79flxiz1riedt">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única objeción que bloquea la aprobación: </w:t>
      </w:r>
      <w:r>
        <w:rPr>
          <w:rFonts w:ascii="Calibri" w:cs="Calibri" w:eastAsia="Calibri" w:hAnsi="Calibri"/>
          <w:i/>
          <w:iCs/>
          <w:sz w:val="21"/>
          <w:szCs w:val="21"/>
        </w:rPr>
        <w:t xml:space="preserve">«[las cláusulas] nacen a partir de unas necesidades que no se demandan por ninguno de los gestores y si no es así no dejan de ser algo artificioso al contrato»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 objeción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krnao2k2pi2r2khu5dp6g">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cfk05i8dqdsnxz4sxyeiq">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7wvwb-x3igbgy_pfhbxcx">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5t48lzzo_bolj4kqtb4yz">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8rubj-botbbnn2laecexu">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0fqlsqwndlwmrnpuyb4uz">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d9n2wk8ahb62kajsglp6c">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bpgjcc-6uwqk3cbuzcj_q">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gaabld8c2uzhtmfgfz41d">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eqcm6mkvwhmnn-bbut7m1">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duyc1lj6d0e6jkcc3d6f7">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wnf1uckxixu6s2k2lrytc">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bpwwa5pbrrylnn0vu67bg">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cscuvxp9rt2h59z7tha9">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0nv417jelftx6mg-9io0">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vlstvk7swlcynvmcxyuvp">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pwuepaqyqb-u2qdv8uzdo">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ljl4yxs8u3m3e5uyzy1_6">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la4iwm6jvzas277hpfnln">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yzdb_8exgullcjdsumpqt">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uyrfuzn0f0mekxrlanpyk">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qm4lgqpsg4xjzatesliiz">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1c5ck65gsqb5db6gtu3sa">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vxt6cl3dfb_ibcn18sq7w">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d5lgvsove5xqnirf7hl5j">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es el que señalaron a la vez la objeción interna del §M1.5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opzdpwtjafrbgxvjbtxvb">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vjxjmua_ppgkqqyj3ewyz">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9e9ua3-o-pb-9zse47he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u6mggugxksplsi_mqhjdd">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avd9tfbfs364z2zhtwwh8">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g-mfahvn26g4h4d3aaibs">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rtfblcjelke33k43kxehh">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grudeset-y4gqqg2wb1ow">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mpl_cyqey1aonsxbqguti">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o16h8xhhmuuencp_jjkjb">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6lb0_ezimrpmej4oxkmxn">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objeción interna: «son pocos los contratos en los que se haga un seguimiento real y este se basa exclusivamente en el control del gasto, ni eficiencia, ni eficacia».)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_zuugq0gxkipkbr8kdznw">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se declaró por escrito desde dentro de la propia Administración municipal, en el comentario interno de junio de 2026 al clausulado de la versión 2.0. </w:t>
      </w:r>
      <w:r>
        <w:rPr>
          <w:rFonts w:ascii="Calibri" w:cs="Calibri" w:eastAsia="Calibri" w:hAnsi="Calibri"/>
          <w:b/>
          <w:bCs/>
          <w:sz w:val="21"/>
          <w:szCs w:val="21"/>
        </w:rPr>
        <w:t xml:space="preserve">Ese comentario no es un informe</w:t>
      </w:r>
      <w:r>
        <w:rPr>
          <w:rFonts w:ascii="Calibri" w:cs="Calibri" w:eastAsia="Calibri" w:hAnsi="Calibri"/>
          <w:sz w:val="21"/>
          <w:szCs w:val="21"/>
        </w:rPr>
        <w:t xml:space="preserve">: es un comentario incorporado al final de un documento de trabajo, y se cita sin identificar a su autor ni al órgano del que procede. Se cita como lo que es,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 «Siendo este seguimiento parte de las obligaciones de control [del órgano de control interno] no podemos pedir que se implementen estos instrumentos; lo que sí entraría dentro de [su] ámbito sería la explotación de los datos al mismo rango que el gestor, al objeto de cumplir con [sus] obligaciones legales». Antes de aplicar el catálogo a un expediente debe recabarse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sustituya a ese comentario; mientras no exista, la memoria no puede referirse a él como informe.</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El problema real, dicho sin rodeos</w:t>
      </w:r>
    </w:p>
    <w:p>
      <w:pPr>
        <w:spacing w:after="140" w:line="276"/>
      </w:pPr>
      <w:r>
        <w:rPr>
          <w:rFonts w:ascii="Calibri" w:cs="Calibri" w:eastAsia="Calibri" w:hAnsi="Calibri"/>
          <w:sz w:val="21"/>
          <w:szCs w:val="21"/>
        </w:rPr>
        <w:t xml:space="preserve">La objeción más seria que ha recibido este catálogo no viene de un licitador. Viene de dentro. En el comentario interno que se incorporó al final del clausulado de junio de 2026 se escribió:</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 necesidades que no se demandan por ninguno de los gestores y si no es así no dejan de ser algo artificioso al contrato. Primero siempre surge la necesidad y las cláusulas del contrato es la forma de obligar al contratista para que satisfaga esa necesidad.»</w:t>
      </w:r>
    </w:p>
    <w:p>
      <w:pPr>
        <w:spacing w:after="140" w:line="276"/>
      </w:pPr>
      <w:r>
        <w:rPr>
          <w:rFonts w:ascii="Calibri" w:cs="Calibri" w:eastAsia="Calibri" w:hAnsi="Calibri"/>
          <w:sz w:val="21"/>
          <w:szCs w:val="21"/>
        </w:rPr>
        <w:t xml:space="preserve">Esa objeción no es de oportunidad: es, traducida al lenguaje de la ley, una objeción de art. 116.4.e) LCSP, que exige que la relación entre la necesidad y el objeto del contrato sea </w:t>
      </w:r>
      <w:r>
        <w:rPr>
          <w:rFonts w:ascii="Calibri" w:cs="Calibri" w:eastAsia="Calibri" w:hAnsi="Calibri"/>
          <w:i/>
          <w:iCs/>
          <w:sz w:val="21"/>
          <w:szCs w:val="21"/>
        </w:rPr>
        <w:t xml:space="preserve">«directa, clara y proporcional»</w:t>
      </w:r>
      <w:r>
        <w:rPr>
          <w:rFonts w:ascii="Calibri" w:cs="Calibri" w:eastAsia="Calibri" w:hAnsi="Calibri"/>
          <w:sz w:val="21"/>
          <w:szCs w:val="21"/>
        </w:rPr>
        <w:t xml:space="preserve">. Es también, exactamente, el motivo por el que un recurrente pediría la anulación de un pliego. Por eso se responde aquí, y se responde con instrumentos, no con retórica.</w:t>
      </w:r>
    </w:p>
    <w:p>
      <w:pPr>
        <w:spacing w:after="140" w:line="276"/>
      </w:pPr>
      <w:r>
        <w:rPr>
          <w:rFonts w:ascii="Calibri" w:cs="Calibri" w:eastAsia="Calibri" w:hAnsi="Calibri"/>
          <w:sz w:val="21"/>
          <w:szCs w:val="21"/>
        </w:rPr>
        <w:t xml:space="preserve">Ese texto </w:t>
      </w: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y así se cita en todo el catálogo: entero, con su naturaleza expresada y con la parte que juega en contra, en el </w:t>
      </w:r>
      <w:r>
        <w:rPr>
          <w:rFonts w:ascii="Calibri" w:cs="Calibri" w:eastAsia="Calibri" w:hAnsi="Calibri"/>
          <w:b/>
          <w:bCs/>
          <w:sz w:val="21"/>
          <w:szCs w:val="21"/>
        </w:rPr>
        <w:t xml:space="preserve">§M1.5</w:t>
      </w:r>
      <w:r>
        <w:rPr>
          <w:rFonts w:ascii="Calibri" w:cs="Calibri" w:eastAsia="Calibri" w:hAnsi="Calibri"/>
          <w:sz w:val="21"/>
          <w:szCs w:val="21"/>
        </w:rPr>
        <w:t xml:space="preserve">, que es la única sede de su cita completa. Las demás partes remiten a ella.</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La objeción interna de junio de 2026: qué es, cómo se cita y qué dice entera</w:t>
      </w:r>
    </w:p>
    <w:p>
      <w:pPr>
        <w:spacing w:after="140" w:line="276"/>
      </w:pPr>
      <w:r>
        <w:rPr>
          <w:rFonts w:ascii="Calibri" w:cs="Calibri" w:eastAsia="Calibri" w:hAnsi="Calibri"/>
          <w:b/>
          <w:bCs/>
          <w:sz w:val="21"/>
          <w:szCs w:val="21"/>
        </w:rPr>
        <w:t xml:space="preserve">Qué es, con precisión, y cómo debe citarse.</w:t>
      </w:r>
      <w:r>
        <w:rPr>
          <w:rFonts w:ascii="Calibri" w:cs="Calibri" w:eastAsia="Calibri" w:hAnsi="Calibri"/>
          <w:sz w:val="21"/>
          <w:szCs w:val="21"/>
        </w:rPr>
        <w:t xml:space="preserve"> Es un </w:t>
      </w:r>
      <w:r>
        <w:rPr>
          <w:rFonts w:ascii="Calibri" w:cs="Calibri" w:eastAsia="Calibri" w:hAnsi="Calibri"/>
          <w:b/>
          <w:bCs/>
          <w:sz w:val="21"/>
          <w:szCs w:val="21"/>
        </w:rPr>
        <w:t xml:space="preserve">comentario interno de trabajo</w:t>
      </w:r>
      <w:r>
        <w:rPr>
          <w:rFonts w:ascii="Calibri" w:cs="Calibri" w:eastAsia="Calibri" w:hAnsi="Calibri"/>
          <w:sz w:val="21"/>
          <w:szCs w:val="21"/>
        </w:rPr>
        <w:t xml:space="preserve">, incorporado</w:t>
      </w:r>
    </w:p>
    <w:p>
      <w:pPr>
        <w:spacing w:after="140" w:line="276"/>
      </w:pPr>
      <w:r>
        <w:rPr>
          <w:rFonts w:ascii="Calibri" w:cs="Calibri" w:eastAsia="Calibri" w:hAnsi="Calibri"/>
          <w:sz w:val="21"/>
          <w:szCs w:val="21"/>
        </w:rPr>
        <w:t xml:space="preserve">al final del clausulado de la versión 2.0 de junio de 2026 y completado después por escrito. **No es</w:t>
      </w:r>
    </w:p>
    <w:p>
      <w:pPr>
        <w:spacing w:after="140" w:line="276"/>
      </w:pPr>
      <w:r>
        <w:rPr>
          <w:rFonts w:ascii="Calibri" w:cs="Calibri" w:eastAsia="Calibri" w:hAnsi="Calibri"/>
          <w:sz w:val="21"/>
          <w:szCs w:val="21"/>
        </w:rPr>
        <w:t xml:space="preserve">un informe**: no está registrado, no está firmado como tal y no ha seguido el circuito de un informe</w:t>
      </w:r>
    </w:p>
    <w:p>
      <w:pPr>
        <w:spacing w:after="140" w:line="276"/>
      </w:pPr>
      <w:r>
        <w:rPr>
          <w:rFonts w:ascii="Calibri" w:cs="Calibri" w:eastAsia="Calibri" w:hAnsi="Calibri"/>
          <w:sz w:val="21"/>
          <w:szCs w:val="21"/>
        </w:rPr>
        <w:t xml:space="preserve">preceptivo. En consecuencia:</w:t>
      </w:r>
    </w:p>
    <w:p>
      <w:pPr>
        <w:pStyle w:val="ListParagraph"/>
        <w:numPr>
          <w:ilvl w:val="0"/>
          <w:numId w:val="1"/>
        </w:numPr>
        <w:spacing w:after="70" w:line="268"/>
      </w:pPr>
      <w:r>
        <w:rPr>
          <w:rFonts w:ascii="Calibri" w:cs="Calibri" w:eastAsia="Calibri" w:hAnsi="Calibri"/>
          <w:b/>
          <w:bCs/>
          <w:sz w:val="21"/>
          <w:szCs w:val="21"/>
        </w:rPr>
        <w:t xml:space="preserve">No se cita como informe de ningún órgano</w:t>
      </w:r>
      <w:r>
        <w:rPr>
          <w:rFonts w:ascii="Calibri" w:cs="Calibri" w:eastAsia="Calibri" w:hAnsi="Calibri"/>
          <w:sz w:val="21"/>
          <w:szCs w:val="21"/>
        </w:rPr>
        <w:t xml:space="preserve">, ni se le atribuye a uno en un apartado y a otro en</w:t>
      </w:r>
    </w:p>
    <w:p>
      <w:pPr>
        <w:spacing w:after="140" w:line="276"/>
      </w:pPr>
      <w:r>
        <w:rPr>
          <w:rFonts w:ascii="Calibri" w:cs="Calibri" w:eastAsia="Calibri" w:hAnsi="Calibri"/>
          <w:sz w:val="21"/>
          <w:szCs w:val="21"/>
        </w:rPr>
        <w:t xml:space="preserve">otro, que es lo que hacían las versiones anteriores de esta memoria.</w:t>
      </w:r>
    </w:p>
    <w:p>
      <w:pPr>
        <w:pStyle w:val="ListParagraph"/>
        <w:numPr>
          <w:ilvl w:val="0"/>
          <w:numId w:val="1"/>
        </w:numPr>
        <w:spacing w:after="70" w:line="268"/>
      </w:pPr>
      <w:r>
        <w:rPr>
          <w:rFonts w:ascii="Calibri" w:cs="Calibri" w:eastAsia="Calibri" w:hAnsi="Calibri"/>
          <w:b/>
          <w:bCs/>
          <w:sz w:val="21"/>
          <w:szCs w:val="21"/>
        </w:rPr>
        <w:t xml:space="preserve">Se cita sin identificar a su autor ni al órgano del que procede.</w:t>
      </w:r>
      <w:r>
        <w:rPr>
          <w:rFonts w:ascii="Calibri" w:cs="Calibri" w:eastAsia="Calibri" w:hAnsi="Calibri"/>
          <w:sz w:val="21"/>
          <w:szCs w:val="21"/>
        </w:rPr>
        <w:t xml:space="preserve"> No es una cautela de cortesía:</w:t>
      </w:r>
    </w:p>
    <w:p>
      <w:pPr>
        <w:spacing w:after="140" w:line="276"/>
      </w:pPr>
      <w:r>
        <w:rPr>
          <w:rFonts w:ascii="Calibri" w:cs="Calibri" w:eastAsia="Calibri" w:hAnsi="Calibri"/>
          <w:sz w:val="21"/>
          <w:szCs w:val="21"/>
        </w:rPr>
        <w:t xml:space="preserve">un comentario de trabajo no registrado no compromete a nadie, y atribuirlo públicamente a un</w:t>
      </w:r>
    </w:p>
    <w:p>
      <w:pPr>
        <w:spacing w:after="140" w:line="276"/>
      </w:pPr>
      <w:r>
        <w:rPr>
          <w:rFonts w:ascii="Calibri" w:cs="Calibri" w:eastAsia="Calibri" w:hAnsi="Calibri"/>
          <w:sz w:val="21"/>
          <w:szCs w:val="21"/>
        </w:rPr>
        <w:t xml:space="preserve">servicio municipal le daría un valor institucional que no tiene. Las menciones a órganos concretos</w:t>
      </w:r>
    </w:p>
    <w:p>
      <w:pPr>
        <w:spacing w:after="140" w:line="276"/>
      </w:pPr>
      <w:r>
        <w:rPr>
          <w:rFonts w:ascii="Calibri" w:cs="Calibri" w:eastAsia="Calibri" w:hAnsi="Calibri"/>
          <w:sz w:val="21"/>
          <w:szCs w:val="21"/>
        </w:rPr>
        <w:t xml:space="preserve">que aparecían en el texto original se sustituyen por su denominación funcional entre corchetes.</w:t>
      </w:r>
    </w:p>
    <w:p>
      <w:pPr>
        <w:pStyle w:val="ListParagraph"/>
        <w:numPr>
          <w:ilvl w:val="0"/>
          <w:numId w:val="1"/>
        </w:numPr>
        <w:spacing w:after="70" w:line="268"/>
      </w:pPr>
      <w:r>
        <w:rPr>
          <w:rFonts w:ascii="Calibri" w:cs="Calibri" w:eastAsia="Calibri" w:hAnsi="Calibri"/>
          <w:b/>
          <w:bCs/>
          <w:sz w:val="21"/>
          <w:szCs w:val="21"/>
        </w:rPr>
        <w:t xml:space="preserve">No procede de la unidad de contratación del Ayuntamiento</w:t>
      </w:r>
      <w:r>
        <w:rPr>
          <w:rFonts w:ascii="Calibri" w:cs="Calibri" w:eastAsia="Calibri" w:hAnsi="Calibri"/>
          <w:sz w:val="21"/>
          <w:szCs w:val="21"/>
        </w:rPr>
        <w:t xml:space="preserve">, que a la fecha de corte de este</w:t>
      </w:r>
    </w:p>
    <w:p>
      <w:pPr>
        <w:spacing w:after="140" w:line="276"/>
      </w:pPr>
      <w:r>
        <w:rPr>
          <w:rFonts w:ascii="Calibri" w:cs="Calibri" w:eastAsia="Calibri" w:hAnsi="Calibri"/>
          <w:sz w:val="21"/>
          <w:szCs w:val="21"/>
        </w:rPr>
        <w:t xml:space="preserve">documento </w:t>
      </w:r>
      <w:r>
        <w:rPr>
          <w:rFonts w:ascii="Calibri" w:cs="Calibri" w:eastAsia="Calibri" w:hAnsi="Calibri"/>
          <w:b/>
          <w:bCs/>
          <w:sz w:val="21"/>
          <w:szCs w:val="21"/>
        </w:rPr>
        <w:t xml:space="preserve">no se ha pronunciado</w:t>
      </w:r>
      <w:r>
        <w:rPr>
          <w:rFonts w:ascii="Calibri" w:cs="Calibri" w:eastAsia="Calibri" w:hAnsi="Calibri"/>
          <w:sz w:val="21"/>
          <w:szCs w:val="21"/>
        </w:rPr>
        <w:t xml:space="preserve"> sobre este catálogo. Este documento no le atribuye posición</w:t>
      </w:r>
    </w:p>
    <w:p>
      <w:pPr>
        <w:spacing w:after="140" w:line="276"/>
      </w:pPr>
      <w:r>
        <w:rPr>
          <w:rFonts w:ascii="Calibri" w:cs="Calibri" w:eastAsia="Calibri" w:hAnsi="Calibri"/>
          <w:sz w:val="21"/>
          <w:szCs w:val="21"/>
        </w:rPr>
        <w:t xml:space="preserve">alguna, ni a favor ni en contra.</w:t>
      </w:r>
    </w:p>
    <w:p>
      <w:pPr>
        <w:pStyle w:val="ListParagraph"/>
        <w:numPr>
          <w:ilvl w:val="0"/>
          <w:numId w:val="1"/>
        </w:numPr>
        <w:spacing w:after="70" w:line="268"/>
      </w:pPr>
      <w:r>
        <w:rPr>
          <w:rFonts w:ascii="Calibri" w:cs="Calibri" w:eastAsia="Calibri" w:hAnsi="Calibri"/>
          <w:sz w:val="21"/>
          <w:szCs w:val="21"/>
        </w:rPr>
        <w:t xml:space="preserve">Y se cita </w:t>
      </w:r>
      <w:r>
        <w:rPr>
          <w:rFonts w:ascii="Calibri" w:cs="Calibri" w:eastAsia="Calibri" w:hAnsi="Calibri"/>
          <w:b/>
          <w:bCs/>
          <w:sz w:val="21"/>
          <w:szCs w:val="21"/>
        </w:rPr>
        <w:t xml:space="preserve">entera</w:t>
      </w:r>
      <w:r>
        <w:rPr>
          <w:rFonts w:ascii="Calibri" w:cs="Calibri" w:eastAsia="Calibri" w:hAnsi="Calibri"/>
          <w:sz w:val="21"/>
          <w:szCs w:val="21"/>
        </w:rPr>
        <w:t xml:space="preserve">, incluida la parte que juega en contra de este catálogo. Es la regla que se</w:t>
      </w:r>
    </w:p>
    <w:p>
      <w:pPr>
        <w:spacing w:after="140" w:line="276"/>
      </w:pPr>
      <w:r>
        <w:rPr>
          <w:rFonts w:ascii="Calibri" w:cs="Calibri" w:eastAsia="Calibri" w:hAnsi="Calibri"/>
          <w:sz w:val="21"/>
          <w:szCs w:val="21"/>
        </w:rPr>
        <w:t xml:space="preserve">aplica a sí mismo: la memoria no puede escoger de una objeción los trozos que le convienen.</w:t>
      </w:r>
    </w:p>
    <w:p>
      <w:pPr>
        <w:spacing w:after="140" w:line="276"/>
      </w:pPr>
      <w:r>
        <w:rPr>
          <w:rFonts w:ascii="Calibri" w:cs="Calibri" w:eastAsia="Calibri" w:hAnsi="Calibri"/>
          <w:sz w:val="21"/>
          <w:szCs w:val="21"/>
        </w:rPr>
        <w:t xml:space="preserve">Ésta es, por tanto, la única sede de su cita completa. Todo el resto del documento remite aquí.</w:t>
      </w:r>
    </w:p>
    <w:p>
      <w:pPr>
        <w:spacing w:after="140" w:line="276"/>
      </w:pPr>
      <w:r>
        <w:rPr>
          <w:rFonts w:ascii="Calibri" w:cs="Calibri" w:eastAsia="Calibri" w:hAnsi="Calibri"/>
          <w:b/>
          <w:bCs/>
          <w:sz w:val="21"/>
          <w:szCs w:val="21"/>
        </w:rPr>
        <w:t xml:space="preserve">Primer bloque · el origen de la necesidad</w:t>
      </w:r>
      <w:r>
        <w:rPr>
          <w:rFonts w:ascii="Calibri" w:cs="Calibri" w:eastAsia="Calibri" w:hAnsi="Calibri"/>
          <w:sz w:val="21"/>
          <w:szCs w:val="21"/>
        </w:rPr>
        <w:t xml:space="preserve"> (respondido en §M1.2 a §M1.6):</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w:t>
      </w:r>
    </w:p>
    <w:p>
      <w:pPr>
        <w:pBdr>
          <w:left w:val="single" w:color="BFBFBF" w:sz="12" w:space="8"/>
        </w:pBdr>
        <w:spacing w:after="140" w:line="264"/>
        <w:ind w:left="400"/>
      </w:pPr>
      <w:r>
        <w:rPr>
          <w:rFonts w:ascii="Georgia" w:cs="Georgia" w:eastAsia="Georgia" w:hAnsi="Georgia"/>
          <w:i/>
          <w:iCs/>
          <w:color w:val="595959"/>
          <w:sz w:val="20"/>
          <w:szCs w:val="20"/>
        </w:rPr>
        <w:t xml:space="preserve">necesidades que no se demandan por ninguno de los gestores y si no es así no dejan de ser algo</w:t>
      </w:r>
    </w:p>
    <w:p>
      <w:pPr>
        <w:pBdr>
          <w:left w:val="single" w:color="BFBFBF" w:sz="12" w:space="8"/>
        </w:pBdr>
        <w:spacing w:after="140" w:line="264"/>
        <w:ind w:left="400"/>
      </w:pPr>
      <w:r>
        <w:rPr>
          <w:rFonts w:ascii="Georgia" w:cs="Georgia" w:eastAsia="Georgia" w:hAnsi="Georgia"/>
          <w:i/>
          <w:iCs/>
          <w:color w:val="595959"/>
          <w:sz w:val="20"/>
          <w:szCs w:val="20"/>
        </w:rPr>
        <w:t xml:space="preserve">artificioso al contrato. Primero siempre surge la necesidad y las cláusulas del contrato es la</w:t>
      </w:r>
    </w:p>
    <w:p>
      <w:pPr>
        <w:pBdr>
          <w:left w:val="single" w:color="BFBFBF" w:sz="12" w:space="8"/>
        </w:pBdr>
        <w:spacing w:after="140" w:line="264"/>
        <w:ind w:left="400"/>
      </w:pPr>
      <w:r>
        <w:rPr>
          <w:rFonts w:ascii="Georgia" w:cs="Georgia" w:eastAsia="Georgia" w:hAnsi="Georgia"/>
          <w:i/>
          <w:iCs/>
          <w:color w:val="595959"/>
          <w:sz w:val="20"/>
          <w:szCs w:val="20"/>
        </w:rPr>
        <w:t xml:space="preserve">forma de obligar al contratista para que satisfaga esa necesidad.»</w:t>
      </w:r>
    </w:p>
    <w:p>
      <w:pPr>
        <w:spacing w:after="140" w:line="276"/>
      </w:pPr>
      <w:r>
        <w:rPr>
          <w:rFonts w:ascii="Calibri" w:cs="Calibri" w:eastAsia="Calibri" w:hAnsi="Calibri"/>
          <w:b/>
          <w:bCs/>
          <w:sz w:val="21"/>
          <w:szCs w:val="21"/>
        </w:rPr>
        <w:t xml:space="preserve">Segundo bloque · el seguimiento real y el acceso al dato</w:t>
      </w:r>
      <w:r>
        <w:rPr>
          <w:rFonts w:ascii="Calibri" w:cs="Calibri" w:eastAsia="Calibri" w:hAnsi="Calibri"/>
          <w:sz w:val="21"/>
          <w:szCs w:val="21"/>
        </w:rPr>
        <w:t xml:space="preserve"> (respondido en §M4.4 y en ADM-12·v3):</w:t>
      </w:r>
    </w:p>
    <w:p>
      <w:pPr>
        <w:pBdr>
          <w:left w:val="single" w:color="BFBFBF" w:sz="12" w:space="8"/>
        </w:pBdr>
        <w:spacing w:after="140" w:line="264"/>
        <w:ind w:left="400"/>
      </w:pPr>
      <w:r>
        <w:rPr>
          <w:rFonts w:ascii="Georgia" w:cs="Georgia" w:eastAsia="Georgia" w:hAnsi="Georgia"/>
          <w:i/>
          <w:iCs/>
          <w:color w:val="595959"/>
          <w:sz w:val="20"/>
          <w:szCs w:val="20"/>
        </w:rPr>
        <w:t xml:space="preserve">«Son pocos los contratos en los que se haga un seguimiento real y este se basa exclusivamente en</w:t>
      </w:r>
    </w:p>
    <w:p>
      <w:pPr>
        <w:pBdr>
          <w:left w:val="single" w:color="BFBFBF" w:sz="12" w:space="8"/>
        </w:pBdr>
        <w:spacing w:after="140" w:line="264"/>
        <w:ind w:left="400"/>
      </w:pPr>
      <w:r>
        <w:rPr>
          <w:rFonts w:ascii="Georgia" w:cs="Georgia" w:eastAsia="Georgia" w:hAnsi="Georgia"/>
          <w:i/>
          <w:iCs/>
          <w:color w:val="595959"/>
          <w:sz w:val="20"/>
          <w:szCs w:val="20"/>
        </w:rPr>
        <w:t xml:space="preserve">el control del gasto, ni eficiencia, ni eficacia, es en ese ámbito en que la explotación de los</w:t>
      </w:r>
    </w:p>
    <w:p>
      <w:pPr>
        <w:pBdr>
          <w:left w:val="single" w:color="BFBFBF" w:sz="12" w:space="8"/>
        </w:pBdr>
        <w:spacing w:after="140" w:line="264"/>
        <w:ind w:left="400"/>
      </w:pPr>
      <w:r>
        <w:rPr>
          <w:rFonts w:ascii="Georgia" w:cs="Georgia" w:eastAsia="Georgia" w:hAnsi="Georgia"/>
          <w:i/>
          <w:iCs/>
          <w:color w:val="595959"/>
          <w:sz w:val="20"/>
          <w:szCs w:val="20"/>
        </w:rPr>
        <w:t xml:space="preserve">datos sería sumamente útil, pero siendo este seguimiento parte de las obligaciones de control</w:t>
      </w:r>
    </w:p>
    <w:p>
      <w:pPr>
        <w:pBdr>
          <w:left w:val="single" w:color="BFBFBF" w:sz="12" w:space="8"/>
        </w:pBdr>
        <w:spacing w:after="140" w:line="264"/>
        <w:ind w:left="400"/>
      </w:pPr>
      <w:r>
        <w:rPr>
          <w:rFonts w:ascii="Georgia" w:cs="Georgia" w:eastAsia="Georgia" w:hAnsi="Georgia"/>
          <w:i/>
          <w:iCs/>
          <w:color w:val="595959"/>
          <w:sz w:val="20"/>
          <w:szCs w:val="20"/>
        </w:rPr>
        <w:t xml:space="preserve">[del órgano de control interno] </w:t>
      </w:r>
      <w:r>
        <w:rPr>
          <w:rFonts w:ascii="Georgia" w:cs="Georgia" w:eastAsia="Georgia" w:hAnsi="Georgia"/>
          <w:b/>
          <w:bCs/>
          <w:i/>
          <w:iCs/>
          <w:color w:val="595959"/>
          <w:sz w:val="20"/>
          <w:szCs w:val="20"/>
        </w:rPr>
        <w:t xml:space="preserve">no podemos pedir que se implementen estos instrumentos</w:t>
      </w:r>
      <w:r>
        <w:rPr>
          <w:rFonts w:ascii="Georgia" w:cs="Georgia" w:eastAsia="Georgia" w:hAnsi="Georgia"/>
          <w:i/>
          <w:iCs/>
          <w:color w:val="595959"/>
          <w:sz w:val="20"/>
          <w:szCs w:val="20"/>
        </w:rPr>
        <w:t xml:space="preserve">; lo que</w:t>
      </w:r>
    </w:p>
    <w:p>
      <w:pPr>
        <w:pBdr>
          <w:left w:val="single" w:color="BFBFBF" w:sz="12" w:space="8"/>
        </w:pBdr>
        <w:spacing w:after="140" w:line="264"/>
        <w:ind w:left="400"/>
      </w:pPr>
      <w:r>
        <w:rPr>
          <w:rFonts w:ascii="Georgia" w:cs="Georgia" w:eastAsia="Georgia" w:hAnsi="Georgia"/>
          <w:i/>
          <w:iCs/>
          <w:color w:val="595959"/>
          <w:sz w:val="20"/>
          <w:szCs w:val="20"/>
        </w:rPr>
        <w:t xml:space="preserve">sí entraría dentro de [su] ámbito sería la explotación de los datos **al mismo rango que el</w:t>
      </w:r>
    </w:p>
    <w:p>
      <w:pPr>
        <w:pBdr>
          <w:left w:val="single" w:color="BFBFBF" w:sz="12" w:space="8"/>
        </w:pBdr>
        <w:spacing w:after="140" w:line="264"/>
        <w:ind w:left="400"/>
      </w:pPr>
      <w:r>
        <w:rPr>
          <w:rFonts w:ascii="Georgia" w:cs="Georgia" w:eastAsia="Georgia" w:hAnsi="Georgia"/>
          <w:i/>
          <w:iCs/>
          <w:color w:val="595959"/>
          <w:sz w:val="20"/>
          <w:szCs w:val="20"/>
        </w:rPr>
        <w:t xml:space="preserve">gestor**, al objeto de cumplir con [sus] obligaciones legales.»</w:t>
      </w:r>
    </w:p>
    <w:p>
      <w:pPr>
        <w:spacing w:after="140" w:line="276"/>
      </w:pPr>
      <w:r>
        <w:rPr>
          <w:rFonts w:ascii="Calibri" w:cs="Calibri" w:eastAsia="Calibri" w:hAnsi="Calibri"/>
          <w:b/>
          <w:bCs/>
          <w:sz w:val="21"/>
          <w:szCs w:val="21"/>
        </w:rPr>
        <w:t xml:space="preserve">Tercer bloque · la abstracción y la petición de un piloto</w:t>
      </w:r>
      <w:r>
        <w:rPr>
          <w:rFonts w:ascii="Calibri" w:cs="Calibri" w:eastAsia="Calibri" w:hAnsi="Calibri"/>
          <w:sz w:val="21"/>
          <w:szCs w:val="21"/>
        </w:rPr>
        <w:t xml:space="preserve"> (respondido en toda la Parte VI):</w:t>
      </w:r>
    </w:p>
    <w:p>
      <w:pPr>
        <w:pBdr>
          <w:left w:val="single" w:color="BFBFBF" w:sz="12" w:space="8"/>
        </w:pBdr>
        <w:spacing w:after="140" w:line="264"/>
        <w:ind w:left="400"/>
      </w:pPr>
      <w:r>
        <w:rPr>
          <w:rFonts w:ascii="Georgia" w:cs="Georgia" w:eastAsia="Georgia" w:hAnsi="Georgia"/>
          <w:i/>
          <w:iCs/>
          <w:color w:val="595959"/>
          <w:sz w:val="20"/>
          <w:szCs w:val="20"/>
        </w:rPr>
        <w:t xml:space="preserve">«Me gustaría ponerlo a funcionar en algún contrato municipal a modo de experimento piloto, ya que</w:t>
      </w:r>
    </w:p>
    <w:p>
      <w:pPr>
        <w:pBdr>
          <w:left w:val="single" w:color="BFBFBF" w:sz="12" w:space="8"/>
        </w:pBdr>
        <w:spacing w:after="140" w:line="264"/>
        <w:ind w:left="400"/>
      </w:pPr>
      <w:r>
        <w:rPr>
          <w:rFonts w:ascii="Georgia" w:cs="Georgia" w:eastAsia="Georgia" w:hAnsi="Georgia"/>
          <w:i/>
          <w:iCs/>
          <w:color w:val="595959"/>
          <w:sz w:val="20"/>
          <w:szCs w:val="20"/>
        </w:rPr>
        <w:t xml:space="preserve">el grado de abstracción lo veo muy elevado. Y si yo lo veo así y no lejos de oponerme me gustaría</w:t>
      </w:r>
    </w:p>
    <w:p>
      <w:pPr>
        <w:pBdr>
          <w:left w:val="single" w:color="BFBFBF" w:sz="12" w:space="8"/>
        </w:pBdr>
        <w:spacing w:after="140" w:line="264"/>
        <w:ind w:left="400"/>
      </w:pPr>
      <w:r>
        <w:rPr>
          <w:rFonts w:ascii="Georgia" w:cs="Georgia" w:eastAsia="Georgia" w:hAnsi="Georgia"/>
          <w:i/>
          <w:iCs/>
          <w:color w:val="595959"/>
          <w:sz w:val="20"/>
          <w:szCs w:val="20"/>
        </w:rPr>
        <w:t xml:space="preserve">verlo funcionar […]. A modo de conclusión, las veo demasiado abstractas quizás porque son</w:t>
      </w:r>
    </w:p>
    <w:p>
      <w:pPr>
        <w:pBdr>
          <w:left w:val="single" w:color="BFBFBF" w:sz="12" w:space="8"/>
        </w:pBdr>
        <w:spacing w:after="140" w:line="264"/>
        <w:ind w:left="400"/>
      </w:pPr>
      <w:r>
        <w:rPr>
          <w:rFonts w:ascii="Georgia" w:cs="Georgia" w:eastAsia="Georgia" w:hAnsi="Georgia"/>
          <w:i/>
          <w:iCs/>
          <w:color w:val="595959"/>
          <w:sz w:val="20"/>
          <w:szCs w:val="20"/>
        </w:rPr>
        <w:t xml:space="preserve">demasiado innovadoras y creo que la mejor opción para quitarnos dudas de su aplicabilidad real</w:t>
      </w:r>
    </w:p>
    <w:p>
      <w:pPr>
        <w:pBdr>
          <w:left w:val="single" w:color="BFBFBF" w:sz="12" w:space="8"/>
        </w:pBdr>
        <w:spacing w:after="140" w:line="264"/>
        <w:ind w:left="400"/>
      </w:pPr>
      <w:r>
        <w:rPr>
          <w:rFonts w:ascii="Georgia" w:cs="Georgia" w:eastAsia="Georgia" w:hAnsi="Georgia"/>
          <w:i/>
          <w:iCs/>
          <w:color w:val="595959"/>
          <w:sz w:val="20"/>
          <w:szCs w:val="20"/>
        </w:rPr>
        <w:t xml:space="preserve">sería intentar incluirlas en alguna contratación de las que ahora tengamos previstas y en las que</w:t>
      </w:r>
    </w:p>
    <w:p>
      <w:pPr>
        <w:pBdr>
          <w:left w:val="single" w:color="BFBFBF" w:sz="12" w:space="8"/>
        </w:pBdr>
        <w:spacing w:after="140" w:line="264"/>
        <w:ind w:left="400"/>
      </w:pPr>
      <w:r>
        <w:rPr>
          <w:rFonts w:ascii="Georgia" w:cs="Georgia" w:eastAsia="Georgia" w:hAnsi="Georgia"/>
          <w:i/>
          <w:iCs/>
          <w:color w:val="595959"/>
          <w:sz w:val="20"/>
          <w:szCs w:val="20"/>
        </w:rPr>
        <w:t xml:space="preserve">su aplicación no fuera excesivamente compleja.»</w:t>
      </w:r>
    </w:p>
    <w:p>
      <w:pPr>
        <w:spacing w:after="140" w:line="276"/>
      </w:pPr>
      <w:r>
        <w:rPr>
          <w:rFonts w:ascii="Calibri" w:cs="Calibri" w:eastAsia="Calibri" w:hAnsi="Calibri"/>
          <w:b/>
          <w:bCs/>
          <w:sz w:val="21"/>
          <w:szCs w:val="21"/>
        </w:rPr>
        <w:t xml:space="preserve">Cuarto bloque · los demás actores</w:t>
      </w:r>
      <w:r>
        <w:rPr>
          <w:rFonts w:ascii="Calibri" w:cs="Calibri" w:eastAsia="Calibri" w:hAnsi="Calibri"/>
          <w:sz w:val="21"/>
          <w:szCs w:val="21"/>
        </w:rPr>
        <w:t xml:space="preserve"> (respondido en el §M1.7, que se añade por esta razón):</w:t>
      </w:r>
    </w:p>
    <w:p>
      <w:pPr>
        <w:pBdr>
          <w:left w:val="single" w:color="BFBFBF" w:sz="12" w:space="8"/>
        </w:pBdr>
        <w:spacing w:after="140" w:line="264"/>
        <w:ind w:left="400"/>
      </w:pPr>
      <w:r>
        <w:rPr>
          <w:rFonts w:ascii="Georgia" w:cs="Georgia" w:eastAsia="Georgia" w:hAnsi="Georgia"/>
          <w:i/>
          <w:iCs/>
          <w:color w:val="595959"/>
          <w:sz w:val="20"/>
          <w:szCs w:val="20"/>
        </w:rPr>
        <w:t xml:space="preserve">«En la contratación hay muchos actores y no solo propios y tendría que ver cómo reaccionar ante</w:t>
      </w:r>
    </w:p>
    <w:p>
      <w:pPr>
        <w:pBdr>
          <w:left w:val="single" w:color="BFBFBF" w:sz="12" w:space="8"/>
        </w:pBdr>
        <w:spacing w:after="140" w:line="264"/>
        <w:ind w:left="400"/>
      </w:pPr>
      <w:r>
        <w:rPr>
          <w:rFonts w:ascii="Georgia" w:cs="Georgia" w:eastAsia="Georgia" w:hAnsi="Georgia"/>
          <w:i/>
          <w:iCs/>
          <w:color w:val="595959"/>
          <w:sz w:val="20"/>
          <w:szCs w:val="20"/>
        </w:rPr>
        <w:t xml:space="preserve">unas exigencias que casi seguro no han visto antes.»</w:t>
      </w:r>
    </w:p>
    <w:p>
      <w:pPr>
        <w:spacing w:after="140" w:line="276"/>
      </w:pPr>
      <w:r>
        <w:rPr>
          <w:rFonts w:ascii="Calibri" w:cs="Calibri" w:eastAsia="Calibri" w:hAnsi="Calibri"/>
          <w:b/>
          <w:bCs/>
          <w:sz w:val="21"/>
          <w:szCs w:val="21"/>
        </w:rPr>
        <w:t xml:space="preserve">Cómo se ha tratado esta objeción, y por qué importa decirlo.</w:t>
      </w:r>
      <w:r>
        <w:rPr>
          <w:rFonts w:ascii="Calibri" w:cs="Calibri" w:eastAsia="Calibri" w:hAnsi="Calibri"/>
          <w:sz w:val="21"/>
          <w:szCs w:val="21"/>
        </w:rPr>
        <w:t xml:space="preserve"> Las cuatro partes se han incorporado</w:t>
      </w:r>
    </w:p>
    <w:p>
      <w:pPr>
        <w:spacing w:after="140" w:line="276"/>
      </w:pPr>
      <w:r>
        <w:rPr>
          <w:rFonts w:ascii="Calibri" w:cs="Calibri" w:eastAsia="Calibri" w:hAnsi="Calibri"/>
          <w:sz w:val="21"/>
          <w:szCs w:val="21"/>
        </w:rPr>
        <w:t xml:space="preserve">al documento, y tres de ellas han cambiado su contenido, no su prólogo: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 cambiado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 Origen de la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necesidad previa del gestor, la cláusula es artificiosa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tres orígenes de necesidad del §M1.2, la </w:t>
            </w:r>
            <w:r>
              <w:rPr>
                <w:rFonts w:ascii="Calibri" w:cs="Calibri" w:eastAsia="Calibri" w:hAnsi="Calibri"/>
                <w:b/>
                <w:bCs/>
                <w:sz w:val="18"/>
                <w:szCs w:val="18"/>
              </w:rPr>
              <w:t xml:space="preserve">doble vía de firma</w:t>
            </w:r>
            <w:r>
              <w:rPr>
                <w:rFonts w:ascii="Calibri" w:cs="Calibri" w:eastAsia="Calibri" w:hAnsi="Calibri"/>
                <w:b w:val="false"/>
                <w:bCs w:val="false"/>
                <w:sz w:val="18"/>
                <w:szCs w:val="18"/>
              </w:rPr>
              <w:t xml:space="preserve"> del §M1.3 y la regla de cierre: cláusula sin ficha firmada, NO APLICA. El núcleo del catálogo pasa a exigir </w:t>
            </w: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(Anexo VIII), sin el cual no se sostiene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 Seguimiento y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seguimiento real es escaso; el órgano de control no puede imponer instrumentos, pero sí necesita el dato </w:t>
            </w:r>
            <w:r>
              <w:rPr>
                <w:rFonts w:ascii="Calibri" w:cs="Calibri" w:eastAsia="Calibri" w:hAnsi="Calibri"/>
                <w:b/>
                <w:bCs/>
                <w:sz w:val="18"/>
                <w:szCs w:val="18"/>
              </w:rPr>
              <w:t xml:space="preserve">al mismo rango que el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se redacta exactamente sobre esa frase: paridad de acceso con el gestor, sin tarificación, con diccionario de datos, en formato abierto y sostenida en prórrogas y reversión. Y </w:t>
            </w:r>
            <w:r>
              <w:rPr>
                <w:rFonts w:ascii="Calibri" w:cs="Calibri" w:eastAsia="Calibri" w:hAnsi="Calibri"/>
                <w:b/>
                <w:bCs/>
                <w:sz w:val="18"/>
                <w:szCs w:val="18"/>
              </w:rPr>
              <w:t xml:space="preserve">ADM-10·v3 se degrada</w:t>
            </w:r>
            <w:r>
              <w:rPr>
                <w:rFonts w:ascii="Calibri" w:cs="Calibri" w:eastAsia="Calibri" w:hAnsi="Calibri"/>
                <w:b w:val="false"/>
                <w:bCs w:val="false"/>
                <w:sz w:val="18"/>
                <w:szCs w:val="18"/>
              </w:rPr>
              <w:t xml:space="preserve">: deja de ser fuente autónoma de obligaciones esenciales, porque el propio objetor duda de que corresponda imponerlas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 Abstracción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Demasiado abstracto; pruébese en un contrato previsto y poco complejo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entera</w:t>
            </w:r>
            <w:r>
              <w:rPr>
                <w:rFonts w:ascii="Calibri" w:cs="Calibri" w:eastAsia="Calibri" w:hAnsi="Calibri"/>
                <w:b w:val="false"/>
                <w:bCs w:val="false"/>
                <w:sz w:val="18"/>
                <w:szCs w:val="18"/>
              </w:rPr>
              <w:t xml:space="preserve">: método de elección del contrato piloto (§VI.2.1), </w:t>
            </w:r>
            <w:r>
              <w:rPr>
                <w:rFonts w:ascii="Calibri" w:cs="Calibri" w:eastAsia="Calibri" w:hAnsi="Calibri"/>
                <w:b/>
                <w:bCs/>
                <w:sz w:val="18"/>
                <w:szCs w:val="18"/>
              </w:rPr>
              <w:t xml:space="preserve">subconjunto mínimo de seis cláusulas</w:t>
            </w:r>
            <w:r>
              <w:rPr>
                <w:rFonts w:ascii="Calibri" w:cs="Calibri" w:eastAsia="Calibri" w:hAnsi="Calibri"/>
                <w:b w:val="false"/>
                <w:bCs w:val="false"/>
                <w:sz w:val="18"/>
                <w:szCs w:val="18"/>
              </w:rPr>
              <w:t xml:space="preserve"> para el primer expediente (§VI.2.2), ejemplo completo trabajado y compromiso de evaluación con dos informes (§VI.8)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Los demás actores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Hay actores externos que no han visto antes estas exigencias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§M1.7</w:t>
            </w:r>
            <w:r>
              <w:rPr>
                <w:rFonts w:ascii="Calibri" w:cs="Calibri" w:eastAsia="Calibri" w:hAnsi="Calibri"/>
                <w:b w:val="false"/>
                <w:bCs w:val="false"/>
                <w:sz w:val="18"/>
                <w:szCs w:val="18"/>
              </w:rPr>
              <w:t xml:space="preserve">, nuevo: consulta preliminar previa, plazos, aviso al mercado y regla de gradualidad</w:t>
            </w:r>
          </w:p>
        </w:tc>
      </w:tr>
    </w:tbl>
    <w:p>
      <w:pPr>
        <w:spacing w:after="200"/>
      </w:pPr>
    </w:p>
    <w:p>
      <w:pPr>
        <w:spacing w:after="140" w:line="276"/>
      </w:pPr>
      <w:r>
        <w:rPr>
          <w:rFonts w:ascii="Calibri" w:cs="Calibri" w:eastAsia="Calibri" w:hAnsi="Calibri"/>
          <w:b/>
          <w:bCs/>
          <w:sz w:val="21"/>
          <w:szCs w:val="21"/>
        </w:rPr>
        <w:t xml:space="preserve">Lo que esta objeción tiene de valioso, y conviene no maquillar.</w:t>
      </w:r>
      <w:r>
        <w:rPr>
          <w:rFonts w:ascii="Calibri" w:cs="Calibri" w:eastAsia="Calibri" w:hAnsi="Calibri"/>
          <w:sz w:val="21"/>
          <w:szCs w:val="21"/>
        </w:rPr>
        <w:t xml:space="preserve"> Es la única aportación de todo el</w:t>
      </w:r>
    </w:p>
    <w:p>
      <w:pPr>
        <w:spacing w:after="140" w:line="276"/>
      </w:pPr>
      <w:r>
        <w:rPr>
          <w:rFonts w:ascii="Calibri" w:cs="Calibri" w:eastAsia="Calibri" w:hAnsi="Calibri"/>
          <w:sz w:val="21"/>
          <w:szCs w:val="21"/>
        </w:rPr>
        <w:t xml:space="preserve">proyecto que ha obligado a cambiar la arquitectura del catálogo y no sólo su redacción. Un catálogo</w:t>
      </w:r>
    </w:p>
    <w:p>
      <w:pPr>
        <w:spacing w:after="140" w:line="276"/>
      </w:pPr>
      <w:r>
        <w:rPr>
          <w:rFonts w:ascii="Calibri" w:cs="Calibri" w:eastAsia="Calibri" w:hAnsi="Calibri"/>
          <w:sz w:val="21"/>
          <w:szCs w:val="21"/>
        </w:rPr>
        <w:t xml:space="preserve">que sólo hubiera pasado por sus autores no tendría ni la doble vía de firma, ni el acuerdo del órgano</w:t>
      </w:r>
    </w:p>
    <w:p>
      <w:pPr>
        <w:spacing w:after="140" w:line="276"/>
      </w:pPr>
      <w:r>
        <w:rPr>
          <w:rFonts w:ascii="Calibri" w:cs="Calibri" w:eastAsia="Calibri" w:hAnsi="Calibri"/>
          <w:sz w:val="21"/>
          <w:szCs w:val="21"/>
        </w:rPr>
        <w:t xml:space="preserve">de gobierno, ni el subconjunto mínimo, ni la degradación de ADM-10. Los tiene porque alguien que</w:t>
      </w:r>
    </w:p>
    <w:p>
      <w:pPr>
        <w:spacing w:after="140" w:line="276"/>
      </w:pPr>
      <w:r>
        <w:rPr>
          <w:rFonts w:ascii="Calibri" w:cs="Calibri" w:eastAsia="Calibri" w:hAnsi="Calibri"/>
          <w:sz w:val="21"/>
          <w:szCs w:val="21"/>
        </w:rPr>
        <w:t xml:space="preserve">tenía que aplicarlo dijo por escrito por qué no podría.</w:t>
      </w:r>
    </w:p>
    <w:p>
      <w:pPr>
        <w:spacing w:after="140" w:line="276"/>
      </w:pPr>
      <w:r>
        <w:rPr>
          <w:rFonts w:ascii="Calibri" w:cs="Calibri" w:eastAsia="Calibri" w:hAnsi="Calibri"/>
          <w:b/>
          <w:bCs/>
          <w:sz w:val="21"/>
          <w:szCs w:val="21"/>
        </w:rPr>
        <w:t xml:space="preserve">Recomendación vinculante antes de aplicar el catálogo a un expediente:</w:t>
      </w:r>
      <w:r>
        <w:rPr>
          <w:rFonts w:ascii="Calibri" w:cs="Calibri" w:eastAsia="Calibri" w:hAnsi="Calibri"/>
          <w:sz w:val="21"/>
          <w:szCs w:val="21"/>
        </w:rPr>
        <w:t xml:space="preserve"> solicítese a los servicios</w:t>
      </w:r>
    </w:p>
    <w:p>
      <w:pPr>
        <w:spacing w:after="140" w:line="276"/>
      </w:pPr>
      <w:r>
        <w:rPr>
          <w:rFonts w:ascii="Calibri" w:cs="Calibri" w:eastAsia="Calibri" w:hAnsi="Calibri"/>
          <w:sz w:val="21"/>
          <w:szCs w:val="21"/>
        </w:rPr>
        <w:t xml:space="preserve">competentes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y sustitúyase en la memoria del expediente la cita de</w:t>
      </w:r>
    </w:p>
    <w:p>
      <w:pPr>
        <w:spacing w:after="140" w:line="276"/>
      </w:pPr>
      <w:r>
        <w:rPr>
          <w:rFonts w:ascii="Calibri" w:cs="Calibri" w:eastAsia="Calibri" w:hAnsi="Calibri"/>
          <w:sz w:val="21"/>
          <w:szCs w:val="21"/>
        </w:rPr>
        <w:t xml:space="preserve">este comentario por la cita de ese informe. Mientras no exista, la necesidad declarada se apoya en un</w:t>
      </w:r>
    </w:p>
    <w:p>
      <w:pPr>
        <w:spacing w:after="140" w:line="276"/>
      </w:pPr>
      <w:r>
        <w:rPr>
          <w:rFonts w:ascii="Calibri" w:cs="Calibri" w:eastAsia="Calibri" w:hAnsi="Calibri"/>
          <w:sz w:val="21"/>
          <w:szCs w:val="21"/>
        </w:rPr>
        <w:t xml:space="preserve">comentario de trabajo, y así debe constar.</w:t>
      </w:r>
    </w:p>
    <w:p>
      <w:pPr>
        <w:pStyle w:val="Heading3"/>
        <w:keepNext/>
        <w:spacing w:after="140" w:before="320"/>
      </w:pPr>
      <w:r>
        <w:rPr>
          <w:rFonts w:ascii="Georgia" w:cs="Georgia" w:eastAsia="Georgia" w:hAnsi="Georgia"/>
          <w:b/>
          <w:bCs/>
          <w:color w:val="2F5496"/>
          <w:sz w:val="22"/>
          <w:szCs w:val="22"/>
        </w:rPr>
        <w:t xml:space="preserve">M1.6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M1.7 · Los demás actores: exigencias que el mercado no ha visto antes</w:t>
      </w:r>
    </w:p>
    <w:p>
      <w:pPr>
        <w:spacing w:after="140" w:line="276"/>
      </w:pPr>
      <w:r>
        <w:rPr>
          <w:rFonts w:ascii="Calibri" w:cs="Calibri" w:eastAsia="Calibri" w:hAnsi="Calibri"/>
          <w:sz w:val="21"/>
          <w:szCs w:val="21"/>
        </w:rPr>
        <w:t xml:space="preserve">El cuarto bloque de la objeción del §M1.5 es el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el objetor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que sustituya al comentario interno de trabajo de junio de 2026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oiyideefuc6rizoz_lkmp">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j6pf3hdttxwc6nnzrfjsx">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La objeción interna que abre la Parte IV no terminaba en el origen de la necesidad. Terminaba con</w:t>
      </w:r>
    </w:p>
    <w:p>
      <w:pPr>
        <w:spacing w:after="140" w:line="276"/>
      </w:pPr>
      <w:r>
        <w:rPr>
          <w:rFonts w:ascii="Calibri" w:cs="Calibri" w:eastAsia="Calibri" w:hAnsi="Calibri"/>
          <w:sz w:val="21"/>
          <w:szCs w:val="21"/>
        </w:rPr>
        <w:t xml:space="preserve">una petición concreta, y la petición era ésta: **las cláusulas se ven demasiado abstractas —quizá</w:t>
      </w:r>
    </w:p>
    <w:p>
      <w:pPr>
        <w:spacing w:after="140" w:line="276"/>
      </w:pPr>
      <w:r>
        <w:rPr>
          <w:rFonts w:ascii="Calibri" w:cs="Calibri" w:eastAsia="Calibri" w:hAnsi="Calibri"/>
          <w:sz w:val="21"/>
          <w:szCs w:val="21"/>
        </w:rPr>
        <w:t xml:space="preserve">por demasiado innovadoras— y la forma de quitarse las dudas sobre su aplicabilidad real es ponerlas</w:t>
      </w:r>
    </w:p>
    <w:p>
      <w:pPr>
        <w:spacing w:after="140" w:line="276"/>
      </w:pPr>
      <w:r>
        <w:rPr>
          <w:rFonts w:ascii="Calibri" w:cs="Calibri" w:eastAsia="Calibri" w:hAnsi="Calibri"/>
          <w:sz w:val="21"/>
          <w:szCs w:val="21"/>
        </w:rPr>
        <w:t xml:space="preserve">a funcionar en algún contrato de los ya previstos, en el que su aplicación no resulte excesivamente</w:t>
      </w:r>
    </w:p>
    <w:p>
      <w:pPr>
        <w:spacing w:after="140" w:line="276"/>
      </w:pPr>
      <w:r>
        <w:rPr>
          <w:rFonts w:ascii="Calibri" w:cs="Calibri" w:eastAsia="Calibri" w:hAnsi="Calibri"/>
          <w:sz w:val="21"/>
          <w:szCs w:val="21"/>
        </w:rPr>
        <w:t xml:space="preserve">compleja, a modo de experimento piloto.** La cita completa y su naturaleza están en la Parte IV,</w:t>
      </w:r>
    </w:p>
    <w:p>
      <w:pPr>
        <w:spacing w:after="140" w:line="276"/>
      </w:pPr>
      <w:r>
        <w:rPr>
          <w:rFonts w:ascii="Calibri" w:cs="Calibri" w:eastAsia="Calibri" w:hAnsi="Calibri"/>
          <w:b/>
          <w:bCs/>
          <w:sz w:val="21"/>
          <w:szCs w:val="21"/>
        </w:rPr>
        <w:t xml:space="preserve">§M1.5</w:t>
      </w:r>
      <w:r>
        <w:rPr>
          <w:rFonts w:ascii="Calibri" w:cs="Calibri" w:eastAsia="Calibri" w:hAnsi="Calibri"/>
          <w:sz w:val="21"/>
          <w:szCs w:val="21"/>
        </w:rPr>
        <w:t xml:space="preserve">, único lugar del documento donde se reproduce entera; aquí y en el resto del catálogo se</w:t>
      </w:r>
    </w:p>
    <w:p>
      <w:pPr>
        <w:spacing w:after="140" w:line="276"/>
      </w:pPr>
      <w:r>
        <w:rPr>
          <w:rFonts w:ascii="Calibri" w:cs="Calibri" w:eastAsia="Calibri" w:hAnsi="Calibri"/>
          <w:sz w:val="21"/>
          <w:szCs w:val="21"/>
        </w:rPr>
        <w:t xml:space="preserve">usa por remisión a esa cita.</w:t>
      </w:r>
    </w:p>
    <w:p>
      <w:pPr>
        <w:spacing w:after="140" w:line="276"/>
      </w:pPr>
      <w:r>
        <w:rPr>
          <w:rFonts w:ascii="Calibri" w:cs="Calibri" w:eastAsia="Calibri" w:hAnsi="Calibri"/>
          <w:sz w:val="21"/>
          <w:szCs w:val="21"/>
        </w:rPr>
        <w:t xml:space="preserve">Esta parte es la respuesta a esa petición, y la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Lo desaconsejan, por el contrario: los contratos menores (no hay pliego donde poner el catálogo),</w:t>
      </w:r>
    </w:p>
    <w:p>
      <w:pPr>
        <w:spacing w:after="140" w:line="276"/>
      </w:pPr>
      <w:r>
        <w:rPr>
          <w:rFonts w:ascii="Calibri" w:cs="Calibri" w:eastAsia="Calibri" w:hAnsi="Calibri"/>
          <w:sz w:val="21"/>
          <w:szCs w:val="21"/>
        </w:rPr>
        <w:t xml:space="preserve">los basados en acuerdo marco y las adhesiones a central de compra (las condiciones vienen dadas), y</w:t>
      </w:r>
    </w:p>
    <w:p>
      <w:pPr>
        <w:spacing w:after="140" w:line="276"/>
      </w:pPr>
      <w:r>
        <w:rPr>
          <w:rFonts w:ascii="Calibri" w:cs="Calibri" w:eastAsia="Calibri" w:hAnsi="Calibri"/>
          <w:sz w:val="21"/>
          <w:szCs w:val="21"/>
        </w:rPr>
        <w:t xml:space="preserve">las prórrogas de contratos vivos (la prórroga continúa el contrato, no lo reescribe). Para esos tres</w:t>
      </w:r>
    </w:p>
    <w:p>
      <w:pPr>
        <w:spacing w:after="140" w:line="276"/>
      </w:pPr>
      <w:r>
        <w:rPr>
          <w:rFonts w:ascii="Calibri" w:cs="Calibri" w:eastAsia="Calibri" w:hAnsi="Calibri"/>
          <w:sz w:val="21"/>
          <w:szCs w:val="21"/>
        </w:rPr>
        <w:t xml:space="preserve">supuestos rigen las reglas específicas de la Parte I.</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del objetor.</w:t>
      </w:r>
      <w:r>
        <w:rPr>
          <w:rFonts w:ascii="Calibri" w:cs="Calibri" w:eastAsia="Calibri" w:hAnsi="Calibri"/>
          <w:sz w:val="21"/>
          <w:szCs w:val="21"/>
        </w:rPr>
        <w:t xml:space="preserve"> La necesidad de acceso de los órganos de</w:t>
      </w:r>
    </w:p>
    <w:p>
      <w:pPr>
        <w:spacing w:after="140" w:line="276"/>
      </w:pPr>
      <w:r>
        <w:rPr>
          <w:rFonts w:ascii="Calibri" w:cs="Calibri" w:eastAsia="Calibri" w:hAnsi="Calibri"/>
          <w:sz w:val="21"/>
          <w:szCs w:val="21"/>
        </w:rPr>
        <w:t xml:space="preserve">control a los datos de ejecución (ADM-12·v3) es la única necesidad de todo este catálogo que</w:t>
      </w:r>
    </w:p>
    <w:p>
      <w:pPr>
        <w:spacing w:after="140" w:line="276"/>
      </w:pPr>
      <w:r>
        <w:rPr>
          <w:rFonts w:ascii="Calibri" w:cs="Calibri" w:eastAsia="Calibri" w:hAnsi="Calibri"/>
          <w:sz w:val="21"/>
          <w:szCs w:val="21"/>
        </w:rPr>
        <w:t xml:space="preserve">aparece declarada por escrito,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demuestra</w:t>
      </w:r>
    </w:p>
    <w:p>
      <w:pPr>
        <w:spacing w:after="140" w:line="276"/>
      </w:pPr>
      <w:r>
        <w:rPr>
          <w:rFonts w:ascii="Calibri" w:cs="Calibri" w:eastAsia="Calibri" w:hAnsi="Calibri"/>
          <w:sz w:val="21"/>
          <w:szCs w:val="21"/>
        </w:rPr>
        <w:t xml:space="preserve">que el catálogo funcione en contratos menores, en contratos basados en acuerdo marco o en</w:t>
      </w:r>
    </w:p>
    <w:p>
      <w:pPr>
        <w:spacing w:after="140" w:line="276"/>
      </w:pPr>
      <w:r>
        <w:rPr>
          <w:rFonts w:ascii="Calibri" w:cs="Calibri" w:eastAsia="Calibri" w:hAnsi="Calibri"/>
          <w:sz w:val="21"/>
          <w:szCs w:val="21"/>
        </w:rPr>
        <w:t xml:space="preserve">adhesiones a centrales de compra, ni en prórrogas de contratos vivos. Para esos tres supuestos rigen</w:t>
      </w:r>
    </w:p>
    <w:p>
      <w:pPr>
        <w:spacing w:after="140" w:line="276"/>
      </w:pPr>
      <w:r>
        <w:rPr>
          <w:rFonts w:ascii="Calibri" w:cs="Calibri" w:eastAsia="Calibri" w:hAnsi="Calibri"/>
          <w:sz w:val="21"/>
          <w:szCs w:val="21"/>
        </w:rPr>
        <w:t xml:space="preserve">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que la objeción interna del §M1.5 señaló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El comentario interno que se reproduce íntegro en la Parte IV, §M1.5, advirtió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lo que el objetor pidió —un experimento,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l1sfdevoqoutfmex6as0" Type="http://schemas.openxmlformats.org/officeDocument/2006/relationships/hyperlink" Target="https://www.pozuelodealarcon.org/tu-ayuntamiento/organizacion-municipal/trayectoria-profesional-delfina-lafuente-veira" TargetMode="External"/><Relationship Id="rId0jtkod5qkgr3xedlx2ci0" Type="http://schemas.openxmlformats.org/officeDocument/2006/relationships/hyperlink" Target="https://www.ufv.es/una-nueva-definicion-para-las-ciudades-que-transformaran-el-mundo-noticias-actualidad/" TargetMode="External"/><Relationship Id="rIddwrsowsfqs0unsd3625cd" Type="http://schemas.openxmlformats.org/officeDocument/2006/relationships/hyperlink" Target="https://miguelangeldominguez.info" TargetMode="External"/><Relationship Id="rIdklw6r22smisrffsgsdcfj" Type="http://schemas.openxmlformats.org/officeDocument/2006/relationships/hyperlink" Target="https://www.comunidad.madrid/tacp/sites/default/files/resolucion_383-2024_expediente_383-2024.pdf" TargetMode="External"/><Relationship Id="rIdqbzoreezar21ij_8z3u9r" Type="http://schemas.openxmlformats.org/officeDocument/2006/relationships/hyperlink" Target="https://www.hacienda.gob.es/dgpatrimonio/junta%20consultiva/informes/informes2026/informe202518modificaciones204y205delalcsp.pdf" TargetMode="External"/><Relationship Id="rIds5dq3fbnk8zdgvshhkz94" Type="http://schemas.openxmlformats.org/officeDocument/2006/relationships/hyperlink" Target="https://contratos-publicos.comunidad.madrid/media/827829/download" TargetMode="External"/><Relationship Id="rIdq70i8-n4fpqf5h5fpmuy-" Type="http://schemas.openxmlformats.org/officeDocument/2006/relationships/hyperlink" Target="https://www.boe.es/buscar/act.php?id=BOE-A-2017-12902" TargetMode="External"/><Relationship Id="rIdtbsnujo__r94h3kejvcrl" Type="http://schemas.openxmlformats.org/officeDocument/2006/relationships/hyperlink" Target="https://www.boe.es/buscar/doc.php?id=DOUE-L-2025-81543" TargetMode="External"/><Relationship Id="rIdeigisaiq79flxiz1riedt" Type="http://schemas.openxmlformats.org/officeDocument/2006/relationships/hyperlink" Target="https://www.boe.es/buscar/doc.php?id=BOE-A-2016-11098" TargetMode="External"/><Relationship Id="rIdkrnao2k2pi2r2khu5dp6g" Type="http://schemas.openxmlformats.org/officeDocument/2006/relationships/hyperlink" Target="https://www.boe.es/buscar/doc.php?id=DOUE-L-2026-81147" TargetMode="External"/><Relationship Id="rIdcfk05i8dqdsnxz4sxyeiq" Type="http://schemas.openxmlformats.org/officeDocument/2006/relationships/hyperlink" Target="https://www.comunidad.madrid/tacp/sites/default/files/resolucion_383-2024_expediente_383-2024.pdf" TargetMode="External"/><Relationship Id="rId7wvwb-x3igbgy_pfhbxcx" Type="http://schemas.openxmlformats.org/officeDocument/2006/relationships/hyperlink" Target="https://www.boe.es/buscar/doc.php?id=DOUE-L-2026-81147" TargetMode="External"/><Relationship Id="rId5t48lzzo_bolj4kqtb4yz" Type="http://schemas.openxmlformats.org/officeDocument/2006/relationships/hyperlink" Target="https://www.linuxfoundation.org/press/linux-foundation-announces-the-formation-of-the-agentic-ai-foundation" TargetMode="External"/><Relationship Id="rId8rubj-botbbnn2laecexu" Type="http://schemas.openxmlformats.org/officeDocument/2006/relationships/hyperlink" Target="https://single-market-economy.ec.europa.eu/single-market/european-standards/ict-standardisation/ict-technical-specifications_en" TargetMode="External"/><Relationship Id="rId0fqlsqwndlwmrnpuyb4uz" Type="http://schemas.openxmlformats.org/officeDocument/2006/relationships/hyperlink" Target="https://www.hacienda.gob.es/TACRC/Resoluciones/A%C3%B1o%202022/Recurso%200998-2022%20(Res%201113" TargetMode="External"/><Relationship Id="rIdd9n2wk8ahb62kajsglp6c" Type="http://schemas.openxmlformats.org/officeDocument/2006/relationships/hyperlink" Target="https://www.comunidad.madrid/tacp/sites/default/files/resolucion_535-2025_expediente_526-2025.pdf" TargetMode="External"/><Relationship Id="rIdbpgjcc-6uwqk3cbuzcj_q" Type="http://schemas.openxmlformats.org/officeDocument/2006/relationships/hyperlink" Target="https://eur-lex.europa.eu/legal-content/ES/TXT/HTML/?uri=CELEX:62023CJ0424" TargetMode="External"/><Relationship Id="rIdgaabld8c2uzhtmfgfz41d" Type="http://schemas.openxmlformats.org/officeDocument/2006/relationships/hyperlink" Target="https://eur-lex.europa.eu/legal-content/ES/TXT/HTML/?uri=CELEX:62017CJ0014" TargetMode="External"/><Relationship Id="rIdeqcm6mkvwhmnn-bbut7m1" Type="http://schemas.openxmlformats.org/officeDocument/2006/relationships/hyperlink" Target="https://www.hacienda.gob.es/TACRC/Resoluciones/A%C3%B1o%202021/Recurso%201372-2021%20VAL%20314-2021%20(Res%201727" TargetMode="External"/><Relationship Id="rIdduyc1lj6d0e6jkcc3d6f7" Type="http://schemas.openxmlformats.org/officeDocument/2006/relationships/hyperlink" Target="https://www.hacienda.gob.es/TACRC/Resoluciones/A%C3%B1o%202020/Recurso%200323-2020%20%20(Res%20549" TargetMode="External"/><Relationship Id="rIdwnf1uckxixu6s2k2lrytc" Type="http://schemas.openxmlformats.org/officeDocument/2006/relationships/hyperlink" Target="https://www.comunidad.madrid/tacp/sites/default/files/resolucion_535-2025_expediente_526-2025.pdf" TargetMode="External"/><Relationship Id="rIdbpwwa5pbrrylnn0vu67bg" Type="http://schemas.openxmlformats.org/officeDocument/2006/relationships/hyperlink" Target="https://www.comunidad.madrid/tacp/sites/default/files/resolucion_92-2024_recurso_070-2024_web.pdf" TargetMode="External"/><Relationship Id="rId-cscuvxp9rt2h59z7tha9" Type="http://schemas.openxmlformats.org/officeDocument/2006/relationships/hyperlink" Target="https://www.boe.es/buscar/act.php?id=BOE-A-2013-13722" TargetMode="External"/><Relationship Id="rId-0nv417jelftx6mg-9io0" Type="http://schemas.openxmlformats.org/officeDocument/2006/relationships/hyperlink" Target="https://www.boe.es/buscar/act.php?id=BOE-A-2015-10565" TargetMode="External"/><Relationship Id="rIdvlstvk7swlcynvmcxyuvp" Type="http://schemas.openxmlformats.org/officeDocument/2006/relationships/hyperlink" Target="https://www.boe.es/buscar/act.php?id=BOE-A-2010-1331" TargetMode="External"/><Relationship Id="rIdpwuepaqyqb-u2qdv8uzdo" Type="http://schemas.openxmlformats.org/officeDocument/2006/relationships/hyperlink" Target="https://www.boe.es/buscar/act.php?id=BOE-A-2021-13749" TargetMode="External"/><Relationship Id="rIdljl4yxs8u3m3e5uyzy1_6" Type="http://schemas.openxmlformats.org/officeDocument/2006/relationships/hyperlink" Target="https://www.boe.es/buscar/act.php?id=BOE-A-2015-10565" TargetMode="External"/><Relationship Id="rIdla4iwm6jvzas277hpfnln" Type="http://schemas.openxmlformats.org/officeDocument/2006/relationships/hyperlink" Target="https://www.boe.es/buscar/act.php?id=BOE-A-2021-5032" TargetMode="External"/><Relationship Id="rIdyzdb_8exgullcjdsumpqt" Type="http://schemas.openxmlformats.org/officeDocument/2006/relationships/hyperlink" Target="https://www.boe.es/buscar/act.php?id=BOE-A-2015-10565" TargetMode="External"/><Relationship Id="rIduyrfuzn0f0mekxrlanpyk" Type="http://schemas.openxmlformats.org/officeDocument/2006/relationships/hyperlink" Target="https://www.boe.es/buscar/act.php?id=BOE-A-2021-5032" TargetMode="External"/><Relationship Id="rIdqm4lgqpsg4xjzatesliiz" Type="http://schemas.openxmlformats.org/officeDocument/2006/relationships/hyperlink" Target="https://www.boe.es/buscar/act.php?id=BOE-A-2015-10565" TargetMode="External"/><Relationship Id="rId1c5ck65gsqb5db6gtu3sa" Type="http://schemas.openxmlformats.org/officeDocument/2006/relationships/hyperlink" Target="https://www.boe.es/buscar/act.php?id=BOE-A-2021-5032" TargetMode="External"/><Relationship Id="rIdvxt6cl3dfb_ibcn18sq7w" Type="http://schemas.openxmlformats.org/officeDocument/2006/relationships/hyperlink" Target="https://www.boe.es/buscar/act.php?id=BOE-A-2010-1331" TargetMode="External"/><Relationship Id="rIdd5lgvsove5xqnirf7hl5j" Type="http://schemas.openxmlformats.org/officeDocument/2006/relationships/hyperlink" Target="https://www.comunidad.madrid/tacp/sites/default/files/resolucion_383-2024_expediente_383-2024.pdf" TargetMode="External"/><Relationship Id="rIdopzdpwtjafrbgxvjbtxvb" Type="http://schemas.openxmlformats.org/officeDocument/2006/relationships/hyperlink" Target="https://www.comunidad.madrid/tacp/sites/default/files/resolucion_383-2024_expediente_383-2024.pdf" TargetMode="External"/><Relationship Id="rIdvjxjmua_ppgkqqyj3ewyz" Type="http://schemas.openxmlformats.org/officeDocument/2006/relationships/hyperlink" Target="https://www.comunidad.madrid/tacp/sites/default/files/resolucion_535-2025_expediente_526-2025.pdf" TargetMode="External"/><Relationship Id="rId9e9ua3-o-pb-9zse47hej" Type="http://schemas.openxmlformats.org/officeDocument/2006/relationships/hyperlink" Target="https://www.hacienda.gob.es/tacrc/resoluciones/a%C3%B1o%202019/recurso%200557-2019%20val%20113-2019%20(res%20786" TargetMode="External"/><Relationship Id="rIdu6mggugxksplsi_mqhjdd" Type="http://schemas.openxmlformats.org/officeDocument/2006/relationships/hyperlink" Target="https://www.hacienda.gob.es/TACRC/Resoluciones/A%C3%B1o%202021/Recurso%201372-2021%20VAL%20314-2021%20(Res%201727" TargetMode="External"/><Relationship Id="rIdavd9tfbfs364z2zhtwwh8" Type="http://schemas.openxmlformats.org/officeDocument/2006/relationships/hyperlink" Target="https://tienda.aenor.com/p/norma-une-en-iso-iec-42001-2026-n0075951" TargetMode="External"/><Relationship Id="rIdg-mfahvn26g4h4d3aaibs" Type="http://schemas.openxmlformats.org/officeDocument/2006/relationships/hyperlink" Target="https://www.euskadi.eus/contenidos/informacion/kpecpe_oarc_memorias_doctrina/eu_def/adjuntos/Doktrina-2018-2023.pdf" TargetMode="External"/><Relationship Id="rIdrtfblcjelke33k43kxehh" Type="http://schemas.openxmlformats.org/officeDocument/2006/relationships/hyperlink" Target="https://www.hacienda.gob.es/TACRC/Resoluciones/A%C3%B1o%202022/Recurso%200998-2022%20(Res%201113" TargetMode="External"/><Relationship Id="rIdgrudeset-y4gqqg2wb1ow" Type="http://schemas.openxmlformats.org/officeDocument/2006/relationships/hyperlink" Target="https://www.hacienda.gob.es/tacrc/resoluciones/a%C3%B1o%202022/recurso%200846-2022%20(res%201287" TargetMode="External"/><Relationship Id="rIdmpl_cyqey1aonsxbqguti" Type="http://schemas.openxmlformats.org/officeDocument/2006/relationships/hyperlink" Target="https://www.hacienda.gob.es/TACRC/Documentos/RESOLUCIONES%20DE%20PLENO%202022/Resoluci%C3%B3n%20Recurso%20842-2022%20(Res%201111" TargetMode="External"/><Relationship Id="rIdo16h8xhhmuuencp_jjkjb" Type="http://schemas.openxmlformats.org/officeDocument/2006/relationships/hyperlink" Target="https://contratacion.castillalamancha.es/sites/default/files/infocontrataclm/descargar_consulta_019-2022.pdf" TargetMode="External"/><Relationship Id="rId6lb0_ezimrpmej4oxkmxn" Type="http://schemas.openxmlformats.org/officeDocument/2006/relationships/hyperlink" Target="http://www.contratosdelsectorpublico.es/DocumentosWEB/02TribunalesContractuales/TACP%20Aragon/TACP%20Arag%C3%B3n%2076-2015.pdf" TargetMode="External"/><Relationship Id="rId_zuugq0gxkipkbr8kdznw" Type="http://schemas.openxmlformats.org/officeDocument/2006/relationships/hyperlink" Target="https://www.hacienda.gob.es/TACRC/Documentos/RESOLUCIONES%20DE%20PLENO%202022/Resoluci%C3%B3n%20Recurso%20842-2022%20(Res%201111" TargetMode="External"/><Relationship Id="rIdoiyideefuc6rizoz_lkmp" Type="http://schemas.openxmlformats.org/officeDocument/2006/relationships/hyperlink" Target="https://www.comunidad.madrid/tacp/sites/default/files/resolucion_383-2024_expediente_383-2024.pdf" TargetMode="External"/><Relationship Id="rIdj6pf3hdttxwc6nnzrfjsx" Type="http://schemas.openxmlformats.org/officeDocument/2006/relationships/hyperlink" Target="https://www.comunidad.madrid/tacp/sites/default/files/resolucion_383-2024_expediente_383-2024.pdf"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2026-09-01T20:50:27.356Z</dcterms:created>
  <dcterms:modified xsi:type="dcterms:W3CDTF">2026-09-01T20:50:27.357Z</dcterms:modified>
</cp:coreProperties>
</file>

<file path=docProps/custom.xml><?xml version="1.0" encoding="utf-8"?>
<Properties xmlns="http://schemas.openxmlformats.org/officeDocument/2006/custom-properties" xmlns:vt="http://schemas.openxmlformats.org/officeDocument/2006/docPropsVTypes"/>
</file>