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5" w:before="20"/>
      </w:pPr>
      <w:r>
        <w:rPr>
          <w:rFonts w:ascii="Georgia" w:cs="Georgia" w:eastAsia="Georgia" w:hAnsi="Georgia"/>
          <w:b/>
          <w:bCs/>
          <w:color w:val="1F3864"/>
          <w:sz w:val="32"/>
          <w:szCs w:val="32"/>
        </w:rPr>
        <w:t xml:space="preserve">Un contrato público de tecnología dura años. La tecnología que compra, no.</w:t>
      </w:r>
    </w:p>
    <w:p>
      <w:pPr>
        <w:pBdr>
          <w:bottom w:val="single" w:color="1F3864" w:sz="8" w:space="2"/>
        </w:pBdr>
        <w:spacing w:after="60"/>
      </w:pPr>
      <w:r>
        <w:rPr>
          <w:rFonts w:ascii="Calibri" w:cs="Calibri" w:eastAsia="Calibri" w:hAnsi="Calibri"/>
          <w:b/>
          <w:bCs/>
          <w:color w:val="5D6573"/>
          <w:sz w:val="19"/>
          <w:szCs w:val="19"/>
        </w:rPr>
        <w:t xml:space="preserve">Cláusulas de IA y deep tech para pliegos de contratación pública · resumen en dos páginas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50"/>
            </w:tcMar>
          </w:tcPr>
          <w:p>
            <w:pPr>
              <w:keepNext/>
              <w:spacing w:after="28" w:before="0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El problema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Un ayuntamiento contrata un sistema de gestión —tributos, padrón, contabilidad, atención al ciudadano— por cuatro o cinco años, con prórrogas. El día de la firma la herramienta está al día. Dos años después han aparecido capacidades que entonces no existían y que nadie podía nombrar al redactar el pliego. El contrato no dice nada sobre ellas, porque no podía decirlo.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Entonces sólo hay tres salidas, y las tres cuestan dinero público: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8" w:line="214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Se paga dos veces.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Un contrato nuevo para «modernizar» lo que ya se compró.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8" w:line="214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Se aguanta.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Años de servicio público prestado con herramientas de otra época.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8" w:line="214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Se queda cautivo.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Cambiar de proveedor obligaría a dejar atrás los datos y los desarrollos propios, y sale tan caro que no se cambia. La licitación siguiente está decidida antes de publicarse.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Nadie ha hecho nada mal por el camino. Es un defecto de diseño del contrato.</w:t>
            </w:r>
          </w:p>
          <w:p>
            <w:pPr>
              <w:keepNext/>
              <w:spacing w:after="28" w:before="65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Por qué no basta con pedir «que se mantenga actualizado»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Es lo primero que uno escribiría, y no funciona.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La empresa no puede ponerle precio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porque se le pide algo cuyo contenido nadie conoce todavía: o infla la oferta por si acaso, o la ignora y ya discutirá durante la ejecución.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La administración no puede exigirlo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porque demostrar que una tecnología concreta «era necesaria» es una apreciación técnica que no se sostiene frente a un contratista bien asesorado.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Y un tribunal la anula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: una obligación genérica no puede ser ni siquiera una obligación contractual, y menos aún una cuyo incumplimiento permita resolver el contrato.</w:t>
            </w:r>
          </w:p>
          <w:p>
            <w:pPr>
              <w:keepNext/>
              <w:spacing w:after="28" w:before="65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La solución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En lugar de comprar una evolución futura indefinida,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se compran capacidades concretas, con plazo y con criterios de aceptación verificables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fijadas en el momento de licitar y revisadas cada año para las licitaciones siguientes.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La empresa sabe exactamente qué está ofertando y puede presupuestarlo. La administración sabe exactamente qué puede exigir y cuándo. El tribunal no tiene nada indeterminado que anular. Y el cumplimiento se comprueba con un acta, no con una discusión.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50"/>
              <w:bottom w:type="dxa" w:w="0"/>
              <w:right w:type="dxa" w:w="0"/>
            </w:tcMar>
          </w:tcPr>
          <w:p>
            <w:pPr>
              <w:keepNext/>
              <w:spacing w:after="28" w:before="0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La otra mitad: de quién son los datos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Un pliego puede restringir la competencia de dos maneras. La conocida es escribirlo a medida de un proveedor. La otra es más silenciosa: dejar que quien ya está dentro se quede dentro para siempre.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Por eso una parte central del clausulado no habla de inteligencia artificial, sino de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propiedad, reversibilidad y salida ordenada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: de quién son los datos, de quién son los algoritmos hechos a medida, qué se entrega al terminar el contrato, en qué formato, en qué plazo y quién comprueba que funciona. Y por eso renuncia expresamente a puntuar el hecho de tener ya una tecnología a fecha de licitación: eso premia al proveedor que ya está dentro, y la propia ley lo declara anulable.</w:t>
            </w:r>
          </w:p>
          <w:p>
            <w:pPr>
              <w:keepNext/>
              <w:spacing w:after="28" w:before="65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Qué es esto, y qué no es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Es un catálogo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de cláusulas ya redactadas, cada una con su justificación, su medio de prueba, su forma de verificación y su consecuencia; con la memoria justificativa, el circuito completo del expediente, un caso piloto resuelto entero y los modelos que hacen falta.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No es una norma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: no obliga a nadie por sí mismo.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No es de aplicación automática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: ninguna cláusula entra en un pliego por el hecho de existir aquí.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No es un «copia y pega»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: una cláusula incorporada sin necesidad acreditada en la memoria del expediente no protege a la administración, le añade un motivo de recurso.</w:t>
            </w:r>
          </w:p>
          <w:p>
            <w:pPr>
              <w:keepNext/>
              <w:spacing w:after="28" w:before="65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Qué se promete, y qué no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No se promete que ningún tribunal pueda anular nada.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No es prometible: todavía no existe doctrina sobre cláusulas de inteligencia artificial en contratación pública, y el primer recurso creará el precedente.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Lo que sí está diseñado, y puede comprobarse cláusula por cláusula: cada exigencia tiene una necesidad identificada y la norma o el acuerdo que la impone; un instrumento correcto —prescripción técnica, solvencia, criterio de adjudicación o condición especial de ejecución— y sólo uno, para que nada se compute dos veces; un medio de acreditación y una forma de verificación, con actor municipal designado y carga estimada; una consecuencia tasada si se incumple; y una regla de separabilidad, para que la caída de una pieza no arrastre el pliego entero.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Las referencias normativas y de doctrina están verificadas en su fuente primaria, a fecha de corte del 1 de septiembre de 2026. Lo que no ha podido verificarse se dice expresamente.</w:t>
            </w:r>
          </w:p>
        </w:tc>
      </w:tr>
    </w:tbl>
    <w:p>
      <w:r>
        <w:br w:type="pag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50"/>
            </w:tcMar>
          </w:tcPr>
          <w:p>
            <w:pPr>
              <w:keepNext/>
              <w:spacing w:after="28" w:before="0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De dónde sale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De un problema real de gestión municipal, y de una objeción interna que se puso por escrito y que no se maquilló: que unas cláusulas que no nacen de una necesidad demandada por nadie son artificiosas al contrato; que el seguimiento real de los contratos es escaso y quien controla necesita el dato al mismo rango que quien gestiona; que el nivel de abstracción era demasiado alto y había que probarlo en un piloto poco complejo; y que en la contratación hay actores externos que no han visto antes estas exigencias.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Las cuatro están citadas literalmente y respondidas dentro del documento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y son la razón de que esta versión tenga doble vía de firma, acuerdo del órgano de gobierno, un subconjunto mínimo de seis cláusulas para empezar y un capítulo sobre la reacción del mercado.</w:t>
            </w:r>
          </w:p>
          <w:p>
            <w:pPr>
              <w:keepNext/>
              <w:spacing w:after="28" w:before="65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Cómo debe usarse: no copie sin entender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Se publica *</w:t>
            </w:r>
            <w:r>
              <w:rPr>
                <w:rFonts w:ascii="Calibri" w:cs="Calibri" w:eastAsia="Calibri" w:hAnsi="Calibri"/>
                <w:i/>
                <w:iCs/>
                <w:color w:val="22201D"/>
                <w:sz w:val="18"/>
                <w:szCs w:val="18"/>
              </w:rPr>
              <w:t xml:space="preserve">tal cual (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as is</w:t>
            </w:r>
            <w:r>
              <w:rPr>
                <w:rFonts w:ascii="Calibri" w:cs="Calibri" w:eastAsia="Calibri" w:hAnsi="Calibri"/>
                <w:i/>
                <w:iCs/>
                <w:color w:val="22201D"/>
                <w:sz w:val="18"/>
                <w:szCs w:val="18"/>
              </w:rPr>
              <w:t xml:space="preserve">)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*, sin garantía de ningún tipo. No es asesoramiento legal ni sustituye a los informes preceptivos de ninguna administración. Se recomienda su lectura y su uso — y con la misma firmeza, no copiarlo sin entenderlo: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8" w:line="214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Una cláusula copiada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sin necesidad acreditada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añade un motivo de recurso. La justificación no vive en el catálogo, vive en la memoria del expediente, y no se puede completar después.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8" w:line="214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Una exigencia copiada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sin contrastar con el mercado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no es más ambiciosa: es más restrictiva.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8" w:line="214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Una obligación copiada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sin nadie que la verifique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es peor que no tenerla.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8" w:line="214"/>
            </w:pP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Un parámetro copiado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sin adaptar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puede ser ilegal en otra entidad: categorías de seguridad, órganos competentes y umbrales cambian de una administración a otra.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50"/>
              <w:bottom w:type="dxa" w:w="0"/>
              <w:right w:type="dxa" w:w="0"/>
            </w:tcMar>
          </w:tcPr>
          <w:p>
            <w:pPr>
              <w:keepNext/>
              <w:spacing w:after="28" w:before="0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Un aviso, antes de citarlo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Este no es un documento oficial del Ayuntamiento de Pozuelo de Alarcón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: no ha sido aprobado por ningún órgano municipal ni expresa la posición de la Corporación, y ningún órgano de contratación, intervención o asesoría jurídica se ha pronunciado sobre él. El caso trabajado del documento extenso es un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expediente simulado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: no corresponde a ninguna licitación real, en curso ni en preparación. Es un trabajo profesional de las cinco personas que lo firman, una de las cuales ejerce un cargo público en ese Ayuntamiento. Y el propio documento enumera las condiciones que aún no se cumplen —entre ellas, que las declaraciones de conflicto de interés no están firmadas—: mientras no se cumplan, es una propuesta técnica publicada para el debate, no un instrumento listo para meter en un expediente.</w:t>
            </w:r>
          </w:p>
          <w:p>
            <w:pPr>
              <w:keepNext/>
              <w:spacing w:after="28" w:before="65" w:line="215"/>
            </w:pPr>
            <w:r>
              <w:rPr>
                <w:rFonts w:ascii="Georgia" w:cs="Georgia" w:eastAsia="Georgia" w:hAnsi="Georgia"/>
                <w:b/>
                <w:bCs/>
                <w:color w:val="1F3864"/>
                <w:sz w:val="24"/>
                <w:szCs w:val="24"/>
              </w:rPr>
              <w:t xml:space="preserve">Quién lo ha hecho</w:t>
            </w:r>
          </w:p>
          <w:p>
            <w:pPr>
              <w:spacing w:after="36" w:line="216"/>
              <w:jc w:val="both"/>
            </w:pPr>
            <w:hyperlink w:history="1" r:id="rIdjmcvfodqwzdqbya1ad4vr">
              <w:r>
                <w:rPr>
                  <w:rFonts w:ascii="Calibri" w:cs="Calibri" w:eastAsia="Calibri" w:hAnsi="Calibri"/>
                  <w:b/>
                  <w:bCs/>
                  <w:color w:val="2F5597"/>
                  <w:sz w:val="18"/>
                  <w:szCs w:val="18"/>
                  <w:u w:val="single"/>
                </w:rPr>
                <w:t xml:space="preserve">Delfina Lafuente Veira</w:t>
              </w:r>
            </w:hyperlink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Concejal de Administración Digital, Calidad e Innovación del Ayuntamiento de Pozuelo de Alarcón: de ella nace el proyecto y suya es la primera redacción. </w:t>
            </w:r>
            <w:hyperlink w:history="1" r:id="rIdhbrmwznxtcga-eaw11p_i">
              <w:r>
                <w:rPr>
                  <w:rFonts w:ascii="Calibri" w:cs="Calibri" w:eastAsia="Calibri" w:hAnsi="Calibri"/>
                  <w:b/>
                  <w:bCs/>
                  <w:color w:val="2F5597"/>
                  <w:sz w:val="18"/>
                  <w:szCs w:val="18"/>
                  <w:u w:val="single"/>
                </w:rPr>
                <w:t xml:space="preserve">Dr. José Antonio Ondiviela García</w:t>
              </w:r>
            </w:hyperlink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profesor e investigador de la Universidad Francisco de Vitoria: la mirada del mercado y la idea que resuelve el problema de fondo. </w:t>
            </w:r>
            <w:hyperlink w:history="1" r:id="rIdrpfvb-zw4v9erktb8zz5z">
              <w:r>
                <w:rPr>
                  <w:rFonts w:ascii="Calibri" w:cs="Calibri" w:eastAsia="Calibri" w:hAnsi="Calibri"/>
                  <w:b/>
                  <w:bCs/>
                  <w:color w:val="2F5597"/>
                  <w:sz w:val="18"/>
                  <w:szCs w:val="18"/>
                  <w:u w:val="single"/>
                </w:rPr>
                <w:t xml:space="preserve">Miguel Ángel Domínguez Castellano</w:t>
              </w:r>
            </w:hyperlink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CEO de Add4u y presidente de Alastria y del Clúster de Blockchain de la Comunidad de Madrid: la perspectiva de quien conoce las dos orillas, y la responsabilidad editorial de la publicación.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Autores y supervisores técnicos: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Enrique Jiménez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responsable de los contratos de innovación, y </w:t>
            </w: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Roberto García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, jefe de informática, ambos del Ayuntamiento de Pozuelo de Alarcón. Han aportado el contraste de la práctica municipal y la supervisión técnica de la formulación contractual.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Uso de inteligencia artificial.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En la elaboración de este trabajo se han utilizado sistemas de IA: el clon digital (</w:t>
            </w:r>
            <w:r>
              <w:rPr>
                <w:rFonts w:ascii="Calibri" w:cs="Calibri" w:eastAsia="Calibri" w:hAnsi="Calibri"/>
                <w:i/>
                <w:iCs/>
                <w:color w:val="22201D"/>
                <w:sz w:val="18"/>
                <w:szCs w:val="18"/>
              </w:rPr>
              <w:t xml:space="preserve">second brain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) de Miguel Ángel Domínguez, determinante en la recuperación del material, la investigación jurídica, la verificación de las fuentes y la redacción de los borradores. Se declara aunque el artículo 50.4 del Reglamento (UE) 2024/1689 exima de hacerlo cuando hay revisión humana y responsabilidad editorial, porque un documento que exige transparencia de IA no puede ocultarla en sí mismo. Las decisiones y la responsabilidad son de las personas que lo firman.</w:t>
            </w:r>
          </w:p>
          <w:p>
            <w:pPr>
              <w:spacing w:after="36" w:line="216"/>
              <w:jc w:val="both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8"/>
                <w:szCs w:val="18"/>
              </w:rPr>
              <w:t xml:space="preserve">Documento completo, presentación y modelos:</w:t>
            </w:r>
            <w:r>
              <w:rPr>
                <w:rFonts w:ascii="Calibri" w:cs="Calibri" w:eastAsia="Calibri" w:hAnsi="Calibri"/>
                <w:color w:val="22201D"/>
                <w:sz w:val="18"/>
                <w:szCs w:val="18"/>
              </w:rPr>
              <w:t xml:space="preserve"> github.com/migueldadd4u/ai-clauses · Licencia Creative Commons Attribution 4.0 · Versión 3.0, septiembre de 2026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691" w:right="748" w:bottom="691" w:left="748" w:header="345" w:footer="345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D6573"/>
        <w:sz w:val="14"/>
        <w:szCs w:val="14"/>
      </w:rPr>
      <w:t xml:space="preserve">AI Clauses · página </w:t>
    </w:r>
    <w:r>
      <w:rPr>
        <w:rFonts w:ascii="Calibri" w:cs="Calibri" w:eastAsia="Calibri" w:hAnsi="Calibri"/>
        <w:color w:val="5D6573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D6573"/>
        <w:sz w:val="14"/>
        <w:szCs w:val="14"/>
      </w:rPr>
      <w:t xml:space="preserve"> de 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EE8" w:sz="4" w:space="3"/>
      </w:pBdr>
      <w:spacing w:after="50"/>
      <w:jc w:val="right"/>
    </w:pPr>
    <w:r>
      <w:rPr>
        <w:rFonts w:ascii="Calibri" w:cs="Calibri" w:eastAsia="Calibri" w:hAnsi="Calibri"/>
        <w:color w:val="5D6573"/>
        <w:sz w:val="14"/>
        <w:szCs w:val="14"/>
      </w:rPr>
      <w:t xml:space="preserve">Cláusulas de IA y deep tech · resumen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250" w:hanging="1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01D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mcvfodqwzdqbya1ad4vr" Type="http://schemas.openxmlformats.org/officeDocument/2006/relationships/hyperlink" Target="https://www.pozuelodealarcon.org/tu-ayuntamiento/organizacion-municipal/trayectoria-profesional-delfina-lafuente-veira" TargetMode="External"/><Relationship Id="rIdhbrmwznxtcga-eaw11p_i" Type="http://schemas.openxmlformats.org/officeDocument/2006/relationships/hyperlink" Target="https://www.ufv.es/una-nueva-definicion-para-las-ciudades-que-transformaran-el-mundo-noticias-actualidad/" TargetMode="External"/><Relationship Id="rIdrpfvb-zw4v9erktb8zz5z" Type="http://schemas.openxmlformats.org/officeDocument/2006/relationships/hyperlink" Target="https://miguelangeldominguez.info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Clauses · resumen en dos páginas</dc:title>
  <dc:creator>Delfina Lafuente Veira; José Antonio Ondiviela García; Miguel Ángel Domínguez Castellano; Enrique Jiménez; Roberto García</dc:creator>
  <dc:description>Resumen ejecutivo del catálogo de cláusulas de IA y deep tech para contratación pública</dc:description>
  <cp:lastModifiedBy>Un-named</cp:lastModifiedBy>
  <cp:revision>1</cp:revision>
  <dcterms:created xsi:type="dcterms:W3CDTF">2026-09-01T20:50:27.867Z</dcterms:created>
  <dcterms:modified xsi:type="dcterms:W3CDTF">2026-09-01T20:50:27.868Z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