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Cláusulas de Inteligencia Artificial y Deep Tech</w:t>
      </w:r>
    </w:p>
    <w:p>
      <w:pPr>
        <w:spacing w:after="900"/>
        <w:jc w:val="center"/>
      </w:pPr>
      <w:r>
        <w:rPr>
          <w:rFonts w:ascii="Georgia" w:cs="Georgia" w:eastAsia="Georgia" w:hAnsi="Georgia"/>
          <w:i/>
          <w:iCs/>
          <w:color w:val="595959"/>
          <w:sz w:val="28"/>
          <w:szCs w:val="28"/>
        </w:rPr>
        <w:t xml:space="preserve">Catálogo de cláusulas para pliegos de contratación pública</w:t>
      </w:r>
    </w:p>
    <w:p>
      <w:pPr>
        <w:spacing w:after="140"/>
        <w:jc w:val="center"/>
      </w:pPr>
      <w:r>
        <w:rPr>
          <w:rFonts w:ascii="Calibri" w:cs="Calibri" w:eastAsia="Calibri" w:hAnsi="Calibri"/>
          <w:color w:val="595959"/>
          <w:sz w:val="20"/>
          <w:szCs w:val="20"/>
        </w:rPr>
        <w:t xml:space="preserve">Versión 3.0 · septiembre de 2026</w:t>
      </w:r>
    </w:p>
    <w:p>
      <w:pPr>
        <w:spacing w:after="140"/>
        <w:jc w:val="center"/>
      </w:pPr>
      <w:r>
        <w:rPr>
          <w:rFonts w:ascii="Calibri" w:cs="Calibri" w:eastAsia="Calibri" w:hAnsi="Calibri"/>
          <w:color w:val="595959"/>
          <w:sz w:val="20"/>
          <w:szCs w:val="20"/>
        </w:rPr>
        <w:t xml:space="preserve">Documento de trabajo para su incorporación motivada a los Pliegos de Prescripciones Técnicas</w:t>
      </w:r>
    </w:p>
    <w:p>
      <w:pPr>
        <w:spacing w:after="140"/>
        <w:jc w:val="center"/>
      </w:pPr>
      <w:r>
        <w:rPr>
          <w:rFonts w:ascii="Calibri" w:cs="Calibri" w:eastAsia="Calibri" w:hAnsi="Calibri"/>
          <w:color w:val="595959"/>
          <w:sz w:val="20"/>
          <w:szCs w:val="20"/>
        </w:rPr>
        <w:t xml:space="preserve">y de Cláusulas Administrativas Particulares, y para su fiscalización</w:t>
      </w:r>
    </w:p>
    <w:p>
      <w:pPr>
        <w:spacing w:after="140"/>
        <w:jc w:val="center"/>
      </w:pPr>
      <w:r>
        <w:rPr>
          <w:rFonts w:ascii="Calibri" w:cs="Calibri" w:eastAsia="Calibri" w:hAnsi="Calibri"/>
          <w:color w:val="595959"/>
          <w:sz w:val="20"/>
          <w:szCs w:val="20"/>
        </w:rPr>
        <w:t xml:space="preserve">Delfina Lafuente Veira · Dr. José Antonio Ondiviela García · Miguel Ángel Domínguez Castellano</w:t>
      </w:r>
    </w:p>
    <w:p>
      <w:pPr>
        <w:spacing w:after="140"/>
        <w:jc w:val="center"/>
      </w:pPr>
      <w:r>
        <w:rPr>
          <w:rFonts w:ascii="Calibri" w:cs="Calibri" w:eastAsia="Calibri" w:hAnsi="Calibri"/>
          <w:color w:val="595959"/>
          <w:sz w:val="20"/>
          <w:szCs w:val="20"/>
        </w:rPr>
        <w:t xml:space="preserve">Elaborado con asistencia de sistemas de inteligencia artificial. Véase la declaración</w:t>
      </w:r>
    </w:p>
    <w:p>
      <w:pPr>
        <w:spacing w:after="140"/>
        <w:jc w:val="center"/>
      </w:pPr>
      <w:r>
        <w:rPr>
          <w:rFonts w:ascii="Calibri" w:cs="Calibri" w:eastAsia="Calibri" w:hAnsi="Calibri"/>
          <w:color w:val="595959"/>
          <w:sz w:val="20"/>
          <w:szCs w:val="20"/>
        </w:rPr>
        <w:t xml:space="preserve">de la primera sección, conforme al artículo 50 del Reglamento (UE) 2024/1689.</w:t>
      </w:r>
    </w:p>
    <w:p>
      <w:pPr>
        <w:spacing w:after="140"/>
        <w:jc w:val="center"/>
      </w:pPr>
      <w:r>
        <w:rPr>
          <w:rFonts w:ascii="Calibri" w:cs="Calibri" w:eastAsia="Calibri" w:hAnsi="Calibri"/>
          <w:color w:val="595959"/>
          <w:sz w:val="20"/>
          <w:szCs w:val="20"/>
        </w:rPr>
        <w:t xml:space="preserve">Se publica «tal cual» (as is). Léase y entiéndase antes de adaptarlo: no copie sin entender.</w:t>
      </w:r>
    </w:p>
    <w:p>
      <w:pPr>
        <w:spacing w:after="140"/>
        <w:jc w:val="center"/>
      </w:pPr>
      <w:r>
        <w:rPr>
          <w:rFonts w:ascii="Calibri" w:cs="Calibri" w:eastAsia="Calibri" w:hAnsi="Calibri"/>
          <w:color w:val="595959"/>
          <w:sz w:val="20"/>
          <w:szCs w:val="20"/>
        </w:rPr>
        <w:t xml:space="preserve">Licencia Creative Commons Attribution 4.0 Internacional</w:t>
      </w:r>
    </w:p>
    <w:p>
      <w:pPr>
        <w:spacing w:after="140"/>
        <w:jc w:val="center"/>
      </w:pPr>
      <w:r>
        <w:rPr>
          <w:rFonts w:ascii="Calibri" w:cs="Calibri" w:eastAsia="Calibri" w:hAnsi="Calibri"/>
          <w:color w:val="595959"/>
          <w:sz w:val="20"/>
          <w:szCs w:val="20"/>
        </w:rPr>
        <w:t xml:space="preserve">Fecha de corte de las referencias normativas y de doctrina: 1 de septiembre de 2026</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r>
        <w:br w:type="page"/>
      </w:r>
    </w:p>
    <w:p>
      <w:pPr>
        <w:pStyle w:val="Heading1"/>
        <w:keepNext/>
        <w:spacing w:after="240" w:before="200"/>
      </w:pPr>
      <w:r>
        <w:rPr>
          <w:rFonts w:ascii="Georgia" w:cs="Georgia" w:eastAsia="Georgia" w:hAnsi="Georgia"/>
          <w:b/>
          <w:bCs/>
          <w:color w:val="1F3864"/>
          <w:sz w:val="34"/>
          <w:szCs w:val="34"/>
        </w:rPr>
        <w:t xml:space="preserve">AUTORÍA, USO DE INTELIGENCIA ARTIFICIAL Y CONDICIONES DE USO</w:t>
      </w:r>
    </w:p>
    <w:p>
      <w:pPr>
        <w:spacing w:after="140" w:line="276"/>
      </w:pPr>
      <w:r>
        <w:rPr>
          <w:rFonts w:ascii="Calibri" w:cs="Calibri" w:eastAsia="Calibri" w:hAnsi="Calibri"/>
          <w:sz w:val="21"/>
          <w:szCs w:val="21"/>
        </w:rPr>
        <w:t xml:space="preserve">*Esta sección forma parte del documento y se sitúa al principio, y no al final, por dos razones: la</w:t>
      </w:r>
    </w:p>
    <w:p>
      <w:pPr>
        <w:spacing w:after="140" w:line="276"/>
      </w:pPr>
      <w:r>
        <w:rPr>
          <w:rFonts w:ascii="Calibri" w:cs="Calibri" w:eastAsia="Calibri" w:hAnsi="Calibri"/>
          <w:sz w:val="21"/>
          <w:szCs w:val="21"/>
        </w:rPr>
        <w:t xml:space="preserve">declaración de uso de inteligencia artificial debe facilitarse «de manera clara y distinguible a más</w:t>
      </w:r>
    </w:p>
    <w:p>
      <w:pPr>
        <w:spacing w:after="140" w:line="276"/>
      </w:pPr>
      <w:r>
        <w:rPr>
          <w:rFonts w:ascii="Calibri" w:cs="Calibri" w:eastAsia="Calibri" w:hAnsi="Calibri"/>
          <w:sz w:val="21"/>
          <w:szCs w:val="21"/>
        </w:rPr>
        <w:t xml:space="preserve">tardar con ocasión de la primera interacción o exposición» (artículo 50.5 del Reglamento (UE)</w:t>
      </w:r>
    </w:p>
    <w:p>
      <w:pPr>
        <w:spacing w:after="140" w:line="276"/>
      </w:pPr>
      <w:r>
        <w:rPr>
          <w:rFonts w:ascii="Calibri" w:cs="Calibri" w:eastAsia="Calibri" w:hAnsi="Calibri"/>
          <w:sz w:val="21"/>
          <w:szCs w:val="21"/>
        </w:rPr>
        <w:t xml:space="preserve">2024/1689), y la advertencia sobre cómo debe usarse este material condiciona la lectura de todo lo</w:t>
      </w:r>
    </w:p>
    <w:p>
      <w:pPr>
        <w:spacing w:after="140" w:line="276"/>
      </w:pPr>
      <w:r>
        <w:rPr>
          <w:rFonts w:ascii="Calibri" w:cs="Calibri" w:eastAsia="Calibri" w:hAnsi="Calibri"/>
          <w:sz w:val="21"/>
          <w:szCs w:val="21"/>
        </w:rPr>
        <w:t xml:space="preserve">que sigue.*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Estado de este documento a 1 de septiembre de 2026</w:t>
      </w:r>
    </w:p>
    <w:p>
      <w:pPr>
        <w:spacing w:after="140" w:line="276"/>
      </w:pPr>
      <w:r>
        <w:rPr>
          <w:rFonts w:ascii="Calibri" w:cs="Calibri" w:eastAsia="Calibri" w:hAnsi="Calibri"/>
          <w:b/>
          <w:bCs/>
          <w:sz w:val="21"/>
          <w:szCs w:val="21"/>
        </w:rPr>
        <w:t xml:space="preserve">Qué ha aprobado el Ayuntamiento de Pozuelo de Alarcón:</w:t>
      </w:r>
      <w:r>
        <w:rPr>
          <w:rFonts w:ascii="Calibri" w:cs="Calibri" w:eastAsia="Calibri" w:hAnsi="Calibri"/>
          <w:sz w:val="21"/>
          <w:szCs w:val="21"/>
        </w:rPr>
        <w:t xml:space="preserve"> nada. Este documento no es un acto</w:t>
      </w:r>
    </w:p>
    <w:p>
      <w:pPr>
        <w:spacing w:after="140" w:line="276"/>
      </w:pPr>
      <w:r>
        <w:rPr>
          <w:rFonts w:ascii="Calibri" w:cs="Calibri" w:eastAsia="Calibri" w:hAnsi="Calibri"/>
          <w:sz w:val="21"/>
          <w:szCs w:val="21"/>
        </w:rPr>
        <w:t xml:space="preserve">administrativo, no ha sido aprobado por ningún órgano municipal y no vincula a la Corporación.</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un trabajo profesional de las tres personas que lo firman, una de las cuales ejerce un</w:t>
      </w:r>
    </w:p>
    <w:p>
      <w:pPr>
        <w:spacing w:after="140" w:line="276"/>
      </w:pPr>
      <w:r>
        <w:rPr>
          <w:rFonts w:ascii="Calibri" w:cs="Calibri" w:eastAsia="Calibri" w:hAnsi="Calibri"/>
          <w:sz w:val="21"/>
          <w:szCs w:val="21"/>
        </w:rPr>
        <w:t xml:space="preserve">cargo público en ese Ayuntamiento.</w:t>
      </w:r>
    </w:p>
    <w:p>
      <w:pPr>
        <w:spacing w:after="140" w:line="276"/>
      </w:pPr>
      <w:r>
        <w:rPr>
          <w:rFonts w:ascii="Calibri" w:cs="Calibri" w:eastAsia="Calibri" w:hAnsi="Calibri"/>
          <w:b/>
          <w:bCs/>
          <w:sz w:val="21"/>
          <w:szCs w:val="21"/>
        </w:rPr>
        <w:t xml:space="preserve">Qué falta para que pueda incorporarse a un expediente:</w:t>
      </w:r>
      <w:r>
        <w:rPr>
          <w:rFonts w:ascii="Calibri" w:cs="Calibri" w:eastAsia="Calibri" w:hAnsi="Calibri"/>
          <w:sz w:val="21"/>
          <w:szCs w:val="21"/>
        </w:rPr>
        <w:t xml:space="preserve"> las tres condiciones suspensivas que la</w:t>
      </w:r>
    </w:p>
    <w:p>
      <w:pPr>
        <w:spacing w:after="140" w:line="276"/>
      </w:pPr>
      <w:r>
        <w:rPr>
          <w:rFonts w:ascii="Calibri" w:cs="Calibri" w:eastAsia="Calibri" w:hAnsi="Calibri"/>
          <w:sz w:val="21"/>
          <w:szCs w:val="21"/>
        </w:rPr>
        <w:t xml:space="preserve">propia memoria justificativa enumera (Parte IV, §M11, filas 1 a 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suspensiva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1 de septiembre de 2026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municipal, el catálogo y el Anexo V del ejercicio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contraste documentado del Anexo V (art. 115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firmadas e incorporadas al expediente (arts. 64 y 70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bl>
    <w:p>
      <w:pPr>
        <w:spacing w:after="200"/>
      </w:pPr>
    </w:p>
    <w:p>
      <w:pPr>
        <w:spacing w:after="140" w:line="276"/>
      </w:pPr>
      <w:r>
        <w:rPr>
          <w:rFonts w:ascii="Calibri" w:cs="Calibri" w:eastAsia="Calibri" w:hAnsi="Calibri"/>
          <w:sz w:val="21"/>
          <w:szCs w:val="21"/>
        </w:rPr>
        <w:t xml:space="preserve">Mientras las tres no consten cumplidas, este catálogo es una propuesta técnica publicada para el</w:t>
      </w:r>
    </w:p>
    <w:p>
      <w:pPr>
        <w:spacing w:after="140" w:line="276"/>
      </w:pPr>
      <w:r>
        <w:rPr>
          <w:rFonts w:ascii="Calibri" w:cs="Calibri" w:eastAsia="Calibri" w:hAnsi="Calibri"/>
          <w:sz w:val="21"/>
          <w:szCs w:val="21"/>
        </w:rPr>
        <w:t xml:space="preserve">debate: </w:t>
      </w:r>
      <w:r>
        <w:rPr>
          <w:rFonts w:ascii="Calibri" w:cs="Calibri" w:eastAsia="Calibri" w:hAnsi="Calibri"/>
          <w:b/>
          <w:bCs/>
          <w:sz w:val="21"/>
          <w:szCs w:val="21"/>
        </w:rPr>
        <w:t xml:space="preserve">no debe aplicarse en un expediente que supere el umbral del recurso especial</w:t>
      </w:r>
      <w:r>
        <w:rPr>
          <w:rFonts w:ascii="Calibri" w:cs="Calibri" w:eastAsia="Calibri" w:hAnsi="Calibri"/>
          <w:sz w:val="21"/>
          <w:szCs w:val="21"/>
        </w:rPr>
        <w:t xml:space="preserve"> ni citarse</w:t>
      </w:r>
    </w:p>
    <w:p>
      <w:pPr>
        <w:spacing w:after="140" w:line="276"/>
      </w:pPr>
      <w:r>
        <w:rPr>
          <w:rFonts w:ascii="Calibri" w:cs="Calibri" w:eastAsia="Calibri" w:hAnsi="Calibri"/>
          <w:sz w:val="21"/>
          <w:szCs w:val="21"/>
        </w:rPr>
        <w:t xml:space="preserve">como modelo aprobado.</w:t>
      </w:r>
    </w:p>
    <w:p>
      <w:pPr>
        <w:spacing w:after="140" w:line="276"/>
      </w:pPr>
      <w:r>
        <w:rPr>
          <w:rFonts w:ascii="Calibri" w:cs="Calibri" w:eastAsia="Calibri" w:hAnsi="Calibri"/>
          <w:b/>
          <w:bCs/>
          <w:sz w:val="21"/>
          <w:szCs w:val="21"/>
        </w:rPr>
        <w:t xml:space="preserve">Orden entre rectificación y publicación:</w:t>
      </w:r>
      <w:r>
        <w:rPr>
          <w:rFonts w:ascii="Calibri" w:cs="Calibri" w:eastAsia="Calibri" w:hAnsi="Calibri"/>
          <w:sz w:val="21"/>
          <w:szCs w:val="21"/>
        </w:rPr>
        <w:t xml:space="preserve"> la Parte VI, VI.7, adopta expresamente la regla de</w:t>
      </w:r>
    </w:p>
    <w:p>
      <w:pPr>
        <w:spacing w:after="140" w:line="276"/>
      </w:pPr>
      <w:r>
        <w:rPr>
          <w:rFonts w:ascii="Calibri" w:cs="Calibri" w:eastAsia="Calibri" w:hAnsi="Calibri"/>
          <w:sz w:val="21"/>
          <w:szCs w:val="21"/>
        </w:rPr>
        <w:t xml:space="preserve">ejecutar las correcciones de prioridad P1 del expediente piloto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modelo.</w:t>
      </w:r>
    </w:p>
    <w:p>
      <w:pPr>
        <w:spacing w:after="140" w:line="276"/>
      </w:pPr>
      <w:r>
        <w:rPr>
          <w:rFonts w:ascii="Calibri" w:cs="Calibri" w:eastAsia="Calibri" w:hAnsi="Calibri"/>
          <w:b/>
          <w:bCs/>
          <w:sz w:val="21"/>
          <w:szCs w:val="21"/>
        </w:rPr>
        <w:t xml:space="preserve">Quién responde de este documento:</w:t>
      </w:r>
      <w:r>
        <w:rPr>
          <w:rFonts w:ascii="Calibri" w:cs="Calibri" w:eastAsia="Calibri" w:hAnsi="Calibri"/>
          <w:sz w:val="21"/>
          <w:szCs w:val="21"/>
        </w:rPr>
        <w:t xml:space="preserve"> Miguel Ángel Domínguez Castellano, responsable editorial de la</w:t>
      </w:r>
    </w:p>
    <w:p>
      <w:pPr>
        <w:spacing w:after="140" w:line="276"/>
      </w:pPr>
      <w:r>
        <w:rPr>
          <w:rFonts w:ascii="Calibri" w:cs="Calibri" w:eastAsia="Calibri" w:hAnsi="Calibri"/>
          <w:sz w:val="21"/>
          <w:szCs w:val="21"/>
        </w:rPr>
        <w:t xml:space="preserve">publicación.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Quién ha hecho este trabajo</w:t>
      </w:r>
    </w:p>
    <w:p>
      <w:pPr>
        <w:spacing w:after="140" w:line="276"/>
      </w:pPr>
      <w:r>
        <w:rPr>
          <w:rFonts w:ascii="Calibri" w:cs="Calibri" w:eastAsia="Calibri" w:hAnsi="Calibri"/>
          <w:sz w:val="21"/>
          <w:szCs w:val="21"/>
        </w:rPr>
        <w:t xml:space="preserve">Este documento no es la aportación de un autor a un texto ajeno. Es el resultado de un trabajo</w:t>
      </w:r>
    </w:p>
    <w:p>
      <w:pPr>
        <w:spacing w:after="140" w:line="276"/>
      </w:pPr>
      <w:r>
        <w:rPr>
          <w:rFonts w:ascii="Calibri" w:cs="Calibri" w:eastAsia="Calibri" w:hAnsi="Calibri"/>
          <w:sz w:val="21"/>
          <w:szCs w:val="21"/>
        </w:rPr>
        <w:t xml:space="preserve">conjunto de varios meses entre tres personas, cada una desde su oficio, con el Ayuntamiento de</w:t>
      </w:r>
    </w:p>
    <w:p>
      <w:pPr>
        <w:spacing w:after="140" w:line="276"/>
      </w:pPr>
      <w:r>
        <w:rPr>
          <w:rFonts w:ascii="Calibri" w:cs="Calibri" w:eastAsia="Calibri" w:hAnsi="Calibri"/>
          <w:sz w:val="21"/>
          <w:szCs w:val="21"/>
        </w:rPr>
        <w:t xml:space="preserve">Pozuelo de Alarcón como banco de pruebas real.</w:t>
      </w:r>
    </w:p>
    <w:p>
      <w:pPr>
        <w:spacing w:after="140" w:line="276"/>
      </w:pPr>
      <w:hyperlink w:history="1" r:id="rIdh5esc0dgjt4xzz7ptlyqj">
        <w:r>
          <w:rPr>
            <w:rFonts w:ascii="Calibri" w:cs="Calibri" w:eastAsia="Calibri" w:hAnsi="Calibri"/>
            <w:b/>
            <w:bCs/>
            <w:color w:val="2F5496"/>
            <w:sz w:val="21"/>
            <w:szCs w:val="21"/>
            <w:u w:val="single"/>
          </w:rPr>
          <w:t xml:space="preserve">Delfina Lafuente Veira</w:t>
        </w:r>
      </w:hyperlink>
      <w:r>
        <w:rPr>
          <w:rFonts w:ascii="Calibri" w:cs="Calibri" w:eastAsia="Calibri" w:hAnsi="Calibri"/>
          <w:sz w:val="21"/>
          <w:szCs w:val="21"/>
        </w:rPr>
        <w:t xml:space="preserve"> — Concejal de Administración Digital, Calidad e Innovación del</w:t>
      </w:r>
    </w:p>
    <w:p>
      <w:pPr>
        <w:spacing w:after="140" w:line="276"/>
      </w:pPr>
      <w:r>
        <w:rPr>
          <w:rFonts w:ascii="Calibri" w:cs="Calibri" w:eastAsia="Calibri" w:hAnsi="Calibri"/>
          <w:sz w:val="21"/>
          <w:szCs w:val="21"/>
        </w:rPr>
        <w:t xml:space="preserve">Ayuntamiento de Pozuelo de Alarcón. Funcionaria de carrera de la Administración General del Estado</w:t>
      </w:r>
    </w:p>
    <w:p>
      <w:pPr>
        <w:spacing w:after="140" w:line="276"/>
      </w:pPr>
      <w:r>
        <w:rPr>
          <w:rFonts w:ascii="Calibri" w:cs="Calibri" w:eastAsia="Calibri" w:hAnsi="Calibri"/>
          <w:sz w:val="21"/>
          <w:szCs w:val="21"/>
        </w:rPr>
        <w:t xml:space="preserve">durante casi cuatro décadas antes de asumir la delegación.</w:t>
      </w:r>
    </w:p>
    <w:p>
      <w:pPr>
        <w:spacing w:after="140" w:line="276"/>
      </w:pPr>
      <w:r>
        <w:rPr>
          <w:rFonts w:ascii="Calibri" w:cs="Calibri" w:eastAsia="Calibri" w:hAnsi="Calibri"/>
          <w:i/>
          <w:iCs/>
          <w:sz w:val="21"/>
          <w:szCs w:val="21"/>
        </w:rPr>
        <w:t xml:space="preserve">Trayectoria oficial: https://www.pozuelodealarcon.org/tu-ayuntamiento/organizacion-municipal/trayectoria-profesional-delfina-lafuente-veira</w:t>
      </w:r>
    </w:p>
    <w:p>
      <w:pPr>
        <w:spacing w:after="140" w:line="276"/>
      </w:pPr>
      <w:r>
        <w:rPr>
          <w:rFonts w:ascii="Calibri" w:cs="Calibri" w:eastAsia="Calibri" w:hAnsi="Calibri"/>
          <w:sz w:val="21"/>
          <w:szCs w:val="21"/>
        </w:rPr>
        <w:t xml:space="preserve">Es de quien nace el proyecto. Suya es la pregunta de partida —por qué un ayuntamiento tiene que</w:t>
      </w:r>
    </w:p>
    <w:p>
      <w:pPr>
        <w:spacing w:after="140" w:line="276"/>
      </w:pPr>
      <w:r>
        <w:rPr>
          <w:rFonts w:ascii="Calibri" w:cs="Calibri" w:eastAsia="Calibri" w:hAnsi="Calibri"/>
          <w:sz w:val="21"/>
          <w:szCs w:val="21"/>
        </w:rPr>
        <w:t xml:space="preserve">comprar dos veces la misma tecnología— y suya es la primera redacción del clausulado. Ha sido además</w:t>
      </w:r>
    </w:p>
    <w:p>
      <w:pPr>
        <w:spacing w:after="140" w:line="276"/>
      </w:pPr>
      <w:r>
        <w:rPr>
          <w:rFonts w:ascii="Calibri" w:cs="Calibri" w:eastAsia="Calibri" w:hAnsi="Calibri"/>
          <w:sz w:val="21"/>
          <w:szCs w:val="21"/>
        </w:rPr>
        <w:t xml:space="preserve">quien lo ha sometido al contraste que ningún documento de consultoría recibe: llevarlo a los</w:t>
      </w:r>
    </w:p>
    <w:p>
      <w:pPr>
        <w:spacing w:after="140" w:line="276"/>
      </w:pPr>
      <w:r>
        <w:rPr>
          <w:rFonts w:ascii="Calibri" w:cs="Calibri" w:eastAsia="Calibri" w:hAnsi="Calibri"/>
          <w:sz w:val="21"/>
          <w:szCs w:val="21"/>
        </w:rPr>
        <w:t xml:space="preserve">servicios de contratación y jurídicos de su propio ayuntamiento, aguantar sus objeciones sin</w:t>
      </w:r>
    </w:p>
    <w:p>
      <w:pPr>
        <w:spacing w:after="140" w:line="276"/>
      </w:pPr>
      <w:r>
        <w:rPr>
          <w:rFonts w:ascii="Calibri" w:cs="Calibri" w:eastAsia="Calibri" w:hAnsi="Calibri"/>
          <w:sz w:val="21"/>
          <w:szCs w:val="21"/>
        </w:rPr>
        <w:t xml:space="preserve">defenderse, y traerlas de vuelta enteras. La versión que se publica existe porque ella hizo eso.</w:t>
      </w:r>
    </w:p>
    <w:p>
      <w:pPr>
        <w:spacing w:after="140" w:line="276"/>
      </w:pPr>
      <w:hyperlink w:history="1" r:id="rIdgdxep2cg_k0yu2adtbpyg">
        <w:r>
          <w:rPr>
            <w:rFonts w:ascii="Calibri" w:cs="Calibri" w:eastAsia="Calibri" w:hAnsi="Calibri"/>
            <w:b/>
            <w:bCs/>
            <w:color w:val="2F5496"/>
            <w:sz w:val="21"/>
            <w:szCs w:val="21"/>
            <w:u w:val="single"/>
          </w:rPr>
          <w:t xml:space="preserve">Dr. José Antonio Ondiviela García</w:t>
        </w:r>
      </w:hyperlink>
      <w:r>
        <w:rPr>
          <w:rFonts w:ascii="Calibri" w:cs="Calibri" w:eastAsia="Calibri" w:hAnsi="Calibri"/>
          <w:sz w:val="21"/>
          <w:szCs w:val="21"/>
        </w:rPr>
        <w:t xml:space="preserve"> — Profesor de la Escuela Politécnica Superior e</w:t>
      </w:r>
    </w:p>
    <w:p>
      <w:pPr>
        <w:spacing w:after="140" w:line="276"/>
      </w:pPr>
      <w:r>
        <w:rPr>
          <w:rFonts w:ascii="Calibri" w:cs="Calibri" w:eastAsia="Calibri" w:hAnsi="Calibri"/>
          <w:sz w:val="21"/>
          <w:szCs w:val="21"/>
        </w:rPr>
        <w:t xml:space="preserve">investigador de la Universidad Francisco de Vitoria, donde dirige el Observatorio Mundial de Ciudades</w:t>
      </w:r>
    </w:p>
    <w:p>
      <w:pPr>
        <w:spacing w:after="140" w:line="276"/>
      </w:pPr>
      <w:r>
        <w:rPr>
          <w:rFonts w:ascii="Calibri" w:cs="Calibri" w:eastAsia="Calibri" w:hAnsi="Calibri"/>
          <w:sz w:val="21"/>
          <w:szCs w:val="21"/>
        </w:rPr>
        <w:t xml:space="preserve">Atractivas. Casi tres décadas de trayectoria previa en la industria tecnológica internacional en el</w:t>
      </w:r>
    </w:p>
    <w:p>
      <w:pPr>
        <w:spacing w:after="140" w:line="276"/>
      </w:pPr>
      <w:r>
        <w:rPr>
          <w:rFonts w:ascii="Calibri" w:cs="Calibri" w:eastAsia="Calibri" w:hAnsi="Calibri"/>
          <w:sz w:val="21"/>
          <w:szCs w:val="21"/>
        </w:rPr>
        <w:t xml:space="preserve">ámbito del sector público.</w:t>
      </w:r>
    </w:p>
    <w:p>
      <w:pPr>
        <w:spacing w:after="140" w:line="276"/>
      </w:pPr>
      <w:r>
        <w:rPr>
          <w:rFonts w:ascii="Calibri" w:cs="Calibri" w:eastAsia="Calibri" w:hAnsi="Calibri"/>
          <w:i/>
          <w:iCs/>
          <w:sz w:val="21"/>
          <w:szCs w:val="21"/>
        </w:rPr>
        <w:t xml:space="preserve">Perfil en la Universidad Francisco de Vitoria: https://www.ufv.es/una-nueva-definicion-para-las-ciudades-que-transformaran-el-mundo-noticias-actualidad/</w:t>
      </w:r>
    </w:p>
    <w:p>
      <w:pPr>
        <w:spacing w:after="140" w:line="276"/>
      </w:pPr>
      <w:r>
        <w:rPr>
          <w:rFonts w:ascii="Calibri" w:cs="Calibri" w:eastAsia="Calibri" w:hAnsi="Calibri"/>
          <w:sz w:val="21"/>
          <w:szCs w:val="21"/>
        </w:rPr>
        <w:t xml:space="preserve">Aportó la mirada del mercado, que es la que falta casi siempre en los pliegos: qué se le puede pedir</w:t>
      </w:r>
    </w:p>
    <w:p>
      <w:pPr>
        <w:spacing w:after="140" w:line="276"/>
      </w:pPr>
      <w:r>
        <w:rPr>
          <w:rFonts w:ascii="Calibri" w:cs="Calibri" w:eastAsia="Calibri" w:hAnsi="Calibri"/>
          <w:sz w:val="21"/>
          <w:szCs w:val="21"/>
        </w:rPr>
        <w:t xml:space="preserve">de verdad a un fabricante de software y qué hará que sencillamente no se presente. Suyas son dos de</w:t>
      </w:r>
    </w:p>
    <w:p>
      <w:pPr>
        <w:spacing w:after="140" w:line="276"/>
      </w:pPr>
      <w:r>
        <w:rPr>
          <w:rFonts w:ascii="Calibri" w:cs="Calibri" w:eastAsia="Calibri" w:hAnsi="Calibri"/>
          <w:sz w:val="21"/>
          <w:szCs w:val="21"/>
        </w:rPr>
        <w:t xml:space="preserve">las correcciones estructurales del documento —la delimitación de lo que se puede exigir sobre el</w:t>
      </w:r>
    </w:p>
    <w:p>
      <w:pPr>
        <w:spacing w:after="140" w:line="276"/>
      </w:pPr>
      <w:r>
        <w:rPr>
          <w:rFonts w:ascii="Calibri" w:cs="Calibri" w:eastAsia="Calibri" w:hAnsi="Calibri"/>
          <w:sz w:val="21"/>
          <w:szCs w:val="21"/>
        </w:rPr>
        <w:t xml:space="preserve">código fuente y el depósito de código ante insolvencia del proveedor— y suya es la idea que resuelve</w:t>
      </w:r>
    </w:p>
    <w:p>
      <w:pPr>
        <w:spacing w:after="140" w:line="276"/>
      </w:pPr>
      <w:r>
        <w:rPr>
          <w:rFonts w:ascii="Calibri" w:cs="Calibri" w:eastAsia="Calibri" w:hAnsi="Calibri"/>
          <w:sz w:val="21"/>
          <w:szCs w:val="21"/>
        </w:rPr>
        <w:t xml:space="preserve">el problema de fondo: dejar de comprar una evolución futura indefinida y pasar a un catálogo de</w:t>
      </w:r>
    </w:p>
    <w:p>
      <w:pPr>
        <w:spacing w:after="140" w:line="276"/>
      </w:pPr>
      <w:r>
        <w:rPr>
          <w:rFonts w:ascii="Calibri" w:cs="Calibri" w:eastAsia="Calibri" w:hAnsi="Calibri"/>
          <w:sz w:val="21"/>
          <w:szCs w:val="21"/>
        </w:rPr>
        <w:t xml:space="preserve">exigencias concretas revisado cada año.</w:t>
      </w:r>
    </w:p>
    <w:p>
      <w:pPr>
        <w:spacing w:after="140" w:line="276"/>
      </w:pPr>
      <w:hyperlink w:history="1" r:id="rIdze5mvqrlkhgb3mhtelhbx">
        <w:r>
          <w:rPr>
            <w:rFonts w:ascii="Calibri" w:cs="Calibri" w:eastAsia="Calibri" w:hAnsi="Calibri"/>
            <w:b/>
            <w:bCs/>
            <w:color w:val="2F5496"/>
            <w:sz w:val="21"/>
            <w:szCs w:val="21"/>
            <w:u w:val="single"/>
          </w:rPr>
          <w:t xml:space="preserve">Miguel Ángel Domínguez Castellano</w:t>
        </w:r>
      </w:hyperlink>
      <w:r>
        <w:rPr>
          <w:rFonts w:ascii="Calibri" w:cs="Calibri" w:eastAsia="Calibri" w:hAnsi="Calibri"/>
          <w:sz w:val="21"/>
          <w:szCs w:val="21"/>
        </w:rPr>
        <w:t xml:space="preserve"> — CEO de Add4u, compañía de transformación digital de la</w:t>
      </w:r>
    </w:p>
    <w:p>
      <w:pPr>
        <w:spacing w:after="140" w:line="276"/>
      </w:pPr>
      <w:r>
        <w:rPr>
          <w:rFonts w:ascii="Calibri" w:cs="Calibri" w:eastAsia="Calibri" w:hAnsi="Calibri"/>
          <w:sz w:val="21"/>
          <w:szCs w:val="21"/>
        </w:rPr>
        <w:t xml:space="preserve">Administración pública, y presidente de Alastria, el mayor ecosistema blockchain de España, cargo</w:t>
      </w:r>
    </w:p>
    <w:p>
      <w:pPr>
        <w:spacing w:after="140" w:line="276"/>
      </w:pPr>
      <w:r>
        <w:rPr>
          <w:rFonts w:ascii="Calibri" w:cs="Calibri" w:eastAsia="Calibri" w:hAnsi="Calibri"/>
          <w:sz w:val="21"/>
          <w:szCs w:val="21"/>
        </w:rPr>
        <w:t xml:space="preserve">para el que fue reelegido por unanimidad en junio de 2025 con mandato hasta 2027. Preside también el</w:t>
      </w:r>
    </w:p>
    <w:p>
      <w:pPr>
        <w:spacing w:after="140" w:line="276"/>
      </w:pPr>
      <w:r>
        <w:rPr>
          <w:rFonts w:ascii="Calibri" w:cs="Calibri" w:eastAsia="Calibri" w:hAnsi="Calibri"/>
          <w:sz w:val="21"/>
          <w:szCs w:val="21"/>
        </w:rPr>
        <w:t xml:space="preserve">Clúster de Blockchain de la Comunidad de Madrid e impulsa, desde Alastria, la Infraestructura de</w:t>
      </w:r>
    </w:p>
    <w:p>
      <w:pPr>
        <w:spacing w:after="140" w:line="276"/>
      </w:pPr>
      <w:r>
        <w:rPr>
          <w:rFonts w:ascii="Calibri" w:cs="Calibri" w:eastAsia="Calibri" w:hAnsi="Calibri"/>
          <w:sz w:val="21"/>
          <w:szCs w:val="21"/>
        </w:rPr>
        <w:t xml:space="preserve">Servicios Blockchain de España (ISBE), que la propia Alastria ejecuta para la Comunidad de Madrid.</w:t>
      </w:r>
    </w:p>
    <w:p>
      <w:pPr>
        <w:spacing w:after="140" w:line="276"/>
      </w:pPr>
      <w:r>
        <w:rPr>
          <w:rFonts w:ascii="Calibri" w:cs="Calibri" w:eastAsia="Calibri" w:hAnsi="Calibri"/>
          <w:sz w:val="21"/>
          <w:szCs w:val="21"/>
        </w:rPr>
        <w:t xml:space="preserve">Alastria forma parte del Consejo Asesor de Transformación Digital de la Comunidad de Madrid.</w:t>
      </w:r>
    </w:p>
    <w:p>
      <w:pPr>
        <w:spacing w:after="140" w:line="276"/>
      </w:pPr>
      <w:r>
        <w:rPr>
          <w:rFonts w:ascii="Calibri" w:cs="Calibri" w:eastAsia="Calibri" w:hAnsi="Calibri"/>
          <w:i/>
          <w:iCs/>
          <w:sz w:val="21"/>
          <w:szCs w:val="21"/>
        </w:rPr>
        <w:t xml:space="preserve">Web personal: https://miguelangeldominguez.info</w:t>
      </w:r>
    </w:p>
    <w:p>
      <w:pPr>
        <w:spacing w:after="140" w:line="276"/>
      </w:pPr>
      <w:r>
        <w:rPr>
          <w:rFonts w:ascii="Calibri" w:cs="Calibri" w:eastAsia="Calibri" w:hAnsi="Calibri"/>
          <w:sz w:val="21"/>
          <w:szCs w:val="21"/>
        </w:rPr>
        <w:t xml:space="preserve">Ha trabajado en el proyecto desde el lado de quien conoce las dos orillas: la de quien redacta</w:t>
      </w:r>
    </w:p>
    <w:p>
      <w:pPr>
        <w:spacing w:after="140" w:line="276"/>
      </w:pPr>
      <w:r>
        <w:rPr>
          <w:rFonts w:ascii="Calibri" w:cs="Calibri" w:eastAsia="Calibri" w:hAnsi="Calibri"/>
          <w:sz w:val="21"/>
          <w:szCs w:val="21"/>
        </w:rPr>
        <w:t xml:space="preserve">pliegos y la de quien se presenta a ellos. De ahí vienen la insistencia en la reversibilidad y en la</w:t>
      </w:r>
    </w:p>
    <w:p>
      <w:pPr>
        <w:spacing w:after="140" w:line="276"/>
      </w:pPr>
      <w:r>
        <w:rPr>
          <w:rFonts w:ascii="Calibri" w:cs="Calibri" w:eastAsia="Calibri" w:hAnsi="Calibri"/>
          <w:sz w:val="21"/>
          <w:szCs w:val="21"/>
        </w:rPr>
        <w:t xml:space="preserve">propiedad de los datos y de la lógica de negocio como cuestión de competencia y no de tecnología, la</w:t>
      </w:r>
    </w:p>
    <w:p>
      <w:pPr>
        <w:spacing w:after="140" w:line="276"/>
      </w:pPr>
      <w:r>
        <w:rPr>
          <w:rFonts w:ascii="Calibri" w:cs="Calibri" w:eastAsia="Calibri" w:hAnsi="Calibri"/>
          <w:sz w:val="21"/>
          <w:szCs w:val="21"/>
        </w:rPr>
        <w:t xml:space="preserve">resistencia a puntuar la tenencia previa de una tecnología —que premia al que ya está dentro— y la</w:t>
      </w:r>
    </w:p>
    <w:p>
      <w:pPr>
        <w:spacing w:after="140" w:line="276"/>
      </w:pPr>
      <w:r>
        <w:rPr>
          <w:rFonts w:ascii="Calibri" w:cs="Calibri" w:eastAsia="Calibri" w:hAnsi="Calibri"/>
          <w:sz w:val="21"/>
          <w:szCs w:val="21"/>
        </w:rPr>
        <w:t xml:space="preserve">decisión de publicarlo todo en abierto en lugar de conservarlo como activo de consultoría. Asume</w:t>
      </w:r>
    </w:p>
    <w:p>
      <w:pPr>
        <w:spacing w:after="140" w:line="276"/>
      </w:pPr>
      <w:r>
        <w:rPr>
          <w:rFonts w:ascii="Calibri" w:cs="Calibri" w:eastAsia="Calibri" w:hAnsi="Calibri"/>
          <w:sz w:val="21"/>
          <w:szCs w:val="21"/>
        </w:rPr>
        <w:t xml:space="preserve">además la responsabilidad editorial de esta publicación.</w:t>
      </w:r>
    </w:p>
    <w:p>
      <w:pPr>
        <w:spacing w:after="140" w:line="276"/>
      </w:pPr>
      <w:r>
        <w:rPr>
          <w:rFonts w:ascii="Calibri" w:cs="Calibri" w:eastAsia="Calibri" w:hAnsi="Calibri"/>
          <w:b/>
          <w:bCs/>
          <w:sz w:val="21"/>
          <w:szCs w:val="21"/>
        </w:rPr>
        <w:t xml:space="preserve">El área de contratación del Ayuntamiento de Pozuelo de Alarcón</w:t>
      </w:r>
      <w:r>
        <w:rPr>
          <w:rFonts w:ascii="Calibri" w:cs="Calibri" w:eastAsia="Calibri" w:hAnsi="Calibri"/>
          <w:sz w:val="21"/>
          <w:szCs w:val="21"/>
        </w:rPr>
        <w:t xml:space="preserve"> no figura como autora y sin</w:t>
      </w:r>
    </w:p>
    <w:p>
      <w:pPr>
        <w:spacing w:after="140" w:line="276"/>
      </w:pPr>
      <w:r>
        <w:rPr>
          <w:rFonts w:ascii="Calibri" w:cs="Calibri" w:eastAsia="Calibri" w:hAnsi="Calibri"/>
          <w:sz w:val="21"/>
          <w:szCs w:val="21"/>
        </w:rPr>
        <w:t xml:space="preserve">embargo ha determinado la forma del documento más que ninguna otra aportación. Sus tres objeciones</w:t>
      </w:r>
    </w:p>
    <w:p>
      <w:pPr>
        <w:spacing w:after="140" w:line="276"/>
      </w:pPr>
      <w:r>
        <w:rPr>
          <w:rFonts w:ascii="Calibri" w:cs="Calibri" w:eastAsia="Calibri" w:hAnsi="Calibri"/>
          <w:sz w:val="21"/>
          <w:szCs w:val="21"/>
        </w:rPr>
        <w:t xml:space="preserve">—que unas cláusulas que no nacen de una necesidad demandada son artificiosas al contrato, que el</w:t>
      </w:r>
    </w:p>
    <w:p>
      <w:pPr>
        <w:spacing w:after="140" w:line="276"/>
      </w:pPr>
      <w:r>
        <w:rPr>
          <w:rFonts w:ascii="Calibri" w:cs="Calibri" w:eastAsia="Calibri" w:hAnsi="Calibri"/>
          <w:sz w:val="21"/>
          <w:szCs w:val="21"/>
        </w:rPr>
        <w:t xml:space="preserve">grado de abstracción era demasiado alto, y que había que probarlo en un contrato real antes de</w:t>
      </w:r>
    </w:p>
    <w:p>
      <w:pPr>
        <w:spacing w:after="140" w:line="276"/>
      </w:pPr>
      <w:r>
        <w:rPr>
          <w:rFonts w:ascii="Calibri" w:cs="Calibri" w:eastAsia="Calibri" w:hAnsi="Calibri"/>
          <w:sz w:val="21"/>
          <w:szCs w:val="21"/>
        </w:rPr>
        <w:t xml:space="preserve">generalizarlo— están respondidas en el cuerpo del texto y son la razón de ser de esta versión.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Qué es y qué no es este documento, en términos institucionales</w:t>
      </w:r>
    </w:p>
    <w:p>
      <w:pPr>
        <w:spacing w:after="140" w:line="276"/>
      </w:pPr>
      <w:r>
        <w:rPr>
          <w:rFonts w:ascii="Calibri" w:cs="Calibri" w:eastAsia="Calibri" w:hAnsi="Calibri"/>
          <w:sz w:val="21"/>
          <w:szCs w:val="21"/>
        </w:rPr>
        <w:t xml:space="preserve">Conviene decirlo antes que nada, y con precisión, porque de ello depende que nadie lo cite mal:</w:t>
      </w:r>
    </w:p>
    <w:p>
      <w:pPr>
        <w:spacing w:after="140" w:line="276"/>
      </w:pPr>
      <w:r>
        <w:rPr>
          <w:rFonts w:ascii="Calibri" w:cs="Calibri" w:eastAsia="Calibri" w:hAnsi="Calibri"/>
          <w:b/>
          <w:bCs/>
          <w:sz w:val="21"/>
          <w:szCs w:val="21"/>
        </w:rPr>
        <w:t xml:space="preserve">Este documento no es un documento oficial del Ayuntamiento de Pozuelo de Alarcón.</w:t>
      </w:r>
      <w:r>
        <w:rPr>
          <w:rFonts w:ascii="Calibri" w:cs="Calibri" w:eastAsia="Calibri" w:hAnsi="Calibri"/>
          <w:sz w:val="21"/>
          <w:szCs w:val="21"/>
        </w:rPr>
        <w:t xml:space="preserve"> No ha sido</w:t>
      </w:r>
    </w:p>
    <w:p>
      <w:pPr>
        <w:spacing w:after="140" w:line="276"/>
      </w:pPr>
      <w:r>
        <w:rPr>
          <w:rFonts w:ascii="Calibri" w:cs="Calibri" w:eastAsia="Calibri" w:hAnsi="Calibri"/>
          <w:sz w:val="21"/>
          <w:szCs w:val="21"/>
        </w:rPr>
        <w:t xml:space="preserve">aprobado por ningún órgano municipal, no vincula al Ayuntamiento, no forma parte de ningún expediente</w:t>
      </w:r>
    </w:p>
    <w:p>
      <w:pPr>
        <w:spacing w:after="140" w:line="276"/>
      </w:pPr>
      <w:r>
        <w:rPr>
          <w:rFonts w:ascii="Calibri" w:cs="Calibri" w:eastAsia="Calibri" w:hAnsi="Calibri"/>
          <w:sz w:val="21"/>
          <w:szCs w:val="21"/>
        </w:rPr>
        <w:t xml:space="preserve">y no expresa la posición de la Corporación. Es un trabajo profesional de las tres personas que lo</w:t>
      </w:r>
    </w:p>
    <w:p>
      <w:pPr>
        <w:spacing w:after="140" w:line="276"/>
      </w:pPr>
      <w:r>
        <w:rPr>
          <w:rFonts w:ascii="Calibri" w:cs="Calibri" w:eastAsia="Calibri" w:hAnsi="Calibri"/>
          <w:sz w:val="21"/>
          <w:szCs w:val="21"/>
        </w:rPr>
        <w:t xml:space="preserve">firman, una de las cuales ejerce un cargo público en ese Ayuntamiento.</w:t>
      </w:r>
    </w:p>
    <w:p>
      <w:pPr>
        <w:spacing w:after="140" w:line="276"/>
      </w:pPr>
      <w:r>
        <w:rPr>
          <w:rFonts w:ascii="Calibri" w:cs="Calibri" w:eastAsia="Calibri" w:hAnsi="Calibri"/>
          <w:b/>
          <w:bCs/>
          <w:sz w:val="21"/>
          <w:szCs w:val="21"/>
        </w:rPr>
        <w:t xml:space="preserve">Lo que sí es cierto, y es lo que le da valor:</w:t>
      </w:r>
      <w:r>
        <w:rPr>
          <w:rFonts w:ascii="Calibri" w:cs="Calibri" w:eastAsia="Calibri" w:hAnsi="Calibri"/>
          <w:sz w:val="21"/>
          <w:szCs w:val="21"/>
        </w:rPr>
        <w:t xml:space="preserve"> el clausulado se ha construido sobre un caso real de</w:t>
      </w:r>
    </w:p>
    <w:p>
      <w:pPr>
        <w:spacing w:after="140" w:line="276"/>
      </w:pPr>
      <w:r>
        <w:rPr>
          <w:rFonts w:ascii="Calibri" w:cs="Calibri" w:eastAsia="Calibri" w:hAnsi="Calibri"/>
          <w:sz w:val="21"/>
          <w:szCs w:val="21"/>
        </w:rPr>
        <w:t xml:space="preserve">ese Ayuntamiento, se ha sometido al criterio de su área de contratación, y las objeciones que esa área</w:t>
      </w:r>
    </w:p>
    <w:p>
      <w:pPr>
        <w:spacing w:after="140" w:line="276"/>
      </w:pPr>
      <w:r>
        <w:rPr>
          <w:rFonts w:ascii="Calibri" w:cs="Calibri" w:eastAsia="Calibri" w:hAnsi="Calibri"/>
          <w:sz w:val="21"/>
          <w:szCs w:val="21"/>
        </w:rPr>
        <w:t xml:space="preserve">formuló —que constan literalmente en el texto— son las que han dado forma a esta versión. Ese contraste</w:t>
      </w:r>
    </w:p>
    <w:p>
      <w:pPr>
        <w:spacing w:after="140" w:line="276"/>
      </w:pPr>
      <w:r>
        <w:rPr>
          <w:rFonts w:ascii="Calibri" w:cs="Calibri" w:eastAsia="Calibri" w:hAnsi="Calibri"/>
          <w:sz w:val="21"/>
          <w:szCs w:val="21"/>
        </w:rPr>
        <w:t xml:space="preserve">con quien tiene que redactar y fiscalizar de verdad es lo que distingue este documento de un</w:t>
      </w:r>
    </w:p>
    <w:p>
      <w:pPr>
        <w:spacing w:after="140" w:line="276"/>
      </w:pPr>
      <w:r>
        <w:rPr>
          <w:rFonts w:ascii="Calibri" w:cs="Calibri" w:eastAsia="Calibri" w:hAnsi="Calibri"/>
          <w:sz w:val="21"/>
          <w:szCs w:val="21"/>
        </w:rPr>
        <w:t xml:space="preserve">clausulado de despacho.</w:t>
      </w:r>
    </w:p>
    <w:p>
      <w:pPr>
        <w:spacing w:after="140" w:line="276"/>
      </w:pPr>
      <w:r>
        <w:rPr>
          <w:rFonts w:ascii="Calibri" w:cs="Calibri" w:eastAsia="Calibri" w:hAnsi="Calibri"/>
          <w:b/>
          <w:bCs/>
          <w:sz w:val="21"/>
          <w:szCs w:val="21"/>
        </w:rPr>
        <w:t xml:space="preserve">Y lo que está pendiente, dicho por el propio documento:</w:t>
      </w:r>
      <w:r>
        <w:rPr>
          <w:rFonts w:ascii="Calibri" w:cs="Calibri" w:eastAsia="Calibri" w:hAnsi="Calibri"/>
          <w:sz w:val="21"/>
          <w:szCs w:val="21"/>
        </w:rPr>
        <w:t xml:space="preserve"> la memoria justificativa de la Parte IV</w:t>
      </w:r>
    </w:p>
    <w:p>
      <w:pPr>
        <w:spacing w:after="140" w:line="276"/>
      </w:pPr>
      <w:r>
        <w:rPr>
          <w:rFonts w:ascii="Calibri" w:cs="Calibri" w:eastAsia="Calibri" w:hAnsi="Calibri"/>
          <w:sz w:val="21"/>
          <w:szCs w:val="21"/>
        </w:rPr>
        <w:t xml:space="preserve">enumera las condiciones que aún no se cumplen —entre ellas, que las declaraciones de conflicto de</w:t>
      </w:r>
    </w:p>
    <w:p>
      <w:pPr>
        <w:spacing w:after="140" w:line="276"/>
      </w:pPr>
      <w:r>
        <w:rPr>
          <w:rFonts w:ascii="Calibri" w:cs="Calibri" w:eastAsia="Calibri" w:hAnsi="Calibri"/>
          <w:sz w:val="21"/>
          <w:szCs w:val="21"/>
        </w:rPr>
        <w:t xml:space="preserve">interés no están firmadas y que el contraste de mercado no se ha realizado—. Mientras no se cumplan,</w:t>
      </w:r>
    </w:p>
    <w:p>
      <w:pPr>
        <w:spacing w:after="140" w:line="276"/>
      </w:pPr>
      <w:r>
        <w:rPr>
          <w:rFonts w:ascii="Calibri" w:cs="Calibri" w:eastAsia="Calibri" w:hAnsi="Calibri"/>
          <w:sz w:val="21"/>
          <w:szCs w:val="21"/>
        </w:rPr>
        <w:t xml:space="preserve">el catálogo es una propuesta técnica publicada para el debate, no un instrumento listo para</w:t>
      </w:r>
    </w:p>
    <w:p>
      <w:pPr>
        <w:spacing w:after="140" w:line="276"/>
      </w:pPr>
      <w:r>
        <w:rPr>
          <w:rFonts w:ascii="Calibri" w:cs="Calibri" w:eastAsia="Calibri" w:hAnsi="Calibri"/>
          <w:sz w:val="21"/>
          <w:szCs w:val="21"/>
        </w:rPr>
        <w:t xml:space="preserve">incorporarse a un expediente sin más trámite.</w:t>
      </w:r>
    </w:p>
    <w:p>
      <w:pPr>
        <w:spacing w:after="140" w:line="276"/>
      </w:pPr>
      <w:r>
        <w:rPr>
          <w:rFonts w:ascii="Calibri" w:cs="Calibri" w:eastAsia="Calibri" w:hAnsi="Calibri"/>
          <w:sz w:val="21"/>
          <w:szCs w:val="21"/>
        </w:rPr>
        <w:t xml:space="preserve">Quien informe sobre este trabajo hará bien en no escribir que un ayuntamiento ha aprobado nada.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Declaración de uso de inteligencia artificial</w:t>
      </w:r>
    </w:p>
    <w:p>
      <w:pPr>
        <w:spacing w:after="140" w:line="276"/>
      </w:pPr>
      <w:r>
        <w:rPr>
          <w:rFonts w:ascii="Calibri" w:cs="Calibri" w:eastAsia="Calibri" w:hAnsi="Calibri"/>
          <w:b/>
          <w:bCs/>
          <w:sz w:val="21"/>
          <w:szCs w:val="21"/>
        </w:rPr>
        <w:t xml:space="preserve">En la elaboración de este documento se han utilizado sistemas de inteligencia artificial.</w:t>
      </w:r>
    </w:p>
    <w:p>
      <w:pPr>
        <w:spacing w:after="140" w:line="276"/>
      </w:pPr>
      <w:r>
        <w:rPr>
          <w:rFonts w:ascii="Calibri" w:cs="Calibri" w:eastAsia="Calibri" w:hAnsi="Calibri"/>
          <w:sz w:val="21"/>
          <w:szCs w:val="21"/>
        </w:rPr>
        <w:t xml:space="preserve">Se declara de forma expresa, y conviene decir por qué, porque no es una obligación en este caso. El</w:t>
      </w:r>
    </w:p>
    <w:p>
      <w:pPr>
        <w:spacing w:after="140" w:line="276"/>
      </w:pPr>
      <w:r>
        <w:rPr>
          <w:rFonts w:ascii="Calibri" w:cs="Calibri" w:eastAsia="Calibri" w:hAnsi="Calibri"/>
          <w:sz w:val="21"/>
          <w:szCs w:val="21"/>
        </w:rPr>
        <w:t xml:space="preserve">artículo 50.4, párrafo segundo, del Reglamento (UE) 2024/1689 —aplicable desde el 2 de agosto de</w:t>
      </w:r>
    </w:p>
    <w:p>
      <w:pPr>
        <w:spacing w:after="140" w:line="276"/>
      </w:pPr>
      <w:r>
        <w:rPr>
          <w:rFonts w:ascii="Calibri" w:cs="Calibri" w:eastAsia="Calibri" w:hAnsi="Calibri"/>
          <w:sz w:val="21"/>
          <w:szCs w:val="21"/>
        </w:rPr>
        <w:t xml:space="preserve">2026— obliga a divulgar el uso de IA cuando se publica texto generado o manipulado artificialmente</w:t>
      </w:r>
    </w:p>
    <w:p>
      <w:pPr>
        <w:spacing w:after="140" w:line="276"/>
      </w:pPr>
      <w:r>
        <w:rPr>
          <w:rFonts w:ascii="Calibri" w:cs="Calibri" w:eastAsia="Calibri" w:hAnsi="Calibri"/>
          <w:sz w:val="21"/>
          <w:szCs w:val="21"/>
        </w:rPr>
        <w:t xml:space="preserve">«con el fin de informar al público sobre asuntos de interés público», pero exime de hacerlo «cuando</w:t>
      </w:r>
    </w:p>
    <w:p>
      <w:pPr>
        <w:spacing w:after="140" w:line="276"/>
      </w:pPr>
      <w:r>
        <w:rPr>
          <w:rFonts w:ascii="Calibri" w:cs="Calibri" w:eastAsia="Calibri" w:hAnsi="Calibri"/>
          <w:sz w:val="21"/>
          <w:szCs w:val="21"/>
        </w:rPr>
        <w:t xml:space="preserve">el contenido generado por IA haya sido sometido a un proceso de revisión humana o de control</w:t>
      </w:r>
    </w:p>
    <w:p>
      <w:pPr>
        <w:spacing w:after="140" w:line="276"/>
      </w:pPr>
      <w:r>
        <w:rPr>
          <w:rFonts w:ascii="Calibri" w:cs="Calibri" w:eastAsia="Calibri" w:hAnsi="Calibri"/>
          <w:sz w:val="21"/>
          <w:szCs w:val="21"/>
        </w:rPr>
        <w:t xml:space="preserve">editorial y cuando una persona física o jurídica tenga la responsabilidad editorial por la</w:t>
      </w:r>
    </w:p>
    <w:p>
      <w:pPr>
        <w:spacing w:after="140" w:line="276"/>
      </w:pPr>
      <w:r>
        <w:rPr>
          <w:rFonts w:ascii="Calibri" w:cs="Calibri" w:eastAsia="Calibri" w:hAnsi="Calibri"/>
          <w:sz w:val="21"/>
          <w:szCs w:val="21"/>
        </w:rPr>
        <w:t xml:space="preserve">publicación del contenido». Aquí concurren ambas cosas. La divulgación es, por tanto, voluntaria.</w:t>
      </w:r>
    </w:p>
    <w:p>
      <w:pPr>
        <w:spacing w:after="140" w:line="276"/>
      </w:pPr>
      <w:r>
        <w:rPr>
          <w:rFonts w:ascii="Calibri" w:cs="Calibri" w:eastAsia="Calibri" w:hAnsi="Calibri"/>
          <w:sz w:val="21"/>
          <w:szCs w:val="21"/>
        </w:rPr>
        <w:t xml:space="preserve">Se hace igualmente por una razón sencilla: un documento que exige a los adjudicatarios trazabilidad,</w:t>
      </w:r>
    </w:p>
    <w:p>
      <w:pPr>
        <w:spacing w:after="140" w:line="276"/>
      </w:pPr>
      <w:r>
        <w:rPr>
          <w:rFonts w:ascii="Calibri" w:cs="Calibri" w:eastAsia="Calibri" w:hAnsi="Calibri"/>
          <w:sz w:val="21"/>
          <w:szCs w:val="21"/>
        </w:rPr>
        <w:t xml:space="preserve">supervisión humana y transparencia en el uso de la inteligencia artificial no puede ocultarla en sí</w:t>
      </w:r>
    </w:p>
    <w:p>
      <w:pPr>
        <w:spacing w:after="140" w:line="276"/>
      </w:pPr>
      <w:r>
        <w:rPr>
          <w:rFonts w:ascii="Calibri" w:cs="Calibri" w:eastAsia="Calibri" w:hAnsi="Calibri"/>
          <w:sz w:val="21"/>
          <w:szCs w:val="21"/>
        </w:rPr>
        <w:t xml:space="preserve">mismo. Lo que se pide en las cláusulas se practica en el documento que las contiene.</w:t>
      </w:r>
    </w:p>
    <w:p>
      <w:pPr>
        <w:spacing w:after="140" w:line="276"/>
      </w:pPr>
      <w:r>
        <w:rPr>
          <w:rFonts w:ascii="Calibri" w:cs="Calibri" w:eastAsia="Calibri" w:hAnsi="Calibri"/>
          <w:b/>
          <w:bCs/>
          <w:sz w:val="21"/>
          <w:szCs w:val="21"/>
        </w:rPr>
        <w:t xml:space="preserve">Qué sistema se ha usado.</w:t>
      </w:r>
      <w:r>
        <w:rPr>
          <w:rFonts w:ascii="Calibri" w:cs="Calibri" w:eastAsia="Calibri" w:hAnsi="Calibri"/>
          <w:sz w:val="21"/>
          <w:szCs w:val="21"/>
        </w:rPr>
        <w:t xml:space="preserve"> El clon digital —</w:t>
      </w:r>
      <w:r>
        <w:rPr>
          <w:rFonts w:ascii="Calibri" w:cs="Calibri" w:eastAsia="Calibri" w:hAnsi="Calibri"/>
          <w:i/>
          <w:iCs/>
          <w:sz w:val="21"/>
          <w:szCs w:val="21"/>
        </w:rPr>
        <w:t xml:space="preserve">second brain</w:t>
      </w:r>
      <w:r>
        <w:rPr>
          <w:rFonts w:ascii="Calibri" w:cs="Calibri" w:eastAsia="Calibri" w:hAnsi="Calibri"/>
          <w:sz w:val="21"/>
          <w:szCs w:val="21"/>
        </w:rPr>
        <w:t xml:space="preserve">— de Miguel Ángel Domínguez: un sistema</w:t>
      </w:r>
    </w:p>
    <w:p>
      <w:pPr>
        <w:spacing w:after="140" w:line="276"/>
      </w:pPr>
      <w:r>
        <w:rPr>
          <w:rFonts w:ascii="Calibri" w:cs="Calibri" w:eastAsia="Calibri" w:hAnsi="Calibri"/>
          <w:sz w:val="21"/>
          <w:szCs w:val="21"/>
        </w:rPr>
        <w:t xml:space="preserve">de agentes de IA con memoria persistente del contexto de sus proyectos, sus interlocutores y sus</w:t>
      </w:r>
    </w:p>
    <w:p>
      <w:pPr>
        <w:spacing w:after="140" w:line="276"/>
      </w:pPr>
      <w:r>
        <w:rPr>
          <w:rFonts w:ascii="Calibri" w:cs="Calibri" w:eastAsia="Calibri" w:hAnsi="Calibri"/>
          <w:sz w:val="21"/>
          <w:szCs w:val="21"/>
        </w:rPr>
        <w:t xml:space="preserve">decisiones, construido y operado por él. Su aportación ha sido determinante y conviene ser preciso</w:t>
      </w:r>
    </w:p>
    <w:p>
      <w:pPr>
        <w:spacing w:after="140" w:line="276"/>
      </w:pPr>
      <w:r>
        <w:rPr>
          <w:rFonts w:ascii="Calibri" w:cs="Calibri" w:eastAsia="Calibri" w:hAnsi="Calibri"/>
          <w:sz w:val="21"/>
          <w:szCs w:val="21"/>
        </w:rPr>
        <w:t xml:space="preserve">sobre en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Aportación del sistema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Recuperación del material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Reunir y cruzar dos años de conversaciones, correos y versiones documentales dispersas para reconstruir qué se había decidido, cuándo y por quién — incluida la objeción del área de contratación, que estaba al final de un documento de trabajo y no en ningún informe.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Investigación jurídica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Localizar y leer la doctrina de los tribunales administrativos de recursos contractuales, los informes de las juntas consultivas y el articulado aplicable, sobre ocho frentes en paralelo.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Descargar cada resolución citada y comprobar dentro del documento original que dice lo que se le atribuye.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adversarial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Someter cada versión al criterio simulado de un tribunal, del abogado de un licitador excluido, de un interventor, de un técnico de contratación, de un lector no experto y de un periodista, y reescribir con sus objeciones.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Producir los borradores de todas las partes del documento a partir de la arquitectura y de las decisiones acordadas.</w:t>
            </w:r>
          </w:p>
        </w:tc>
      </w:tr>
    </w:tbl>
    <w:p>
      <w:pPr>
        <w:spacing w:after="200"/>
      </w:pPr>
    </w:p>
    <w:p>
      <w:pPr>
        <w:spacing w:after="140" w:line="276"/>
      </w:pPr>
      <w:r>
        <w:rPr>
          <w:rFonts w:ascii="Calibri" w:cs="Calibri" w:eastAsia="Calibri" w:hAnsi="Calibri"/>
          <w:b/>
          <w:bCs/>
          <w:sz w:val="21"/>
          <w:szCs w:val="21"/>
        </w:rPr>
        <w:t xml:space="preserve">Qué han hecho las personas, y no la máquina.</w:t>
      </w:r>
      <w:r>
        <w:rPr>
          <w:rFonts w:ascii="Calibri" w:cs="Calibri" w:eastAsia="Calibri" w:hAnsi="Calibri"/>
          <w:sz w:val="21"/>
          <w:szCs w:val="21"/>
        </w:rPr>
        <w:t xml:space="preserve"> La pregunta de partida. Las decisiones de diseño y</w:t>
      </w:r>
    </w:p>
    <w:p>
      <w:pPr>
        <w:spacing w:after="140" w:line="276"/>
      </w:pPr>
      <w:r>
        <w:rPr>
          <w:rFonts w:ascii="Calibri" w:cs="Calibri" w:eastAsia="Calibri" w:hAnsi="Calibri"/>
          <w:sz w:val="21"/>
          <w:szCs w:val="21"/>
        </w:rPr>
        <w:t xml:space="preserve">de encaje jurídico. El criterio sobre qué exigencia es proporcionada y cuál no. La renuncia expresa a</w:t>
      </w:r>
    </w:p>
    <w:p>
      <w:pPr>
        <w:spacing w:after="140" w:line="276"/>
      </w:pPr>
      <w:r>
        <w:rPr>
          <w:rFonts w:ascii="Calibri" w:cs="Calibri" w:eastAsia="Calibri" w:hAnsi="Calibri"/>
          <w:sz w:val="21"/>
          <w:szCs w:val="21"/>
        </w:rPr>
        <w:t xml:space="preserve">prometer que el clausulado es inanulable. La decisión de publicar en abierto. Y la responsabilidad</w:t>
      </w:r>
    </w:p>
    <w:p>
      <w:pPr>
        <w:spacing w:after="140" w:line="276"/>
      </w:pPr>
      <w:r>
        <w:rPr>
          <w:rFonts w:ascii="Calibri" w:cs="Calibri" w:eastAsia="Calibri" w:hAnsi="Calibri"/>
          <w:sz w:val="21"/>
          <w:szCs w:val="21"/>
        </w:rPr>
        <w:t xml:space="preserve">editorial y jurídica de todo lo que aquí se afirma.</w:t>
      </w:r>
    </w:p>
    <w:p>
      <w:pPr>
        <w:spacing w:after="140" w:line="276"/>
      </w:pPr>
      <w:r>
        <w:rPr>
          <w:rFonts w:ascii="Calibri" w:cs="Calibri" w:eastAsia="Calibri" w:hAnsi="Calibri"/>
          <w:b/>
          <w:bCs/>
          <w:sz w:val="21"/>
          <w:szCs w:val="21"/>
        </w:rPr>
        <w:t xml:space="preserve">Cómo se ha controlado.</w:t>
      </w:r>
      <w:r>
        <w:rPr>
          <w:rFonts w:ascii="Calibri" w:cs="Calibri" w:eastAsia="Calibri" w:hAnsi="Calibri"/>
          <w:sz w:val="21"/>
          <w:szCs w:val="21"/>
        </w:rPr>
        <w:t xml:space="preserve"> Toda referencia normativa o de doctrina se ha comprobado en su fuente</w:t>
      </w:r>
    </w:p>
    <w:p>
      <w:pPr>
        <w:spacing w:after="140" w:line="276"/>
      </w:pPr>
      <w:r>
        <w:rPr>
          <w:rFonts w:ascii="Calibri" w:cs="Calibri" w:eastAsia="Calibri" w:hAnsi="Calibri"/>
          <w:sz w:val="21"/>
          <w:szCs w:val="21"/>
        </w:rPr>
        <w:t xml:space="preserve">primaria: se descargó el documento original y se localizó dentro de él la cita literal atribuida.</w:t>
      </w:r>
    </w:p>
    <w:p>
      <w:pPr>
        <w:spacing w:after="140" w:line="276"/>
      </w:pPr>
      <w:r>
        <w:rPr>
          <w:rFonts w:ascii="Calibri" w:cs="Calibri" w:eastAsia="Calibri" w:hAnsi="Calibri"/>
          <w:sz w:val="21"/>
          <w:szCs w:val="21"/>
        </w:rPr>
        <w:t xml:space="preserve">Ese control detectó y corrigió tres errores materiales antes de publicar —una resolución</w:t>
      </w:r>
    </w:p>
    <w:p>
      <w:pPr>
        <w:spacing w:after="140" w:line="276"/>
      </w:pPr>
      <w:r>
        <w:rPr>
          <w:rFonts w:ascii="Calibri" w:cs="Calibri" w:eastAsia="Calibri" w:hAnsi="Calibri"/>
          <w:sz w:val="21"/>
          <w:szCs w:val="21"/>
        </w:rPr>
        <w:t xml:space="preserve">desestimatoria presentada como si avalara el criterio del documento, un calendario normativo europeo</w:t>
      </w:r>
    </w:p>
    <w:p>
      <w:pPr>
        <w:spacing w:after="140" w:line="276"/>
      </w:pPr>
      <w:r>
        <w:rPr>
          <w:rFonts w:ascii="Calibri" w:cs="Calibri" w:eastAsia="Calibri" w:hAnsi="Calibri"/>
          <w:sz w:val="21"/>
          <w:szCs w:val="21"/>
        </w:rPr>
        <w:t xml:space="preserve">que había dejado de ser cierto, y una figura jurídica invocada con un fundamento que no la sostenía—.</w:t>
      </w:r>
    </w:p>
    <w:p>
      <w:pPr>
        <w:spacing w:after="140" w:line="276"/>
      </w:pPr>
      <w:r>
        <w:rPr>
          <w:rFonts w:ascii="Calibri" w:cs="Calibri" w:eastAsia="Calibri" w:hAnsi="Calibri"/>
          <w:sz w:val="21"/>
          <w:szCs w:val="21"/>
        </w:rPr>
        <w:t xml:space="preserve">Cuando algo no ha podido verificarse, se dice expresamente en lugar de omitirlo.</w:t>
      </w:r>
    </w:p>
    <w:p>
      <w:pPr>
        <w:spacing w:after="140" w:line="276"/>
      </w:pPr>
      <w:r>
        <w:rPr>
          <w:rFonts w:ascii="Calibri" w:cs="Calibri" w:eastAsia="Calibri" w:hAnsi="Calibri"/>
          <w:b/>
          <w:bCs/>
          <w:sz w:val="21"/>
          <w:szCs w:val="21"/>
        </w:rPr>
        <w:t xml:space="preserve">Lo que no se ha hecho.</w:t>
      </w:r>
      <w:r>
        <w:rPr>
          <w:rFonts w:ascii="Calibri" w:cs="Calibri" w:eastAsia="Calibri" w:hAnsi="Calibri"/>
          <w:sz w:val="21"/>
          <w:szCs w:val="21"/>
        </w:rPr>
        <w:t xml:space="preserve"> No se ha dado por buena ninguna cita por el hecho de que un sistema de IA</w:t>
      </w:r>
    </w:p>
    <w:p>
      <w:pPr>
        <w:spacing w:after="140" w:line="276"/>
      </w:pPr>
      <w:r>
        <w:rPr>
          <w:rFonts w:ascii="Calibri" w:cs="Calibri" w:eastAsia="Calibri" w:hAnsi="Calibri"/>
          <w:sz w:val="21"/>
          <w:szCs w:val="21"/>
        </w:rPr>
        <w:t xml:space="preserve">la propusiera. No se ha publicado ninguna afirmación jurídica sin el precepto o la resolución</w:t>
      </w:r>
    </w:p>
    <w:p>
      <w:pPr>
        <w:spacing w:after="140" w:line="276"/>
      </w:pPr>
      <w:r>
        <w:rPr>
          <w:rFonts w:ascii="Calibri" w:cs="Calibri" w:eastAsia="Calibri" w:hAnsi="Calibri"/>
          <w:sz w:val="21"/>
          <w:szCs w:val="21"/>
        </w:rPr>
        <w:t xml:space="preserve">delante. Y no se ha usado la inteligencia artificial para decidir nada de lo que este documento</w:t>
      </w:r>
    </w:p>
    <w:p>
      <w:pPr>
        <w:spacing w:after="140" w:line="276"/>
      </w:pPr>
      <w:r>
        <w:rPr>
          <w:rFonts w:ascii="Calibri" w:cs="Calibri" w:eastAsia="Calibri" w:hAnsi="Calibri"/>
          <w:sz w:val="21"/>
          <w:szCs w:val="21"/>
        </w:rPr>
        <w:t xml:space="preserve">afirma: para eso están las personas que lo firman.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Cómo debe usarse este documento</w:t>
      </w:r>
    </w:p>
    <w:p>
      <w:pPr>
        <w:spacing w:after="140" w:line="276"/>
      </w:pPr>
      <w:r>
        <w:rPr>
          <w:rFonts w:ascii="Calibri" w:cs="Calibri" w:eastAsia="Calibri" w:hAnsi="Calibri"/>
          <w:b/>
          <w:bCs/>
          <w:sz w:val="21"/>
          <w:szCs w:val="21"/>
        </w:rPr>
        <w:t xml:space="preserve">Léase. Entiéndase. Y sólo entonces adáptese.</w:t>
      </w:r>
    </w:p>
    <w:p>
      <w:pPr>
        <w:spacing w:after="140" w:line="276"/>
      </w:pPr>
      <w:r>
        <w:rPr>
          <w:rFonts w:ascii="Calibri" w:cs="Calibri" w:eastAsia="Calibri" w:hAnsi="Calibri"/>
          <w:sz w:val="21"/>
          <w:szCs w:val="21"/>
        </w:rPr>
        <w:t xml:space="preserve">Este material se publica </w:t>
      </w:r>
      <w:r>
        <w:rPr>
          <w:rFonts w:ascii="Calibri" w:cs="Calibri" w:eastAsia="Calibri" w:hAnsi="Calibri"/>
          <w:i/>
          <w:iCs/>
          <w:sz w:val="21"/>
          <w:szCs w:val="21"/>
        </w:rPr>
        <w:t xml:space="preserve">tal cual</w:t>
      </w:r>
      <w:r>
        <w:rPr>
          <w:rFonts w:ascii="Calibri" w:cs="Calibri" w:eastAsia="Calibri" w:hAnsi="Calibri"/>
          <w:sz w:val="21"/>
          <w:szCs w:val="21"/>
        </w:rPr>
        <w:t xml:space="preserve"> (</w:t>
      </w:r>
      <w:r>
        <w:rPr>
          <w:rFonts w:ascii="Calibri" w:cs="Calibri" w:eastAsia="Calibri" w:hAnsi="Calibri"/>
          <w:b/>
          <w:bCs/>
          <w:sz w:val="21"/>
          <w:szCs w:val="21"/>
        </w:rPr>
        <w:t xml:space="preserve">as is</w:t>
      </w:r>
      <w:r>
        <w:rPr>
          <w:rFonts w:ascii="Calibri" w:cs="Calibri" w:eastAsia="Calibri" w:hAnsi="Calibri"/>
          <w:sz w:val="21"/>
          <w:szCs w:val="21"/>
        </w:rPr>
        <w:t xml:space="preserve">), sin garantía de ningún tipo, y su uso corresponde</w:t>
      </w:r>
    </w:p>
    <w:p>
      <w:pPr>
        <w:spacing w:after="140" w:line="276"/>
      </w:pPr>
      <w:r>
        <w:rPr>
          <w:rFonts w:ascii="Calibri" w:cs="Calibri" w:eastAsia="Calibri" w:hAnsi="Calibri"/>
          <w:sz w:val="21"/>
          <w:szCs w:val="21"/>
        </w:rPr>
        <w:t xml:space="preserve">enteramente a quien lo utiliza. No es asesoramiento legal, no sustituye a los informes preceptivos</w:t>
      </w:r>
    </w:p>
    <w:p>
      <w:pPr>
        <w:spacing w:after="140" w:line="276"/>
      </w:pPr>
      <w:r>
        <w:rPr>
          <w:rFonts w:ascii="Calibri" w:cs="Calibri" w:eastAsia="Calibri" w:hAnsi="Calibri"/>
          <w:sz w:val="21"/>
          <w:szCs w:val="21"/>
        </w:rPr>
        <w:t xml:space="preserve">de ninguna administración y no crea relación profesional alguna con sus autores.</w:t>
      </w:r>
    </w:p>
    <w:p>
      <w:pPr>
        <w:spacing w:after="140" w:line="276"/>
      </w:pPr>
      <w:r>
        <w:rPr>
          <w:rFonts w:ascii="Calibri" w:cs="Calibri" w:eastAsia="Calibri" w:hAnsi="Calibri"/>
          <w:sz w:val="21"/>
          <w:szCs w:val="21"/>
        </w:rPr>
        <w:t xml:space="preserve">La recomendación de uso es explícita y va en serio: </w:t>
      </w:r>
      <w:r>
        <w:rPr>
          <w:rFonts w:ascii="Calibri" w:cs="Calibri" w:eastAsia="Calibri" w:hAnsi="Calibri"/>
          <w:b/>
          <w:bCs/>
          <w:sz w:val="21"/>
          <w:szCs w:val="21"/>
        </w:rPr>
        <w:t xml:space="preserve">no copie sin entender</w:t>
      </w:r>
      <w:r>
        <w:rPr>
          <w:rFonts w:ascii="Calibri" w:cs="Calibri" w:eastAsia="Calibri" w:hAnsi="Calibri"/>
          <w:sz w:val="21"/>
          <w:szCs w:val="21"/>
        </w:rPr>
        <w:t xml:space="preserve">. No por prudencia</w:t>
      </w:r>
    </w:p>
    <w:p>
      <w:pPr>
        <w:spacing w:after="140" w:line="276"/>
      </w:pPr>
      <w:r>
        <w:rPr>
          <w:rFonts w:ascii="Calibri" w:cs="Calibri" w:eastAsia="Calibri" w:hAnsi="Calibri"/>
          <w:sz w:val="21"/>
          <w:szCs w:val="21"/>
        </w:rPr>
        <w:t xml:space="preserve">formal, sino porque copiar sin entender produce exactamente el daño que este documento trata de</w:t>
      </w:r>
    </w:p>
    <w:p>
      <w:pPr>
        <w:spacing w:after="140" w:line="276"/>
      </w:pPr>
      <w:r>
        <w:rPr>
          <w:rFonts w:ascii="Calibri" w:cs="Calibri" w:eastAsia="Calibri" w:hAnsi="Calibri"/>
          <w:sz w:val="21"/>
          <w:szCs w:val="21"/>
        </w:rPr>
        <w:t xml:space="preserve">evitar:</w:t>
      </w:r>
    </w:p>
    <w:p>
      <w:pPr>
        <w:pStyle w:val="ListParagraph"/>
        <w:numPr>
          <w:ilvl w:val="0"/>
          <w:numId w:val="1"/>
        </w:numPr>
        <w:spacing w:after="70" w:line="268"/>
      </w:pPr>
      <w:r>
        <w:rPr>
          <w:rFonts w:ascii="Calibri" w:cs="Calibri" w:eastAsia="Calibri" w:hAnsi="Calibri"/>
          <w:b/>
          <w:bCs/>
          <w:sz w:val="21"/>
          <w:szCs w:val="21"/>
        </w:rPr>
        <w:t xml:space="preserve">Una cláusula copiada sin necesidad acreditada no protege: añade un motivo de recurso.</w:t>
      </w:r>
      <w:r>
        <w:rPr>
          <w:rFonts w:ascii="Calibri" w:cs="Calibri" w:eastAsia="Calibri" w:hAnsi="Calibri"/>
          <w:sz w:val="21"/>
          <w:szCs w:val="21"/>
        </w:rPr>
        <w:t xml:space="preserve"> La</w:t>
      </w:r>
    </w:p>
    <w:p>
      <w:pPr>
        <w:spacing w:after="140" w:line="276"/>
      </w:pPr>
      <w:r>
        <w:rPr>
          <w:rFonts w:ascii="Calibri" w:cs="Calibri" w:eastAsia="Calibri" w:hAnsi="Calibri"/>
          <w:sz w:val="21"/>
          <w:szCs w:val="21"/>
        </w:rPr>
        <w:t xml:space="preserve">justificación de cada exigencia no vive en este catálogo, vive en la memoria justificativa del</w:t>
      </w:r>
    </w:p>
    <w:p>
      <w:pPr>
        <w:spacing w:after="140" w:line="276"/>
      </w:pPr>
      <w:r>
        <w:rPr>
          <w:rFonts w:ascii="Calibri" w:cs="Calibri" w:eastAsia="Calibri" w:hAnsi="Calibri"/>
          <w:sz w:val="21"/>
          <w:szCs w:val="21"/>
        </w:rPr>
        <w:t xml:space="preserve">expediente que la incorpora. Y no se puede completar después, cuando llegue el recurso.</w:t>
      </w:r>
    </w:p>
    <w:p>
      <w:pPr>
        <w:pStyle w:val="ListParagraph"/>
        <w:numPr>
          <w:ilvl w:val="0"/>
          <w:numId w:val="1"/>
        </w:numPr>
        <w:spacing w:after="70" w:line="268"/>
      </w:pPr>
      <w:r>
        <w:rPr>
          <w:rFonts w:ascii="Calibri" w:cs="Calibri" w:eastAsia="Calibri" w:hAnsi="Calibri"/>
          <w:b/>
          <w:bCs/>
          <w:sz w:val="21"/>
          <w:szCs w:val="21"/>
        </w:rPr>
        <w:t xml:space="preserve">Una exigencia copiada sin contrastar con el mercado no es más ambiciosa: es más restrictiva.</w:t>
      </w:r>
      <w:r>
        <w:rPr>
          <w:rFonts w:ascii="Calibri" w:cs="Calibri" w:eastAsia="Calibri" w:hAnsi="Calibri"/>
          <w:sz w:val="21"/>
          <w:szCs w:val="21"/>
        </w:rPr>
        <w:t xml:space="preserve"> Si</w:t>
      </w:r>
    </w:p>
    <w:p>
      <w:pPr>
        <w:spacing w:after="140" w:line="276"/>
      </w:pPr>
      <w:r>
        <w:rPr>
          <w:rFonts w:ascii="Calibri" w:cs="Calibri" w:eastAsia="Calibri" w:hAnsi="Calibri"/>
          <w:sz w:val="21"/>
          <w:szCs w:val="21"/>
        </w:rPr>
        <w:t xml:space="preserve">ningún proveedor del sector puede cumplirla en el plazo previsto, reduce la concurrencia o genera un</w:t>
      </w:r>
    </w:p>
    <w:p>
      <w:pPr>
        <w:spacing w:after="140" w:line="276"/>
      </w:pPr>
      <w:r>
        <w:rPr>
          <w:rFonts w:ascii="Calibri" w:cs="Calibri" w:eastAsia="Calibri" w:hAnsi="Calibri"/>
          <w:sz w:val="21"/>
          <w:szCs w:val="21"/>
        </w:rPr>
        <w:t xml:space="preserve">incumplimiento generalizado desde el primer año.</w:t>
      </w:r>
    </w:p>
    <w:p>
      <w:pPr>
        <w:pStyle w:val="ListParagraph"/>
        <w:numPr>
          <w:ilvl w:val="0"/>
          <w:numId w:val="1"/>
        </w:numPr>
        <w:spacing w:after="70" w:line="268"/>
      </w:pPr>
      <w:r>
        <w:rPr>
          <w:rFonts w:ascii="Calibri" w:cs="Calibri" w:eastAsia="Calibri" w:hAnsi="Calibri"/>
          <w:b/>
          <w:bCs/>
          <w:sz w:val="21"/>
          <w:szCs w:val="21"/>
        </w:rPr>
        <w:t xml:space="preserve">Una obligación copiada sin nadie que la verifique es peor que no tenerla.</w:t>
      </w:r>
      <w:r>
        <w:rPr>
          <w:rFonts w:ascii="Calibri" w:cs="Calibri" w:eastAsia="Calibri" w:hAnsi="Calibri"/>
          <w:sz w:val="21"/>
          <w:szCs w:val="21"/>
        </w:rPr>
        <w:t xml:space="preserve"> Crea una apariencia de</w:t>
      </w:r>
    </w:p>
    <w:p>
      <w:pPr>
        <w:spacing w:after="140" w:line="276"/>
      </w:pPr>
      <w:r>
        <w:rPr>
          <w:rFonts w:ascii="Calibri" w:cs="Calibri" w:eastAsia="Calibri" w:hAnsi="Calibri"/>
          <w:sz w:val="21"/>
          <w:szCs w:val="21"/>
        </w:rPr>
        <w:t xml:space="preserve">control que después no se ejerce, y la primera vez que haya que exigirla se descubrirá que nunca se</w:t>
      </w:r>
    </w:p>
    <w:p>
      <w:pPr>
        <w:spacing w:after="140" w:line="276"/>
      </w:pPr>
      <w:r>
        <w:rPr>
          <w:rFonts w:ascii="Calibri" w:cs="Calibri" w:eastAsia="Calibri" w:hAnsi="Calibri"/>
          <w:sz w:val="21"/>
          <w:szCs w:val="21"/>
        </w:rPr>
        <w:t xml:space="preserve">comprobó.</w:t>
      </w:r>
    </w:p>
    <w:p>
      <w:pPr>
        <w:pStyle w:val="ListParagraph"/>
        <w:numPr>
          <w:ilvl w:val="0"/>
          <w:numId w:val="1"/>
        </w:numPr>
        <w:spacing w:after="70" w:line="268"/>
      </w:pPr>
      <w:r>
        <w:rPr>
          <w:rFonts w:ascii="Calibri" w:cs="Calibri" w:eastAsia="Calibri" w:hAnsi="Calibri"/>
          <w:b/>
          <w:bCs/>
          <w:sz w:val="21"/>
          <w:szCs w:val="21"/>
        </w:rPr>
        <w:t xml:space="preserve">Un parámetro copiado sin adaptar puede ser sencillamente ilegal en su entidad.</w:t>
      </w:r>
      <w:r>
        <w:rPr>
          <w:rFonts w:ascii="Calibri" w:cs="Calibri" w:eastAsia="Calibri" w:hAnsi="Calibri"/>
          <w:sz w:val="21"/>
          <w:szCs w:val="21"/>
        </w:rPr>
        <w:t xml:space="preserve"> Categorías de</w:t>
      </w:r>
    </w:p>
    <w:p>
      <w:pPr>
        <w:spacing w:after="140" w:line="276"/>
      </w:pPr>
      <w:r>
        <w:rPr>
          <w:rFonts w:ascii="Calibri" w:cs="Calibri" w:eastAsia="Calibri" w:hAnsi="Calibri"/>
          <w:sz w:val="21"/>
          <w:szCs w:val="21"/>
        </w:rPr>
        <w:t xml:space="preserve">seguridad, órganos competentes, umbrales económicos y régimen aplicable cambian de una</w:t>
      </w:r>
    </w:p>
    <w:p>
      <w:pPr>
        <w:spacing w:after="140" w:line="276"/>
      </w:pPr>
      <w:r>
        <w:rPr>
          <w:rFonts w:ascii="Calibri" w:cs="Calibri" w:eastAsia="Calibri" w:hAnsi="Calibri"/>
          <w:sz w:val="21"/>
          <w:szCs w:val="21"/>
        </w:rPr>
        <w:t xml:space="preserve">administración a otra.</w:t>
      </w:r>
    </w:p>
    <w:p>
      <w:pPr>
        <w:spacing w:after="140" w:line="276"/>
      </w:pPr>
      <w:r>
        <w:rPr>
          <w:rFonts w:ascii="Calibri" w:cs="Calibri" w:eastAsia="Calibri" w:hAnsi="Calibri"/>
          <w:sz w:val="21"/>
          <w:szCs w:val="21"/>
        </w:rPr>
        <w:t xml:space="preserve">Quien tenga veinte minutos, que lea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w:t>
      </w:r>
    </w:p>
    <w:p>
      <w:pPr>
        <w:spacing w:after="140" w:line="276"/>
      </w:pPr>
      <w:r>
        <w:rPr>
          <w:rFonts w:ascii="Calibri" w:cs="Calibri" w:eastAsia="Calibri" w:hAnsi="Calibri"/>
          <w:sz w:val="21"/>
          <w:szCs w:val="21"/>
        </w:rPr>
        <w:t xml:space="preserve">documento: es el texto escrito para leerse en ese tiempo. Quien tenga una hora,</w:t>
      </w:r>
    </w:p>
    <w:p>
      <w:pPr>
        <w:spacing w:after="140" w:line="276"/>
      </w:pPr>
      <w:r>
        <w:rPr>
          <w:rFonts w:ascii="Calibri" w:cs="Calibri" w:eastAsia="Calibri" w:hAnsi="Calibri"/>
          <w:sz w:val="21"/>
          <w:szCs w:val="21"/>
        </w:rPr>
        <w:t xml:space="preserve">que lea la </w:t>
      </w:r>
      <w:r>
        <w:rPr>
          <w:rFonts w:ascii="Calibri" w:cs="Calibri" w:eastAsia="Calibri" w:hAnsi="Calibri"/>
          <w:b/>
          <w:bCs/>
          <w:sz w:val="21"/>
          <w:szCs w:val="21"/>
        </w:rPr>
        <w:t xml:space="preserve">Parte 0</w:t>
      </w:r>
      <w:r>
        <w:rPr>
          <w:rFonts w:ascii="Calibri" w:cs="Calibri" w:eastAsia="Calibri" w:hAnsi="Calibri"/>
          <w:sz w:val="21"/>
          <w:szCs w:val="21"/>
        </w:rPr>
        <w:t xml:space="preserve"> entera, que está escrita para entenderse sin conocimientos previos de</w:t>
      </w:r>
    </w:p>
    <w:p>
      <w:pPr>
        <w:spacing w:after="140" w:line="276"/>
      </w:pPr>
      <w:r>
        <w:rPr>
          <w:rFonts w:ascii="Calibri" w:cs="Calibri" w:eastAsia="Calibri" w:hAnsi="Calibri"/>
          <w:sz w:val="21"/>
          <w:szCs w:val="21"/>
        </w:rPr>
        <w:t xml:space="preserve">contratación ni de tecnología; y si sólo dispone de la mitad de ese tiempo, sus apartados 0.1, 0.2 y</w:t>
      </w:r>
    </w:p>
    <w:p>
      <w:pPr>
        <w:spacing w:after="140" w:line="276"/>
      </w:pPr>
      <w:r>
        <w:rPr>
          <w:rFonts w:ascii="Calibri" w:cs="Calibri" w:eastAsia="Calibri" w:hAnsi="Calibri"/>
          <w:sz w:val="21"/>
          <w:szCs w:val="21"/>
        </w:rPr>
        <w:t xml:space="preserve">0.3. Quien vaya a redactar un pliego, que lea además la Parte V y rellene la ficha de aplicabilidad</w:t>
      </w:r>
    </w:p>
    <w:p>
      <w:pPr>
        <w:spacing w:after="140" w:line="276"/>
      </w:pPr>
      <w:r>
        <w:rPr>
          <w:rFonts w:ascii="Calibri" w:cs="Calibri" w:eastAsia="Calibri" w:hAnsi="Calibri"/>
          <w:sz w:val="21"/>
          <w:szCs w:val="21"/>
        </w:rPr>
        <w:t xml:space="preserve">antes de copiar una sola línea.</w:t>
      </w:r>
    </w:p>
    <w:p>
      <w:pPr>
        <w:spacing w:after="140" w:line="276"/>
      </w:pPr>
      <w:r>
        <w:rPr>
          <w:rFonts w:ascii="Calibri" w:cs="Calibri" w:eastAsia="Calibri" w:hAnsi="Calibri"/>
          <w:sz w:val="21"/>
          <w:szCs w:val="21"/>
        </w:rPr>
        <w:t xml:space="preserve">Y una petición, que es lo único que se pide a cambio: si su administración usa este material, lo</w:t>
      </w:r>
    </w:p>
    <w:p>
      <w:pPr>
        <w:spacing w:after="140" w:line="276"/>
      </w:pPr>
      <w:r>
        <w:rPr>
          <w:rFonts w:ascii="Calibri" w:cs="Calibri" w:eastAsia="Calibri" w:hAnsi="Calibri"/>
          <w:sz w:val="21"/>
          <w:szCs w:val="21"/>
        </w:rPr>
        <w:t xml:space="preserve">mejora, o pierde un recurso con él, cuéntelo. Este documento mejorará con los recursos que pierda,</w:t>
      </w:r>
    </w:p>
    <w:p>
      <w:pPr>
        <w:spacing w:after="140" w:line="276"/>
      </w:pPr>
      <w:r>
        <w:rPr>
          <w:rFonts w:ascii="Calibri" w:cs="Calibri" w:eastAsia="Calibri" w:hAnsi="Calibri"/>
          <w:sz w:val="21"/>
          <w:szCs w:val="21"/>
        </w:rPr>
        <w:t xml:space="preserve">y no hay otra forma de que mejore.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0 · RESUMEN Y GUÍA DE USO</w:t>
      </w:r>
    </w:p>
    <w:p>
      <w:pPr>
        <w:spacing w:after="140" w:line="276"/>
      </w:pPr>
      <w:r>
        <w:rPr>
          <w:rFonts w:ascii="Calibri" w:cs="Calibri" w:eastAsia="Calibri" w:hAnsi="Calibri"/>
          <w:sz w:val="21"/>
          <w:szCs w:val="21"/>
        </w:rPr>
        <w:t xml:space="preserve">Esta Parte 0 se escribe para cuatro lectores distintos y se puede leer por trozos:</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decidir</w:t>
      </w:r>
      <w:r>
        <w:rPr>
          <w:rFonts w:ascii="Calibri" w:cs="Calibri" w:eastAsia="Calibri" w:hAnsi="Calibri"/>
          <w:sz w:val="21"/>
          <w:szCs w:val="21"/>
        </w:rPr>
        <w:t xml:space="preserve"> si esto se aprueba (Alcaldía, Junta de Gobierno, Concejalía): apartados 0.1, 0.2 y 0.3.</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fiscalizarlo o informarlo</w:t>
      </w:r>
      <w:r>
        <w:rPr>
          <w:rFonts w:ascii="Calibri" w:cs="Calibri" w:eastAsia="Calibri" w:hAnsi="Calibri"/>
          <w:sz w:val="21"/>
          <w:szCs w:val="21"/>
        </w:rPr>
        <w:t xml:space="preserve"> (Intervención, Asesoría Jurídica o Secretaría): apartados 0.1, 0.3, 0.5 y 0.6.</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redactar un pliego con él</w:t>
      </w:r>
      <w:r>
        <w:rPr>
          <w:rFonts w:ascii="Calibri" w:cs="Calibri" w:eastAsia="Calibri" w:hAnsi="Calibri"/>
          <w:sz w:val="21"/>
          <w:szCs w:val="21"/>
        </w:rPr>
        <w:t xml:space="preserve"> un martes por la mañana: apartados 0.4, 0.5 y 0.6, y después directamente las Partes II y III.</w:t>
      </w:r>
    </w:p>
    <w:p>
      <w:pPr>
        <w:pStyle w:val="ListParagraph"/>
        <w:numPr>
          <w:ilvl w:val="0"/>
          <w:numId w:val="1"/>
        </w:numPr>
        <w:spacing w:after="70" w:line="268"/>
      </w:pPr>
      <w:r>
        <w:rPr>
          <w:rFonts w:ascii="Calibri" w:cs="Calibri" w:eastAsia="Calibri" w:hAnsi="Calibri"/>
          <w:sz w:val="21"/>
          <w:szCs w:val="21"/>
        </w:rPr>
        <w:t xml:space="preserve">Quien </w:t>
      </w:r>
      <w:r>
        <w:rPr>
          <w:rFonts w:ascii="Calibri" w:cs="Calibri" w:eastAsia="Calibri" w:hAnsi="Calibri"/>
          <w:b/>
          <w:bCs/>
          <w:sz w:val="21"/>
          <w:szCs w:val="21"/>
        </w:rPr>
        <w:t xml:space="preserve">no trabaja en un ayuntamiento</w:t>
      </w:r>
      <w:r>
        <w:rPr>
          <w:rFonts w:ascii="Calibri" w:cs="Calibri" w:eastAsia="Calibri" w:hAnsi="Calibri"/>
          <w:sz w:val="21"/>
          <w:szCs w:val="21"/>
        </w:rPr>
        <w:t xml:space="preserve"> y quiere saber en qué le afecta esto: el apartado 0.2, y dentro de él el epígrafe «Para el vecino, esto se ve así».</w:t>
      </w:r>
    </w:p>
    <w:p>
      <w:pPr>
        <w:spacing w:after="140" w:line="276"/>
      </w:pPr>
      <w:r>
        <w:rPr>
          <w:rFonts w:ascii="Calibri" w:cs="Calibri" w:eastAsia="Calibri" w:hAnsi="Calibri"/>
          <w:sz w:val="21"/>
          <w:szCs w:val="21"/>
        </w:rPr>
        <w:t xml:space="preserve">Quien no disponga de tiempo ni para esta Parte 0 tiene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 documento. Esta Parte 0 completa pide una hora larga de lectura; sus apartados 0.1, 0.2 y 0.3, cerca de media.</w:t>
      </w:r>
    </w:p>
    <w:p>
      <w:pPr>
        <w:spacing w:after="140" w:line="276"/>
      </w:pPr>
      <w:r>
        <w:rPr>
          <w:rFonts w:ascii="Calibri" w:cs="Calibri" w:eastAsia="Calibri" w:hAnsi="Calibri"/>
          <w:sz w:val="21"/>
          <w:szCs w:val="21"/>
        </w:rPr>
        <w:t xml:space="preserve">En toda esta Parte 0 no hay ni un solo </w:t>
      </w:r>
      <w:r>
        <w:rPr>
          <w:rFonts w:ascii="Calibri" w:cs="Calibri" w:eastAsia="Calibri" w:hAnsi="Calibri"/>
          <w:b/>
          <w:bCs/>
          <w:sz w:val="21"/>
          <w:szCs w:val="21"/>
        </w:rPr>
        <w:t xml:space="preserve">recuadro de texto copiable al pliego</w:t>
      </w:r>
      <w:r>
        <w:rPr>
          <w:rFonts w:ascii="Calibri" w:cs="Calibri" w:eastAsia="Calibri" w:hAnsi="Calibri"/>
          <w:sz w:val="21"/>
          <w:szCs w:val="21"/>
        </w:rPr>
        <w:t xml:space="preserve">. Los recuadros aparecen a partir de la Parte II y van marcados: lo que va dentro se copia al pliego; lo que va fuera, nunca. Nada de lo que aquí se escribe se copia a un pliego: es la explicación del catálogo, no el catálogo.</w:t>
      </w:r>
    </w:p>
    <w:p>
      <w:pPr>
        <w:spacing w:after="140" w:line="276"/>
      </w:pPr>
      <w:r>
        <w:rPr>
          <w:rFonts w:ascii="Calibri" w:cs="Calibri" w:eastAsia="Calibri" w:hAnsi="Calibri"/>
          <w:b/>
          <w:bCs/>
          <w:sz w:val="21"/>
          <w:szCs w:val="21"/>
        </w:rPr>
        <w:t xml:space="preserve">Palabras que aquí no se explican.</w:t>
      </w:r>
      <w:r>
        <w:rPr>
          <w:rFonts w:ascii="Calibri" w:cs="Calibri" w:eastAsia="Calibri" w:hAnsi="Calibri"/>
          <w:sz w:val="21"/>
          <w:szCs w:val="21"/>
        </w:rPr>
        <w:t xml:space="preserve"> Este documento emplea vocabulario de contratación pública y vocabulario técnico. Ambos están definidos en el </w:t>
      </w:r>
      <w:r>
        <w:rPr>
          <w:rFonts w:ascii="Calibri" w:cs="Calibri" w:eastAsia="Calibri" w:hAnsi="Calibri"/>
          <w:b/>
          <w:bCs/>
          <w:sz w:val="21"/>
          <w:szCs w:val="21"/>
        </w:rPr>
        <w:t xml:space="preserve">Anexo XIII (Glosario)</w:t>
      </w:r>
      <w:r>
        <w:rPr>
          <w:rFonts w:ascii="Calibri" w:cs="Calibri" w:eastAsia="Calibri" w:hAnsi="Calibri"/>
          <w:sz w:val="21"/>
          <w:szCs w:val="21"/>
        </w:rPr>
        <w:t xml:space="preserve">, que incluye un bloque específico de términos de contratación escrito para quien no es del oficio. Los cinco imprescindibles para leer esta Parte 0 se definen en el recuadro que abre el apartado 0.1. Las siglas que aparecen desde las primeras tablas se dejan escritas aquí: </w:t>
      </w:r>
      <w:r>
        <w:rPr>
          <w:rFonts w:ascii="Calibri" w:cs="Calibri" w:eastAsia="Calibri" w:hAnsi="Calibri"/>
          <w:b/>
          <w:bCs/>
          <w:sz w:val="21"/>
          <w:szCs w:val="21"/>
        </w:rPr>
        <w:t xml:space="preserve">LCSP</w:t>
      </w:r>
      <w:r>
        <w:rPr>
          <w:rFonts w:ascii="Calibri" w:cs="Calibri" w:eastAsia="Calibri" w:hAnsi="Calibri"/>
          <w:sz w:val="21"/>
          <w:szCs w:val="21"/>
        </w:rPr>
        <w:t xml:space="preserve"> es la Ley 9/2017, de 8 de noviembre, de Contratos del Sector Público; </w:t>
      </w:r>
      <w:r>
        <w:rPr>
          <w:rFonts w:ascii="Calibri" w:cs="Calibri" w:eastAsia="Calibri" w:hAnsi="Calibri"/>
          <w:b/>
          <w:bCs/>
          <w:sz w:val="21"/>
          <w:szCs w:val="21"/>
        </w:rPr>
        <w:t xml:space="preserve">ENS</w:t>
      </w:r>
      <w:r>
        <w:rPr>
          <w:rFonts w:ascii="Calibri" w:cs="Calibri" w:eastAsia="Calibri" w:hAnsi="Calibri"/>
          <w:sz w:val="21"/>
          <w:szCs w:val="21"/>
        </w:rPr>
        <w:t xml:space="preserve"> es el Esquema Nacional de Seguridad, regulado por el Real Decreto (RD) 311/2022; </w:t>
      </w:r>
      <w:r>
        <w:rPr>
          <w:rFonts w:ascii="Calibri" w:cs="Calibri" w:eastAsia="Calibri" w:hAnsi="Calibri"/>
          <w:b/>
          <w:bCs/>
          <w:sz w:val="21"/>
          <w:szCs w:val="21"/>
        </w:rPr>
        <w:t xml:space="preserve">IA</w:t>
      </w:r>
      <w:r>
        <w:rPr>
          <w:rFonts w:ascii="Calibri" w:cs="Calibri" w:eastAsia="Calibri" w:hAnsi="Calibri"/>
          <w:sz w:val="21"/>
          <w:szCs w:val="21"/>
        </w:rPr>
        <w:t xml:space="preserve"> es inteligencia artificial; y </w:t>
      </w:r>
      <w:r>
        <w:rPr>
          <w:rFonts w:ascii="Calibri" w:cs="Calibri" w:eastAsia="Calibri" w:hAnsi="Calibri"/>
          <w:b/>
          <w:bCs/>
          <w:sz w:val="21"/>
          <w:szCs w:val="21"/>
        </w:rPr>
        <w:t xml:space="preserve">PPT</w:t>
      </w:r>
      <w:r>
        <w:rPr>
          <w:rFonts w:ascii="Calibri" w:cs="Calibri" w:eastAsia="Calibri" w:hAnsi="Calibri"/>
          <w:sz w:val="21"/>
          <w:szCs w:val="21"/>
        </w:rPr>
        <w:t xml:space="preserve"> y </w:t>
      </w:r>
      <w:r>
        <w:rPr>
          <w:rFonts w:ascii="Calibri" w:cs="Calibri" w:eastAsia="Calibri" w:hAnsi="Calibri"/>
          <w:b/>
          <w:bCs/>
          <w:sz w:val="21"/>
          <w:szCs w:val="21"/>
        </w:rPr>
        <w:t xml:space="preserve">PCAP</w:t>
      </w:r>
      <w:r>
        <w:rPr>
          <w:rFonts w:ascii="Calibri" w:cs="Calibri" w:eastAsia="Calibri" w:hAnsi="Calibri"/>
          <w:sz w:val="21"/>
          <w:szCs w:val="21"/>
        </w:rPr>
        <w:t xml:space="preserve"> son los dos pliegos de un contrato, el técnico y el administrativo, que se explican en el recuadro del apartado 0.1.</w:t>
      </w:r>
    </w:p>
    <w:p>
      <w:pPr>
        <w:spacing w:after="140" w:line="276"/>
      </w:pPr>
      <w:r>
        <w:rPr>
          <w:rFonts w:ascii="Calibri" w:cs="Calibri" w:eastAsia="Calibri" w:hAnsi="Calibri"/>
          <w:b/>
          <w:bCs/>
          <w:sz w:val="21"/>
          <w:szCs w:val="21"/>
        </w:rPr>
        <w:t xml:space="preserve">Convención de modelos.</w:t>
      </w:r>
      <w:r>
        <w:rPr>
          <w:rFonts w:ascii="Calibri" w:cs="Calibri" w:eastAsia="Calibri" w:hAnsi="Calibri"/>
          <w:sz w:val="21"/>
          <w:szCs w:val="21"/>
        </w:rPr>
        <w:t xml:space="preserve"> Los formularios y modelos que este documento entrega —en la Parte V y en los anexos— van delimitados así:</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sz w:val="21"/>
          <w:szCs w:val="21"/>
        </w:rPr>
        <w:t xml:space="preserve">(texto del modelo, que se copia entero)</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Se declara una sola vez, aquí, y rige en todo el documento: lo que está entre esas dos líneas se copia; lo que está fuera, 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0.0 Qué hay dentro de este documento</w:t>
      </w:r>
    </w:p>
    <w:p>
      <w:pPr>
        <w:pStyle w:val="Heading3"/>
        <w:keepNext/>
        <w:spacing w:after="140" w:before="320"/>
      </w:pPr>
      <w:r>
        <w:rPr>
          <w:rFonts w:ascii="Georgia" w:cs="Georgia" w:eastAsia="Georgia" w:hAnsi="Georgia"/>
          <w:b/>
          <w:bCs/>
          <w:color w:val="2F5496"/>
          <w:sz w:val="22"/>
          <w:szCs w:val="22"/>
        </w:rPr>
        <w:t xml:space="preserve">Las ocho partes: la Parte 0 y las siete numeradas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contiene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0 · Resumen y guía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y qué no es esto, el problema que resuelve, qué se promete y qué no, cómo se usa paso a paso, qué documentos exige el expediente y los tres casos que no cubre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0.0 a 0.7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 · Disposiciones generales y reglas de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articulado: objeto y regla de cierre, ámbito y proporcionalidad, armazón normativo de la necesidad, marco normativo, definiciones, principios, las diez reglas de integración y los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a §9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 · Cláusulas técnicas</w:t>
            </w:r>
            <w:r>
              <w:rPr>
                <w:rFonts w:ascii="Calibri" w:cs="Calibri" w:eastAsia="Calibri" w:hAnsi="Calibri"/>
                <w:b w:val="false"/>
                <w:bCs w:val="false"/>
                <w:sz w:val="18"/>
                <w:szCs w:val="18"/>
              </w:rPr>
              <w:t xml:space="preserve">, para el Pliego de Prescripciones Técnicas (</w:t>
            </w:r>
            <w:r>
              <w:rPr>
                <w:rFonts w:ascii="Calibri" w:cs="Calibri" w:eastAsia="Calibri" w:hAnsi="Calibri"/>
                <w:b/>
                <w:bCs/>
                <w:sz w:val="18"/>
                <w:szCs w:val="18"/>
              </w:rPr>
              <w:t xml:space="preserve">PPT</w:t>
            </w:r>
            <w:r>
              <w:rPr>
                <w:rFonts w:ascii="Calibri" w:cs="Calibri" w:eastAsia="Calibri" w:hAnsi="Calibri"/>
                <w:b w:val="false"/>
                <w:bCs w:val="false"/>
                <w:sz w:val="18"/>
                <w:szCs w:val="18"/>
              </w:rPr>
              <w:t xml:space="preserve">: lo que hay que hacer)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diez cláusulas </w:t>
            </w:r>
            <w:r>
              <w:rPr>
                <w:rFonts w:ascii="Calibri" w:cs="Calibri" w:eastAsia="Calibri" w:hAnsi="Calibri"/>
                <w:b w:val="false"/>
                <w:bCs w:val="false"/>
                <w:color w:val="2F5496"/>
                <w:sz w:val="18"/>
                <w:szCs w:val="18"/>
              </w:rPr>
              <w:t xml:space="preserve">DT-0·v3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con su texto copiable, más la tabla de dependencias, la carga de verificación y el cuadro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II.0 a 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III · Cláusulas administrativas</w:t>
            </w:r>
            <w:r>
              <w:rPr>
                <w:rFonts w:ascii="Calibri" w:cs="Calibri" w:eastAsia="Calibri" w:hAnsi="Calibri"/>
                <w:b w:val="false"/>
                <w:bCs w:val="false"/>
                <w:sz w:val="18"/>
                <w:szCs w:val="18"/>
              </w:rPr>
              <w:t xml:space="preserve">, para el Pliego de Cláusulas Administrativas Particulares (</w:t>
            </w:r>
            <w:r>
              <w:rPr>
                <w:rFonts w:ascii="Calibri" w:cs="Calibri" w:eastAsia="Calibri" w:hAnsi="Calibri"/>
                <w:b/>
                <w:bCs/>
                <w:sz w:val="18"/>
                <w:szCs w:val="18"/>
              </w:rPr>
              <w:t xml:space="preserve">PCAP</w:t>
            </w:r>
            <w:r>
              <w:rPr>
                <w:rFonts w:ascii="Calibri" w:cs="Calibri" w:eastAsia="Calibri" w:hAnsi="Calibri"/>
                <w:b w:val="false"/>
                <w:bCs w:val="false"/>
                <w:sz w:val="18"/>
                <w:szCs w:val="18"/>
              </w:rPr>
              <w:t xml:space="preserve">: con qué reglas y con qué consecuencias)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catorce cláusulas </w:t>
            </w:r>
            <w:r>
              <w:rPr>
                <w:rFonts w:ascii="Calibri" w:cs="Calibri" w:eastAsia="Calibri" w:hAnsi="Calibri"/>
                <w:b w:val="false"/>
                <w:bCs w:val="false"/>
                <w:color w:val="2F5496"/>
                <w:sz w:val="18"/>
                <w:szCs w:val="18"/>
              </w:rPr>
              <w:t xml:space="preserve">ADM-1·v3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ADM-14·v3</w:t>
            </w:r>
            <w:r>
              <w:rPr>
                <w:rFonts w:ascii="Calibri" w:cs="Calibri" w:eastAsia="Calibri" w:hAnsi="Calibri"/>
                <w:b w:val="false"/>
                <w:bCs w:val="false"/>
                <w:sz w:val="18"/>
                <w:szCs w:val="18"/>
              </w:rPr>
              <w:t xml:space="preserve">, con su texto copiable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III.1 a III.14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IV · Memoria justificativa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qué cada instrumento es legal y proporcionado, el estado real de la doctrina, el coste, el conflicto de interés y lo que esta memoria no acredita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IV.0 y M1 a M11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 · Circuito del expediente y documentos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circuito operativo completo: los veintiún documentos, quién firma cada uno, qué se publica, el régimen de recursos, la carpeta de defensa, los circuitos abreviados y la lista de comprobación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V.1 a V.11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 · Aplicación piloto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catálogo aplicado de principio a fin a un contrato municipal real, con su ficha, su baremo y sus cifras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VI.1 a VI.8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VII · Anexos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veinticinco anexos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 a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Los veinticinco anexos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Anexo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Título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Para qué sirve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Maestro de Exigencias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exigencia, un solo instrumento. Impide el doble cómputo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firmada, no entra en 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del paso 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el baremo entero, con el precio dentro, y avisa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transcribe al pliego técnico y se compra con el precio ofertado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menciones arrastra cada cláusula que se marque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(modelo)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el licitador firma con su oferta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exigencias que ninguna norma impone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64 LCSP, antes de aprobar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consolidada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corchetes del catálogo, con su valor recomendado y cuándo moverlo. X.2, umbrales; X.3, Cuadro de Precios Unitarios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de vigencia 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obligación legal ya exigible y qué es exigencia anticipada voluntariamente, con fecha de corte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correspondencias v2 →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Equivalencia cláusula a cláusula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Términos técnicos y términos de contratación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formato que el pliego puede exigir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resolución de aprobación anual del Catálogo de Exigencias Tecnológicas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pieza que hace que la revisión anual ocurra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municipal de uso de inteligencia artificial generativa por el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mitad municipal de la obligación que </w:t>
            </w:r>
            <w:r>
              <w:rPr>
                <w:rFonts w:ascii="Calibri" w:cs="Calibri" w:eastAsia="Calibri" w:hAnsi="Calibri"/>
                <w:b w:val="false"/>
                <w:bCs w:val="false"/>
                <w:color w:val="2F5496"/>
                <w:sz w:val="18"/>
                <w:szCs w:val="18"/>
              </w:rPr>
              <w:t xml:space="preserve">ADM-13·v3</w:t>
            </w:r>
            <w:r>
              <w:rPr>
                <w:rFonts w:ascii="Calibri" w:cs="Calibri" w:eastAsia="Calibri" w:hAnsi="Calibri"/>
                <w:b w:val="false"/>
                <w:bCs w:val="false"/>
                <w:sz w:val="18"/>
                <w:szCs w:val="18"/>
              </w:rPr>
              <w:t xml:space="preserve"> impone al contratista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Fórmulas modelo de valoración y tratamiento de las ofertas anormalmente bajas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fórmulas que el baremo necesita y el régimen del art. 149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ensayo de reversibilidad, reversión, Comisión de Seguimiento y acceso de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Extracto de vigencia normativa transcribible al pliego de prescripciones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DT-1·v3</w:t>
            </w:r>
            <w:r>
              <w:rPr>
                <w:rFonts w:ascii="Calibri" w:cs="Calibri" w:eastAsia="Calibri" w:hAnsi="Calibri"/>
                <w:b w:val="false"/>
                <w:bCs w:val="false"/>
                <w:sz w:val="18"/>
                <w:szCs w:val="18"/>
              </w:rPr>
              <w:t xml:space="preserve"> invoca y el pliego tiene que reproducir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relación cerrada y rúbrica genéricos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ADM-9·v3</w:t>
            </w:r>
            <w:r>
              <w:rPr>
                <w:rFonts w:ascii="Calibri" w:cs="Calibri" w:eastAsia="Calibri" w:hAnsi="Calibri"/>
                <w:b w:val="false"/>
                <w:bCs w:val="false"/>
                <w:sz w:val="18"/>
                <w:szCs w:val="18"/>
              </w:rPr>
              <w:t xml:space="preserve"> exige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certificaciones y equivalencias admisibles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se admite además de la certificación nominada, y con qué prueba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anuncio y de informe de consulta preliminar del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Prestaciones de carácter intelectual: regla de motivación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 esa calificación dependen el 51 % del art. 145.4 y la exclusión del procedimiento abreviado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ya formalizados con la versión 2 del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hacer con un contrato vivo redactado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composición y numeración de los apéndices técnicos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Cómo se numeran los apéndices que las cláusulas técnicas exigen</w:t>
            </w:r>
          </w:p>
        </w:tc>
      </w:tr>
    </w:tbl>
    <w:p>
      <w:pPr>
        <w:spacing w:after="200"/>
      </w:pPr>
    </w:p>
    <w:p>
      <w:pPr>
        <w:spacing w:after="140" w:line="276"/>
      </w:pPr>
      <w:r>
        <w:rPr>
          <w:rFonts w:ascii="Calibri" w:cs="Calibri" w:eastAsia="Calibri" w:hAnsi="Calibri"/>
          <w:sz w:val="21"/>
          <w:szCs w:val="21"/>
        </w:rPr>
        <w:t xml:space="preserve">Cierra la Parte VII una </w:t>
      </w:r>
      <w:r>
        <w:rPr>
          <w:rFonts w:ascii="Calibri" w:cs="Calibri" w:eastAsia="Calibri" w:hAnsi="Calibri"/>
          <w:b/>
          <w:bCs/>
          <w:sz w:val="21"/>
          <w:szCs w:val="21"/>
        </w:rPr>
        <w:t xml:space="preserve">nota de alcance</w:t>
      </w:r>
      <w:r>
        <w:rPr>
          <w:rFonts w:ascii="Calibri" w:cs="Calibri" w:eastAsia="Calibri" w:hAnsi="Calibri"/>
          <w:sz w:val="21"/>
          <w:szCs w:val="21"/>
        </w:rPr>
        <w:t xml:space="preserve"> que enumera, con nombre, los instrumentos que esta versión </w:t>
      </w:r>
      <w:r>
        <w:rPr>
          <w:rFonts w:ascii="Calibri" w:cs="Calibri" w:eastAsia="Calibri" w:hAnsi="Calibri"/>
          <w:b/>
          <w:bCs/>
          <w:sz w:val="21"/>
          <w:szCs w:val="21"/>
        </w:rPr>
        <w:t xml:space="preserve">no</w:t>
      </w:r>
      <w:r>
        <w:rPr>
          <w:rFonts w:ascii="Calibri" w:cs="Calibri" w:eastAsia="Calibri" w:hAnsi="Calibri"/>
          <w:sz w:val="21"/>
          <w:szCs w:val="21"/>
        </w:rPr>
        <w:t xml:space="preserve"> entrega.</w:t>
      </w:r>
    </w:p>
    <w:p>
      <w:pPr>
        <w:pStyle w:val="Heading3"/>
        <w:keepNext/>
        <w:spacing w:after="140" w:before="320"/>
      </w:pPr>
      <w:r>
        <w:rPr>
          <w:rFonts w:ascii="Georgia" w:cs="Georgia" w:eastAsia="Georgia" w:hAnsi="Georgia"/>
          <w:b/>
          <w:bCs/>
          <w:color w:val="2F5496"/>
          <w:sz w:val="22"/>
          <w:szCs w:val="22"/>
        </w:rPr>
        <w:t xml:space="preserve">Índice de las cláusulas</w:t>
      </w:r>
    </w:p>
    <w:p>
      <w:pPr>
        <w:spacing w:after="140" w:line="276"/>
      </w:pPr>
      <w:r>
        <w:rPr>
          <w:rFonts w:ascii="Calibri" w:cs="Calibri" w:eastAsia="Calibri" w:hAnsi="Calibri"/>
          <w:sz w:val="21"/>
          <w:szCs w:val="21"/>
        </w:rPr>
        <w:t xml:space="preserve">Las veinticuatro cláusulas, con el instrumento único que les asigna el Anexo I y su punto de partida en el cuadro de intensidad de la Parte I §2.2. Resuelve la mayor parte de las consultas del redactor sin abrir el articulado.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único (Anexo 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 de 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Esquema Nacional de Seguridad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(impuesta por norma)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sistema de gestión de la IA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 adscripción de medios ·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adaptación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responsable del contrato, Comisión de Seguimiento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contractuales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(bloque A, cuando concurra su presupuesto)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Propiedad intelectual, algoritmos y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y sólo si se ha incorporado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y su Anexo V, del que depende</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concurren las cuatro circunstancias de su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herramientas de inteligencia artificial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si el contratista trata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como red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 + cómputo en el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se incorpora por defecto</w:t>
            </w:r>
          </w:p>
        </w:tc>
      </w:tr>
    </w:tbl>
    <w:p>
      <w:pPr>
        <w:spacing w:after="200"/>
      </w:pPr>
    </w:p>
    <w:p>
      <w:pPr>
        <w:spacing w:after="140" w:line="276"/>
      </w:pPr>
      <w:r>
        <w:rPr>
          <w:rFonts w:ascii="Calibri" w:cs="Calibri" w:eastAsia="Calibri" w:hAnsi="Calibri"/>
          <w:i/>
          <w:iCs/>
          <w:sz w:val="21"/>
          <w:szCs w:val="21"/>
        </w:rPr>
        <w:t xml:space="preserve">«Punto de partida» significa lo que el cuadro de intensidad de la Parte I §2.2 recomienda como arranque de la discusión, no una decisión tomada: ninguna cláusula entra sin ficha de aplicabilidad firmada.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0.1 Qué es esto, y sobre todo qué no es</w:t>
      </w:r>
    </w:p>
    <w:p>
      <w:pPr>
        <w:spacing w:after="140" w:line="276"/>
      </w:pPr>
      <w:r>
        <w:rPr>
          <w:rFonts w:ascii="Calibri" w:cs="Calibri" w:eastAsia="Calibri" w:hAnsi="Calibri"/>
          <w:b/>
          <w:bCs/>
          <w:sz w:val="21"/>
          <w:szCs w:val="21"/>
        </w:rPr>
        <w:t xml:space="preserve">Palabras que se usan aquí desde la primera línea.</w:t>
      </w:r>
      <w:r>
        <w:rPr>
          <w:rFonts w:ascii="Calibri" w:cs="Calibri" w:eastAsia="Calibri" w:hAnsi="Calibri"/>
          <w:sz w:val="21"/>
          <w:szCs w:val="21"/>
        </w:rPr>
        <w:t xml:space="preserve"> El resto está en el Anexo XIII.</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Pliego</w:t>
      </w:r>
      <w:r>
        <w:rPr>
          <w:rFonts w:ascii="Georgia" w:cs="Georgia" w:eastAsia="Georgia" w:hAnsi="Georgia"/>
          <w:i/>
          <w:iCs/>
          <w:color w:val="595959"/>
          <w:sz w:val="20"/>
          <w:szCs w:val="20"/>
        </w:rPr>
        <w:t xml:space="preserve">: el documento que fija, antes de convocar el concurso, qué hay que hacer y con qué reglas. Es lo único que obliga al que gane. Todo contrato de cierta cuantía tiene dos: el técnico (PPT) y el administrativo (PCAP).</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Expediente</w:t>
      </w:r>
      <w:r>
        <w:rPr>
          <w:rFonts w:ascii="Georgia" w:cs="Georgia" w:eastAsia="Georgia" w:hAnsi="Georgia"/>
          <w:i/>
          <w:iCs/>
          <w:color w:val="595959"/>
          <w:sz w:val="20"/>
          <w:szCs w:val="20"/>
        </w:rPr>
        <w:t xml:space="preserve">: la carpeta de documentos que un ayuntamiento tiene que formar antes de convocar un concurso, y en la que consta por escrito por qué contrata, qué necesita y por qué exige lo que exige.</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Órgano de contratación</w:t>
      </w:r>
      <w:r>
        <w:rPr>
          <w:rFonts w:ascii="Georgia" w:cs="Georgia" w:eastAsia="Georgia" w:hAnsi="Georgia"/>
          <w:i/>
          <w:iCs/>
          <w:color w:val="595959"/>
          <w:sz w:val="20"/>
          <w:szCs w:val="20"/>
        </w:rPr>
        <w:t xml:space="preserve">: quien decide contratar y firma el contrato en nombre del Ayuntamiento —según el caso, la Alcaldía, la Junta de Gobierno o un concejal por delegación—.</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Licitador</w:t>
      </w:r>
      <w:r>
        <w:rPr>
          <w:rFonts w:ascii="Georgia" w:cs="Georgia" w:eastAsia="Georgia" w:hAnsi="Georgia"/>
          <w:i/>
          <w:iCs/>
          <w:color w:val="595959"/>
          <w:sz w:val="20"/>
          <w:szCs w:val="20"/>
        </w:rPr>
        <w:t xml:space="preserve">: la empresa que se presenta al concurso. </w:t>
      </w:r>
      <w:r>
        <w:rPr>
          <w:rFonts w:ascii="Georgia" w:cs="Georgia" w:eastAsia="Georgia" w:hAnsi="Georgia"/>
          <w:b/>
          <w:bCs/>
          <w:i/>
          <w:iCs/>
          <w:color w:val="595959"/>
          <w:sz w:val="20"/>
          <w:szCs w:val="20"/>
        </w:rPr>
        <w:t xml:space="preserve">Adjudicatario</w:t>
      </w:r>
      <w:r>
        <w:rPr>
          <w:rFonts w:ascii="Georgia" w:cs="Georgia" w:eastAsia="Georgia" w:hAnsi="Georgia"/>
          <w:i/>
          <w:iCs/>
          <w:color w:val="595959"/>
          <w:sz w:val="20"/>
          <w:szCs w:val="20"/>
        </w:rPr>
        <w:t xml:space="preserve"> o </w:t>
      </w:r>
      <w:r>
        <w:rPr>
          <w:rFonts w:ascii="Georgia" w:cs="Georgia" w:eastAsia="Georgia" w:hAnsi="Georgia"/>
          <w:b/>
          <w:bCs/>
          <w:i/>
          <w:iCs/>
          <w:color w:val="595959"/>
          <w:sz w:val="20"/>
          <w:szCs w:val="20"/>
        </w:rPr>
        <w:t xml:space="preserve">contratista</w:t>
      </w:r>
      <w:r>
        <w:rPr>
          <w:rFonts w:ascii="Georgia" w:cs="Georgia" w:eastAsia="Georgia" w:hAnsi="Georgia"/>
          <w:i/>
          <w:iCs/>
          <w:color w:val="595959"/>
          <w:sz w:val="20"/>
          <w:szCs w:val="20"/>
        </w:rPr>
        <w:t xml:space="preserve">: la que lo gana y ejecuta el contrato.</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Memoria justificativa</w:t>
      </w:r>
      <w:r>
        <w:rPr>
          <w:rFonts w:ascii="Georgia" w:cs="Georgia" w:eastAsia="Georgia" w:hAnsi="Georgia"/>
          <w:i/>
          <w:iCs/>
          <w:color w:val="595959"/>
          <w:sz w:val="20"/>
          <w:szCs w:val="20"/>
        </w:rPr>
        <w:t xml:space="preserve">: el documento del expediente en el que el Ayuntamiento explica y motiva, exigencia por exigencia, por qué pide lo que pide. Es donde se gana o se pierde un recurso.</w:t>
      </w:r>
    </w:p>
    <w:p>
      <w:pPr>
        <w:spacing w:after="140" w:line="276"/>
      </w:pPr>
      <w:r>
        <w:rPr>
          <w:rFonts w:ascii="Calibri" w:cs="Calibri" w:eastAsia="Calibri" w:hAnsi="Calibri"/>
          <w:b/>
          <w:bCs/>
          <w:sz w:val="21"/>
          <w:szCs w:val="21"/>
        </w:rPr>
        <w:t xml:space="preserve">En una frase.</w:t>
      </w:r>
      <w:r>
        <w:rPr>
          <w:rFonts w:ascii="Calibri" w:cs="Calibri" w:eastAsia="Calibri" w:hAnsi="Calibri"/>
          <w:sz w:val="21"/>
          <w:szCs w:val="21"/>
        </w:rPr>
        <w:t xml:space="preserve"> Es un catálogo de cláusulas ya redactadas —con su justificación, su medio de prueba, su forma de verificación y su consecuencia— del que el redactor de un pliego toma únicamente las que la necesidad de </w:t>
      </w:r>
      <w:r>
        <w:rPr>
          <w:rFonts w:ascii="Calibri" w:cs="Calibri" w:eastAsia="Calibri" w:hAnsi="Calibri"/>
          <w:i/>
          <w:iCs/>
          <w:sz w:val="21"/>
          <w:szCs w:val="21"/>
        </w:rPr>
        <w:t xml:space="preserve">ese</w:t>
      </w:r>
      <w:r>
        <w:rPr>
          <w:rFonts w:ascii="Calibri" w:cs="Calibri" w:eastAsia="Calibri" w:hAnsi="Calibri"/>
          <w:sz w:val="21"/>
          <w:szCs w:val="21"/>
        </w:rPr>
        <w:t xml:space="preserve"> expediente justifica, y deja fuera todas las demás.</w:t>
      </w:r>
    </w:p>
    <w:p>
      <w:pPr>
        <w:spacing w:after="140" w:line="276"/>
      </w:pPr>
      <w:r>
        <w:rPr>
          <w:rFonts w:ascii="Calibri" w:cs="Calibri" w:eastAsia="Calibri" w:hAnsi="Calibri"/>
          <w:sz w:val="21"/>
          <w:szCs w:val="21"/>
        </w:rPr>
        <w:t xml:space="preserve">Las palabras que importan son </w:t>
      </w:r>
      <w:r>
        <w:rPr>
          <w:rFonts w:ascii="Calibri" w:cs="Calibri" w:eastAsia="Calibri" w:hAnsi="Calibri"/>
          <w:b/>
          <w:bCs/>
          <w:sz w:val="21"/>
          <w:szCs w:val="21"/>
        </w:rPr>
        <w:t xml:space="preserve">«del que se toma lo que ese expediente necesita»</w:t>
      </w:r>
      <w:r>
        <w:rPr>
          <w:rFonts w:ascii="Calibri" w:cs="Calibri" w:eastAsia="Calibri" w:hAnsi="Calibri"/>
          <w:sz w:val="21"/>
          <w:szCs w:val="21"/>
        </w:rPr>
        <w:t xml:space="preserve">. Un catálogo no se aplica: se usa. La versión 2.0 de este documento, de junio de 2026, se autodefinía como «clausulado tipo para su incorporación transversal en los pliegos […] de cualquier licitación del Ayuntamiento, con independencia del área gestora». Esa frase ha desaparecido y no vuelve. Era, literalmente, el motivo por el que el área de contratación municipal escribió que las cláusulas «nacen a partir de unas necesidades que no se demandan por ninguno de los gestores y si no es así no dejan de ser algo artificioso al contrato».</w:t>
      </w:r>
    </w:p>
    <w:p>
      <w:pPr>
        <w:pStyle w:val="Heading3"/>
        <w:keepNext/>
        <w:spacing w:after="140" w:before="320"/>
      </w:pPr>
      <w:r>
        <w:rPr>
          <w:rFonts w:ascii="Georgia" w:cs="Georgia" w:eastAsia="Georgia" w:hAnsi="Georgia"/>
          <w:b/>
          <w:bCs/>
          <w:color w:val="2F5496"/>
          <w:sz w:val="22"/>
          <w:szCs w:val="22"/>
        </w:rPr>
        <w:t xml:space="preserve">Lo que este documento NO es</w:t>
      </w:r>
    </w:p>
    <w:p>
      <w:pPr>
        <w:spacing w:after="140" w:line="276"/>
      </w:pPr>
      <w:r>
        <w:rPr>
          <w:rFonts w:ascii="Calibri" w:cs="Calibri" w:eastAsia="Calibri" w:hAnsi="Calibri"/>
          <w:b/>
          <w:bCs/>
          <w:sz w:val="21"/>
          <w:szCs w:val="21"/>
        </w:rPr>
        <w:t xml:space="preserve">No es una norma.</w:t>
      </w:r>
      <w:r>
        <w:rPr>
          <w:rFonts w:ascii="Calibri" w:cs="Calibri" w:eastAsia="Calibri" w:hAnsi="Calibri"/>
          <w:sz w:val="21"/>
          <w:szCs w:val="21"/>
        </w:rPr>
        <w:t xml:space="preserve"> No obliga a nadie por sí mismo. No crea competencias, no modifica la LCSP ni ninguna otra. Sólo produce efectos cuando un órgano de contratación decide copiar una cláusula concreta a un pliego concreto, y entonces quien obliga es el pliego, no este documento.</w:t>
      </w:r>
    </w:p>
    <w:p>
      <w:pPr>
        <w:spacing w:after="140" w:line="276"/>
      </w:pPr>
      <w:r>
        <w:rPr>
          <w:rFonts w:ascii="Calibri" w:cs="Calibri" w:eastAsia="Calibri" w:hAnsi="Calibri"/>
          <w:b/>
          <w:bCs/>
          <w:sz w:val="21"/>
          <w:szCs w:val="21"/>
        </w:rPr>
        <w:t xml:space="preserve">No es de aplicación automática ni transversal.</w:t>
      </w:r>
      <w:r>
        <w:rPr>
          <w:rFonts w:ascii="Calibri" w:cs="Calibri" w:eastAsia="Calibri" w:hAnsi="Calibri"/>
          <w:sz w:val="21"/>
          <w:szCs w:val="21"/>
        </w:rPr>
        <w:t xml:space="preserve"> Ninguna cláusula entra en un pliego por el hecho de que exista aquí. Cada una entra —o no— por decisión motivada del expediente. La regla de cierre está escrita en la Parte I y se materializa en el Anexo II: </w:t>
      </w:r>
      <w:r>
        <w:rPr>
          <w:rFonts w:ascii="Calibri" w:cs="Calibri" w:eastAsia="Calibri" w:hAnsi="Calibri"/>
          <w:i/>
          <w:iCs/>
          <w:sz w:val="21"/>
          <w:szCs w:val="21"/>
        </w:rPr>
        <w:t xml:space="preserve">lo que no tenga ficha de aplicabilidad cumplimentada y firmada se marca NO APLICA y no se copia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No es un pliego, ni un pliego-tipo.</w:t>
      </w:r>
      <w:r>
        <w:rPr>
          <w:rFonts w:ascii="Calibri" w:cs="Calibri" w:eastAsia="Calibri" w:hAnsi="Calibri"/>
          <w:sz w:val="21"/>
          <w:szCs w:val="21"/>
        </w:rPr>
        <w:t xml:space="preserve"> El pliego lo redacta y lo aprueba cada órgano de contratación. Este documento le da el texto y el andamiaje justificativo; no le da la decisión.</w:t>
      </w:r>
    </w:p>
    <w:p>
      <w:pPr>
        <w:spacing w:after="140" w:line="276"/>
      </w:pPr>
      <w:r>
        <w:rPr>
          <w:rFonts w:ascii="Calibri" w:cs="Calibri" w:eastAsia="Calibri" w:hAnsi="Calibri"/>
          <w:b/>
          <w:bCs/>
          <w:sz w:val="21"/>
          <w:szCs w:val="21"/>
        </w:rPr>
        <w:t xml:space="preserve">No sustituye a la memoria justificativa de ningún expediente.</w:t>
      </w:r>
      <w:r>
        <w:rPr>
          <w:rFonts w:ascii="Calibri" w:cs="Calibri" w:eastAsia="Calibri" w:hAnsi="Calibri"/>
          <w:sz w:val="21"/>
          <w:szCs w:val="21"/>
        </w:rPr>
        <w:t xml:space="preserve"> Esto es lo primero que va a mirar quien tiene que informar jurídicamente el expediente y quien tiene que fiscalizarlo —el secretario y el interventor municipales, que son funcionarios de habilitación nacional: se seleccionan por el Estado y no por cada ayuntamiento, de modo que su informe no depende de quien gobierna la Corporación—, y conviene decirlo con un precedente real y del tribunal competente:</w:t>
      </w:r>
    </w:p>
    <w:p>
      <w:pPr>
        <w:pBdr>
          <w:left w:val="single" w:color="BFBFBF" w:sz="12" w:space="8"/>
        </w:pBdr>
        <w:spacing w:after="140" w:line="264"/>
        <w:ind w:left="400"/>
      </w:pPr>
      <w:r>
        <w:rPr>
          <w:rFonts w:ascii="Georgia" w:cs="Georgia" w:eastAsia="Georgia" w:hAnsi="Georgia"/>
          <w:i/>
          <w:iCs/>
          <w:color w:val="595959"/>
          <w:sz w:val="20"/>
          <w:szCs w:val="20"/>
        </w:rPr>
        <w:t xml:space="preserve">El Tribunal Administrativo de Contratación Pública de la Comunidad de Madrid (en adelante, </w:t>
      </w:r>
      <w:r>
        <w:rPr>
          <w:rFonts w:ascii="Georgia" w:cs="Georgia" w:eastAsia="Georgia" w:hAnsi="Georgia"/>
          <w:b/>
          <w:bCs/>
          <w:i/>
          <w:iCs/>
          <w:color w:val="595959"/>
          <w:sz w:val="20"/>
          <w:szCs w:val="20"/>
        </w:rPr>
        <w:t xml:space="preserve">TACP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 (expediente y recurso 383/2024)</w:t>
      </w:r>
      <w:r>
        <w:rPr>
          <w:rFonts w:ascii="Georgia" w:cs="Georgia" w:eastAsia="Georgia" w:hAnsi="Georgia"/>
          <w:i/>
          <w:iCs/>
          <w:color w:val="595959"/>
          <w:sz w:val="20"/>
          <w:szCs w:val="20"/>
        </w:rPr>
        <w:t xml:space="preserve">, estimó el recurso de TECNOLOGÍAS VIALES APLICADAS TEVA, S.L. contra los pliegos del contrato del sistema de gestión de la zona de bajas emisiones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(valor estimado 1.657.922,40 euros, 30 meses), porque exigían certificaciones de conformidad con el Esquema Nacional de Seguridad de nivel ALTO sin justificarlo en el expediente. El razonamiento, literal: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Precisión sobre el fallo: la parte dispositiva acuerda </w:t>
      </w:r>
      <w:r>
        <w:rPr>
          <w:rFonts w:ascii="Georgia" w:cs="Georgia" w:eastAsia="Georgia" w:hAnsi="Georgia"/>
          <w:b/>
          <w:bCs/>
          <w:i/>
          <w:iCs/>
          <w:color w:val="595959"/>
          <w:sz w:val="20"/>
          <w:szCs w:val="20"/>
        </w:rPr>
        <w:t xml:space="preserve">estimar el recurso</w:t>
      </w:r>
      <w:r>
        <w:rPr>
          <w:rFonts w:ascii="Georgia" w:cs="Georgia" w:eastAsia="Georgia" w:hAnsi="Georgia"/>
          <w:i/>
          <w:iCs/>
          <w:color w:val="595959"/>
          <w:sz w:val="20"/>
          <w:szCs w:val="20"/>
        </w:rPr>
        <w:t xml:space="preserve">; la </w:t>
      </w:r>
      <w:r>
        <w:rPr>
          <w:rFonts w:ascii="Georgia" w:cs="Georgia" w:eastAsia="Georgia" w:hAnsi="Georgia"/>
          <w:b/>
          <w:bCs/>
          <w:i/>
          <w:iCs/>
          <w:color w:val="595959"/>
          <w:sz w:val="20"/>
          <w:szCs w:val="20"/>
        </w:rPr>
        <w:t xml:space="preserve">anulación de los pliegos</w:t>
      </w:r>
      <w:r>
        <w:rPr>
          <w:rFonts w:ascii="Georgia" w:cs="Georgia" w:eastAsia="Georgia" w:hAnsi="Georgia"/>
          <w:i/>
          <w:iCs/>
          <w:color w:val="595959"/>
          <w:sz w:val="20"/>
          <w:szCs w:val="20"/>
        </w:rPr>
        <w:t xml:space="preserve"> se declara en el fundamento de derecho quinto, como consecuencia de la estimación.</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hyperlink w:history="1" r:id="rIdzt109vm9g56joqprm1tvh">
        <w:r>
          <w:rPr>
            <w:rFonts w:ascii="Georgia" w:cs="Georgia" w:eastAsia="Georgia" w:hAnsi="Georgia"/>
            <w:i/>
            <w:iCs/>
            <w:color w:val="2F5496"/>
            <w:sz w:val="20"/>
            <w:szCs w:val="20"/>
            <w:u w:val="single"/>
          </w:rPr>
          <w:t xml:space="preserve">Texto íntegro de la resolución</w:t>
        </w:r>
      </w:hyperlink>
      <w:r>
        <w:rPr>
          <w:rFonts w:ascii="Georgia" w:cs="Georgia" w:eastAsia="Georgia" w:hAnsi="Georgia"/>
          <w:i/>
          <w:iCs/>
          <w:color w:val="595959"/>
          <w:sz w:val="20"/>
          <w:szCs w:val="20"/>
        </w:rPr>
        <w:t xml:space="preserve">. Se cita como doctrina general trasladada por analogía —resuelve sobre justificación en el expediente, no sobre inteligencia artificial—, y su texto íntegro debe incorporarse al expediente que la invoque. Tratamiento completo, con los hechos y las consecuencias operativas: Parte IV, IV.0 y M8.2, y Parte V, V.5.6.</w:t>
      </w:r>
    </w:p>
    <w:p>
      <w:pPr>
        <w:spacing w:after="140" w:line="276"/>
      </w:pPr>
      <w:r>
        <w:rPr>
          <w:rFonts w:ascii="Calibri" w:cs="Calibri" w:eastAsia="Calibri" w:hAnsi="Calibri"/>
          <w:b/>
          <w:bCs/>
          <w:sz w:val="21"/>
          <w:szCs w:val="21"/>
        </w:rPr>
        <w:t xml:space="preserve">No es admisible justificar en sede de recurso.</w:t>
      </w:r>
      <w:r>
        <w:rPr>
          <w:rFonts w:ascii="Calibri" w:cs="Calibri" w:eastAsia="Calibri" w:hAnsi="Calibri"/>
          <w:sz w:val="21"/>
          <w:szCs w:val="21"/>
        </w:rPr>
        <w:t xml:space="preserve"> Un ayuntamiento de la Comunidad de Madrid perdió sus pliegos por eso, con este mismo tribunal, sobre esta misma materia. De ahí la regla de uso de todo el documento: la justificación de una exigencia no está en este catálogo, está en la memoria del expediente que la incorpora. Si no está ahí antes de publicar, después ya no se arregla.</w:t>
      </w:r>
    </w:p>
    <w:p>
      <w:pPr>
        <w:spacing w:after="140" w:line="276"/>
      </w:pPr>
      <w:r>
        <w:rPr>
          <w:rFonts w:ascii="Calibri" w:cs="Calibri" w:eastAsia="Calibri" w:hAnsi="Calibri"/>
          <w:b/>
          <w:bCs/>
          <w:sz w:val="21"/>
          <w:szCs w:val="21"/>
        </w:rPr>
        <w:t xml:space="preserve">No es un contrato de resultados tecnológicos.</w:t>
      </w:r>
      <w:r>
        <w:rPr>
          <w:rFonts w:ascii="Calibri" w:cs="Calibri" w:eastAsia="Calibri" w:hAnsi="Calibri"/>
          <w:sz w:val="21"/>
          <w:szCs w:val="21"/>
        </w:rPr>
        <w:t xml:space="preserve"> No garantiza que el mercado evolucione en una dirección determinada, ni que un producto concreto mejore. Lo que hace es convertir capacidades </w:t>
      </w:r>
      <w:r>
        <w:rPr>
          <w:rFonts w:ascii="Calibri" w:cs="Calibri" w:eastAsia="Calibri" w:hAnsi="Calibri"/>
          <w:b/>
          <w:bCs/>
          <w:sz w:val="21"/>
          <w:szCs w:val="21"/>
        </w:rPr>
        <w:t xml:space="preserve">concretas y comprobables</w:t>
      </w:r>
      <w:r>
        <w:rPr>
          <w:rFonts w:ascii="Calibri" w:cs="Calibri" w:eastAsia="Calibri" w:hAnsi="Calibri"/>
          <w:sz w:val="21"/>
          <w:szCs w:val="21"/>
        </w:rPr>
        <w:t xml:space="preserve"> —listadas y fechadas en el Anexo V del ejercicio— en obligaciones del contrato, en lugar de dejarlas en una promesa genérica de «mantenerse actualizado», que es inexigible y, además, indeterminada.</w:t>
      </w:r>
    </w:p>
    <w:p>
      <w:pPr>
        <w:spacing w:after="140" w:line="276"/>
      </w:pPr>
      <w:r>
        <w:rPr>
          <w:rFonts w:ascii="Calibri" w:cs="Calibri" w:eastAsia="Calibri" w:hAnsi="Calibri"/>
          <w:b/>
          <w:bCs/>
          <w:sz w:val="21"/>
          <w:szCs w:val="21"/>
        </w:rPr>
        <w:t xml:space="preserve">No es un documento de vocabulario.</w:t>
      </w:r>
      <w:r>
        <w:rPr>
          <w:rFonts w:ascii="Calibri" w:cs="Calibri" w:eastAsia="Calibri" w:hAnsi="Calibri"/>
          <w:sz w:val="21"/>
          <w:szCs w:val="21"/>
        </w:rPr>
        <w:t xml:space="preserve"> «Deep tech», «agentización» y demás términos del sector aparecen en el título y en el glosario porque describen de qué habla el documento, pero </w:t>
      </w:r>
      <w:r>
        <w:rPr>
          <w:rFonts w:ascii="Calibri" w:cs="Calibri" w:eastAsia="Calibri" w:hAnsi="Calibri"/>
          <w:b/>
          <w:bCs/>
          <w:sz w:val="21"/>
          <w:szCs w:val="21"/>
        </w:rPr>
        <w:t xml:space="preserve">no generan obligaciones</w:t>
      </w:r>
      <w:r>
        <w:rPr>
          <w:rFonts w:ascii="Calibri" w:cs="Calibri" w:eastAsia="Calibri" w:hAnsi="Calibri"/>
          <w:sz w:val="21"/>
          <w:szCs w:val="21"/>
        </w:rPr>
        <w:t xml:space="preserve">. Ninguna cláusula obliga a nada que no esté descrito por lo que el sistema debe hacer y por cómo se comprueba que lo hace.</w:t>
      </w:r>
    </w:p>
    <w:p>
      <w:pPr>
        <w:pStyle w:val="Heading3"/>
        <w:keepNext/>
        <w:spacing w:after="140" w:before="320"/>
      </w:pPr>
      <w:r>
        <w:rPr>
          <w:rFonts w:ascii="Georgia" w:cs="Georgia" w:eastAsia="Georgia" w:hAnsi="Georgia"/>
          <w:b/>
          <w:bCs/>
          <w:color w:val="2F5496"/>
          <w:sz w:val="22"/>
          <w:szCs w:val="22"/>
        </w:rPr>
        <w:t xml:space="preserve">Cómo está construido</w:t>
      </w:r>
    </w:p>
    <w:p>
      <w:pPr>
        <w:spacing w:after="140" w:line="276"/>
      </w:pPr>
      <w:r>
        <w:rPr>
          <w:rFonts w:ascii="Calibri" w:cs="Calibri" w:eastAsia="Calibri" w:hAnsi="Calibri"/>
          <w:sz w:val="21"/>
          <w:szCs w:val="21"/>
        </w:rPr>
        <w:t xml:space="preserve">Cada cláusula de las Partes II (técnicas, para el PPT) y III (administrativas, para el PCAP) tiene siempre los mismos siete epígrafes, en el mismo orden: </w:t>
      </w:r>
      <w:r>
        <w:rPr>
          <w:rFonts w:ascii="Calibri" w:cs="Calibri" w:eastAsia="Calibri" w:hAnsi="Calibri"/>
          <w:b/>
          <w:bCs/>
          <w:sz w:val="21"/>
          <w:szCs w:val="21"/>
        </w:rPr>
        <w:t xml:space="preserve">texto para el pliego · dónde va · necesidad y norma que la impone · cómo se acredita · cómo se verifica · consecuencia del incumplimiento · cuándo NO se aplica</w:t>
      </w:r>
      <w:r>
        <w:rPr>
          <w:rFonts w:ascii="Calibri" w:cs="Calibri" w:eastAsia="Calibri" w:hAnsi="Calibri"/>
          <w:sz w:val="21"/>
          <w:szCs w:val="21"/>
        </w:rPr>
        <w:t xml:space="preserve">. El texto que se copia va dentro de un recuadro delimitado; todo lo demás queda fuera y no debe acabar nunca en un pliego. Esa separación física es la respuesta a la segunda queja del área de contratación municipal: que el grado de abstracción del documento anterior era «muy elevado».</w:t>
      </w:r>
    </w:p>
    <w:p>
      <w:pPr>
        <w:spacing w:after="140" w:line="276"/>
      </w:pPr>
      <w:r>
        <w:rPr>
          <w:rFonts w:ascii="Calibri" w:cs="Calibri" w:eastAsia="Calibri" w:hAnsi="Calibri"/>
          <w:sz w:val="21"/>
          <w:szCs w:val="21"/>
        </w:rPr>
        <w:t xml:space="preserve">Los códigos de cláusula del documento anterior se conservan cuando la cláusula subsiste, pero </w:t>
      </w:r>
      <w:r>
        <w:rPr>
          <w:rFonts w:ascii="Calibri" w:cs="Calibri" w:eastAsia="Calibri" w:hAnsi="Calibri"/>
          <w:b/>
          <w:bCs/>
          <w:sz w:val="21"/>
          <w:szCs w:val="21"/>
        </w:rPr>
        <w:t xml:space="preserve">se escriben con versión</w:t>
      </w:r>
      <w:r>
        <w:rPr>
          <w:rFonts w:ascii="Calibri" w:cs="Calibri" w:eastAsia="Calibri" w:hAnsi="Calibri"/>
          <w:sz w:val="21"/>
          <w:szCs w:val="21"/>
        </w:rPr>
        <w:t xml:space="preserve">: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Hay pliegos ya redactados que citan los códigos de la versión 2.0, y su contenido no es el mismo. La equivalencia cláusula a cláusula está en el </w:t>
      </w:r>
      <w:r>
        <w:rPr>
          <w:rFonts w:ascii="Calibri" w:cs="Calibri" w:eastAsia="Calibri" w:hAnsi="Calibri"/>
          <w:b/>
          <w:bCs/>
          <w:sz w:val="21"/>
          <w:szCs w:val="21"/>
        </w:rPr>
        <w:t xml:space="preserve">Anexo XII</w:t>
      </w:r>
      <w:r>
        <w:rPr>
          <w:rFonts w:ascii="Calibri" w:cs="Calibri" w:eastAsia="Calibri" w:hAnsi="Calibri"/>
          <w:sz w:val="21"/>
          <w:szCs w:val="21"/>
        </w:rPr>
        <w:t xml:space="preserve">. Qué hacer con un contrato ya formalizado con la versión 2.0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Para quien lo copie desde otro ayuntamiento</w:t>
      </w:r>
    </w:p>
    <w:p>
      <w:pPr>
        <w:spacing w:after="140" w:line="276"/>
      </w:pPr>
      <w:r>
        <w:rPr>
          <w:rFonts w:ascii="Calibri" w:cs="Calibri" w:eastAsia="Calibri" w:hAnsi="Calibri"/>
          <w:sz w:val="21"/>
          <w:szCs w:val="21"/>
        </w:rPr>
        <w:t xml:space="preserve">Este documento se publica en abierto para que cualquier administración lo reutilice, y está escrito con esa intención: las reglas se enuncian en general y Pozuelo de Alarcón aparece entre paréntesis como ejemplo. Ahora bien, </w:t>
      </w:r>
      <w:r>
        <w:rPr>
          <w:rFonts w:ascii="Calibri" w:cs="Calibri" w:eastAsia="Calibri" w:hAnsi="Calibri"/>
          <w:b/>
          <w:bCs/>
          <w:sz w:val="21"/>
          <w:szCs w:val="21"/>
        </w:rPr>
        <w:t xml:space="preserve">copiarlo literalmente sin hacer el trabajo del expediente reproduce el vicio, no la protección</w:t>
      </w:r>
      <w:r>
        <w:rPr>
          <w:rFonts w:ascii="Calibri" w:cs="Calibri" w:eastAsia="Calibri" w:hAnsi="Calibri"/>
          <w:sz w:val="21"/>
          <w:szCs w:val="21"/>
        </w:rPr>
        <w:t xml:space="preserve">. Lo que otra administración tiene que adaptar obligatoriamente está en la Parte I §2.3, y como mínimo es: la categoría del Esquema Nacional de Seguridad que resulte de su propio análisis, el órgano competente en cada trámite, los umbrales y cuantías vigentes, el Anexo V de su ejercicio y todos los parámetros entre corchetes.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0.2 El problema que resuelve, en lenguaje llano</w:t>
      </w:r>
    </w:p>
    <w:p>
      <w:pPr>
        <w:spacing w:after="140" w:line="276"/>
      </w:pPr>
      <w:r>
        <w:rPr>
          <w:rFonts w:ascii="Calibri" w:cs="Calibri" w:eastAsia="Calibri" w:hAnsi="Calibri"/>
          <w:i/>
          <w:iCs/>
          <w:sz w:val="21"/>
          <w:szCs w:val="21"/>
        </w:rPr>
        <w:t xml:space="preserve">(Este es el apartado que se lee en Alcaldía. Corrige la versión anterior de este mismo resumen —el resumen ejecutivo v1— en cuatro afirmaciones que no pueden sostenerse; las correcciones están al final del apartado y son de lectura obligada antes de reutilizar aquel texto.)</w:t>
      </w:r>
    </w:p>
    <w:p>
      <w:pPr>
        <w:pStyle w:val="Heading3"/>
        <w:keepNext/>
        <w:spacing w:after="140" w:before="320"/>
      </w:pPr>
      <w:r>
        <w:rPr>
          <w:rFonts w:ascii="Georgia" w:cs="Georgia" w:eastAsia="Georgia" w:hAnsi="Georgia"/>
          <w:b/>
          <w:bCs/>
          <w:color w:val="2F5496"/>
          <w:sz w:val="22"/>
          <w:szCs w:val="22"/>
        </w:rPr>
        <w:t xml:space="preserve">El problema</w:t>
      </w:r>
    </w:p>
    <w:p>
      <w:pPr>
        <w:spacing w:after="140" w:line="276"/>
      </w:pPr>
      <w:r>
        <w:rPr>
          <w:rFonts w:ascii="Calibri" w:cs="Calibri" w:eastAsia="Calibri" w:hAnsi="Calibri"/>
          <w:sz w:val="21"/>
          <w:szCs w:val="21"/>
        </w:rPr>
        <w:t xml:space="preserve">Cuando un ayuntamiento contrata una plataforma o un servicio digital —gestión tributaria, padrón, contabilidad, atención al ciudadano—, el contrato fija lo que esa herramienta tiene que hacer </w:t>
      </w:r>
      <w:r>
        <w:rPr>
          <w:rFonts w:ascii="Calibri" w:cs="Calibri" w:eastAsia="Calibri" w:hAnsi="Calibri"/>
          <w:b/>
          <w:bCs/>
          <w:sz w:val="21"/>
          <w:szCs w:val="21"/>
        </w:rPr>
        <w:t xml:space="preserve">el día de la firma</w:t>
      </w:r>
      <w:r>
        <w:rPr>
          <w:rFonts w:ascii="Calibri" w:cs="Calibri" w:eastAsia="Calibri" w:hAnsi="Calibri"/>
          <w:sz w:val="21"/>
          <w:szCs w:val="21"/>
        </w:rPr>
        <w:t xml:space="preserve">. El mantenimiento ordinario garantiza que siga funcionando y que se corrijan sus fallos; no garantiza que incorpore capacidades que no existían, o que no se habían pedido, cuando se licitó.</w:t>
      </w:r>
    </w:p>
    <w:p>
      <w:pPr>
        <w:spacing w:after="140" w:line="276"/>
      </w:pPr>
      <w:r>
        <w:rPr>
          <w:rFonts w:ascii="Calibri" w:cs="Calibri" w:eastAsia="Calibri" w:hAnsi="Calibri"/>
          <w:sz w:val="21"/>
          <w:szCs w:val="21"/>
        </w:rPr>
        <w:t xml:space="preserve">Un contrato de servicios de este tipo suele durar entre dos y cinco años contando las prórrogas. En ese plazo, si el Ayuntamiento quiere una capacidad nueva, tiene tres caminos y los tres son malos:</w:t>
      </w:r>
    </w:p>
    <w:p>
      <w:pPr>
        <w:pStyle w:val="ListParagraph"/>
        <w:numPr>
          <w:ilvl w:val="0"/>
          <w:numId w:val="2"/>
        </w:numPr>
        <w:spacing w:after="70" w:line="268"/>
      </w:pPr>
      <w:r>
        <w:rPr>
          <w:rFonts w:ascii="Calibri" w:cs="Calibri" w:eastAsia="Calibri" w:hAnsi="Calibri"/>
          <w:b/>
          <w:bCs/>
          <w:sz w:val="21"/>
          <w:szCs w:val="21"/>
        </w:rPr>
        <w:t xml:space="preserve">Pedirla amistosamente.</w:t>
      </w:r>
      <w:r>
        <w:rPr>
          <w:rFonts w:ascii="Calibri" w:cs="Calibri" w:eastAsia="Calibri" w:hAnsi="Calibri"/>
          <w:sz w:val="21"/>
          <w:szCs w:val="21"/>
        </w:rPr>
        <w:t xml:space="preserve"> Depende de la voluntad del adjudicatario. No es exigible y no se puede penalizar.</w:t>
      </w:r>
    </w:p>
    <w:p>
      <w:pPr>
        <w:pStyle w:val="ListParagraph"/>
        <w:numPr>
          <w:ilvl w:val="0"/>
          <w:numId w:val="2"/>
        </w:numPr>
        <w:spacing w:after="70" w:line="268"/>
      </w:pPr>
      <w:r>
        <w:rPr>
          <w:rFonts w:ascii="Calibri" w:cs="Calibri" w:eastAsia="Calibri" w:hAnsi="Calibri"/>
          <w:b/>
          <w:bCs/>
          <w:sz w:val="21"/>
          <w:szCs w:val="21"/>
        </w:rPr>
        <w:t xml:space="preserve">Modificar el contrato.</w:t>
      </w:r>
      <w:r>
        <w:rPr>
          <w:rFonts w:ascii="Calibri" w:cs="Calibri" w:eastAsia="Calibri" w:hAnsi="Calibri"/>
          <w:sz w:val="21"/>
          <w:szCs w:val="21"/>
        </w:rPr>
        <w:t xml:space="preserve"> Sólo cabe con los límites y requisitos de los artículos 203 y 204 LCSP, y para hacerlo con seguridad hay que haberlo previsto en el pliego con precisión desde el principio. Además, cada euro reservado para modificaciones se computa en el valor estimado desde el primer día.</w:t>
      </w:r>
    </w:p>
    <w:p>
      <w:pPr>
        <w:pStyle w:val="ListParagraph"/>
        <w:numPr>
          <w:ilvl w:val="0"/>
          <w:numId w:val="2"/>
        </w:numPr>
        <w:spacing w:after="70" w:line="268"/>
      </w:pPr>
      <w:r>
        <w:rPr>
          <w:rFonts w:ascii="Calibri" w:cs="Calibri" w:eastAsia="Calibri" w:hAnsi="Calibri"/>
          <w:b/>
          <w:bCs/>
          <w:sz w:val="21"/>
          <w:szCs w:val="21"/>
        </w:rPr>
        <w:t xml:space="preserve">Esperar a la siguiente licitación.</w:t>
      </w:r>
      <w:r>
        <w:rPr>
          <w:rFonts w:ascii="Calibri" w:cs="Calibri" w:eastAsia="Calibri" w:hAnsi="Calibri"/>
          <w:sz w:val="21"/>
          <w:szCs w:val="21"/>
        </w:rPr>
        <w:t xml:space="preserve"> Es decir, años; y con un agravante: el adjudicatario saliente conoce el sistema y los demás no, lo que estrecha la competencia justo cuando más se necesita.</w:t>
      </w:r>
    </w:p>
    <w:p>
      <w:pPr>
        <w:spacing w:after="140" w:line="276"/>
      </w:pPr>
      <w:r>
        <w:rPr>
          <w:rFonts w:ascii="Calibri" w:cs="Calibri" w:eastAsia="Calibri" w:hAnsi="Calibri"/>
          <w:sz w:val="21"/>
          <w:szCs w:val="21"/>
        </w:rPr>
        <w:t xml:space="preserve">Ese es el problema real. No es que la tecnología envejezca: es que </w:t>
      </w:r>
      <w:r>
        <w:rPr>
          <w:rFonts w:ascii="Calibri" w:cs="Calibri" w:eastAsia="Calibri" w:hAnsi="Calibri"/>
          <w:b/>
          <w:bCs/>
          <w:sz w:val="21"/>
          <w:szCs w:val="21"/>
        </w:rPr>
        <w:t xml:space="preserve">el contrato no tiene ninguna palanca sobre ella</w:t>
      </w:r>
      <w:r>
        <w:rPr>
          <w:rFonts w:ascii="Calibri" w:cs="Calibri" w:eastAsia="Calibri" w:hAnsi="Calibri"/>
          <w:sz w:val="21"/>
          <w:szCs w:val="21"/>
        </w:rPr>
        <w:t xml:space="preserve">, y el momento de ponerla —el único momento— es antes de publicar el pliego.</w:t>
      </w:r>
    </w:p>
    <w:p>
      <w:pPr>
        <w:pStyle w:val="Heading3"/>
        <w:keepNext/>
        <w:spacing w:after="140" w:before="320"/>
      </w:pPr>
      <w:r>
        <w:rPr>
          <w:rFonts w:ascii="Georgia" w:cs="Georgia" w:eastAsia="Georgia" w:hAnsi="Georgia"/>
          <w:b/>
          <w:bCs/>
          <w:color w:val="2F5496"/>
          <w:sz w:val="22"/>
          <w:szCs w:val="22"/>
        </w:rPr>
        <w:t xml:space="preserve">Para el vecino, esto se ve así</w:t>
      </w:r>
    </w:p>
    <w:p>
      <w:pPr>
        <w:spacing w:after="140" w:line="276"/>
      </w:pPr>
      <w:r>
        <w:rPr>
          <w:rFonts w:ascii="Calibri" w:cs="Calibri" w:eastAsia="Calibri" w:hAnsi="Calibri"/>
          <w:sz w:val="21"/>
          <w:szCs w:val="21"/>
        </w:rPr>
        <w:t xml:space="preserve">Todo lo anterior está contado desde el punto de vista del Ayuntamiento. Conviene contarlo también desde el otro lado, porque quien paga y quien espera es el vecino. Esto no es una discusión entre técnicos.</w:t>
      </w:r>
    </w:p>
    <w:p>
      <w:pPr>
        <w:spacing w:after="140" w:line="276"/>
      </w:pPr>
      <w:r>
        <w:rPr>
          <w:rFonts w:ascii="Calibri" w:cs="Calibri" w:eastAsia="Calibri" w:hAnsi="Calibri"/>
          <w:b/>
          <w:bCs/>
          <w:sz w:val="21"/>
          <w:szCs w:val="21"/>
        </w:rPr>
        <w:t xml:space="preserve">Lo que se nota cuando el trámite se queda parado.</w:t>
      </w:r>
      <w:r>
        <w:rPr>
          <w:rFonts w:ascii="Calibri" w:cs="Calibri" w:eastAsia="Calibri" w:hAnsi="Calibri"/>
          <w:sz w:val="21"/>
          <w:szCs w:val="21"/>
        </w:rPr>
        <w:t xml:space="preserve"> La aplicación con la que se pide una licencia de obra, se consulta un recibo o se hace un cambio en el padrón se queda como estaba el día en que se firmó el contrato. Si dos años después existe una forma mejor de hacerlo —avisar de que falta un documento en el momento en que se detecta, en lugar de después; o resolver sin espera lo que no requiere ninguna valoración—, el Ayuntamiento no puede exigirla: puede pedirla por favor, puede pagarla aparte, o puede esperar a la siguiente licitación. Y esa espera dura lo que dura el contrato con sus prórrogas, que en estos servicios suele ir de dos a cinco años. Mientras tanto, quien vuelve a la ventanilla por segunda vez, o espera semanas por algo que la tecnología disponible permitiría resolver en horas, es el vecino. No porque nadie se haya equivocado en la ventanilla: porque el contrato firmado años atrás no obliga a más.</w:t>
      </w:r>
    </w:p>
    <w:p>
      <w:pPr>
        <w:spacing w:after="140" w:line="276"/>
      </w:pPr>
      <w:r>
        <w:rPr>
          <w:rFonts w:ascii="Calibri" w:cs="Calibri" w:eastAsia="Calibri" w:hAnsi="Calibri"/>
          <w:b/>
          <w:bCs/>
          <w:sz w:val="21"/>
          <w:szCs w:val="21"/>
        </w:rPr>
        <w:t xml:space="preserve">Pagar dos veces por lo mismo.</w:t>
      </w:r>
      <w:r>
        <w:rPr>
          <w:rFonts w:ascii="Calibri" w:cs="Calibri" w:eastAsia="Calibri" w:hAnsi="Calibri"/>
          <w:sz w:val="21"/>
          <w:szCs w:val="21"/>
        </w:rPr>
        <w:t xml:space="preserve"> Cuando una capacidad no está en el contrato, hay que comprarla aparte. Y se compra en la peor posición posible: sin concurso, porque sobre ese sistema no puede trabajar más que quien lo instaló, y sin referencia de precio, porque no hay con quién comparar. Ese dinero sale del mismo presupuesto que paga las aceras, las escuelas infantiles o el alumbrado. Lo mismo ocurre al final del contrato: si al cambiar de proveedor hay que volver a montar de cero lo que ya estaba montado y volver a pagar el traslado de la información, el vecino paga dos veces por la misma cosa, una para tenerla y otra para conservarla.</w:t>
      </w:r>
    </w:p>
    <w:p>
      <w:pPr>
        <w:spacing w:after="140" w:line="276"/>
      </w:pPr>
      <w:r>
        <w:rPr>
          <w:rFonts w:ascii="Calibri" w:cs="Calibri" w:eastAsia="Calibri" w:hAnsi="Calibri"/>
          <w:b/>
          <w:bCs/>
          <w:sz w:val="21"/>
          <w:szCs w:val="21"/>
        </w:rPr>
        <w:t xml:space="preserve">Quién se queda los datos.</w:t>
      </w:r>
      <w:r>
        <w:rPr>
          <w:rFonts w:ascii="Calibri" w:cs="Calibri" w:eastAsia="Calibri" w:hAnsi="Calibri"/>
          <w:sz w:val="21"/>
          <w:szCs w:val="21"/>
        </w:rPr>
        <w:t xml:space="preserve"> En esas aplicaciones están el padrón, los recibos, los expedientes y las solicitudes: los datos de los vecinos. No son del proveedor. Son del Ayuntamiento, que responde de ellos. Si el contrato no dice desde el primer día que, al terminar, esos datos se entregan en un formato que otro programa pueda leer, con la explicación de qué significa cada campo y sin cobrar por sacarlos, en la práctica quedan retenidos por quien tiene el sistema. Y cuando eso ocurre, cambiar de proveedor sale tan caro que deja de ser posible; si no es posible cambiar, no hay concurso; y si no hay concurso, el precio lo pone una sola empresa. La consecuencia no es abstracta: el vecino paga más por lo mismo y su ayuntamiento pierde la capacidad de exigir.</w:t>
      </w:r>
    </w:p>
    <w:p>
      <w:pPr>
        <w:spacing w:after="140" w:line="276"/>
      </w:pPr>
      <w:r>
        <w:rPr>
          <w:rFonts w:ascii="Calibri" w:cs="Calibri" w:eastAsia="Calibri" w:hAnsi="Calibri"/>
          <w:b/>
          <w:bCs/>
          <w:sz w:val="21"/>
          <w:szCs w:val="21"/>
        </w:rPr>
        <w:t xml:space="preserve">Qué gana el vecino cuando esto se hace bien.</w:t>
      </w:r>
      <w:r>
        <w:rPr>
          <w:rFonts w:ascii="Calibri" w:cs="Calibri" w:eastAsia="Calibri" w:hAnsi="Calibri"/>
          <w:sz w:val="21"/>
          <w:szCs w:val="21"/>
        </w:rPr>
        <w:t xml:space="preserve"> Tres cosas concretas. Que lo que el Ayuntamiento va a necesitar dentro de dos años esté escrito en el contrato desde el principio, con fecha y con criterios de aceptación, y se pague con el precio que se ofertó en el concurso y no con una factura sobrevenida. Que al terminar el contrato pueda presentarse otra empresa de verdad, porque los datos se entregan y quien entra no parte de cero. Y que, cuando se emplee inteligencia artificial sobre información municipal, quede registrado quién consultó qué y cuándo, y haya siempre una persona identificada que responde de la decisión, con derecho del interesado a pedir su intervención (</w:t>
      </w:r>
      <w:r>
        <w:rPr>
          <w:rFonts w:ascii="Calibri" w:cs="Calibri" w:eastAsia="Calibri" w:hAnsi="Calibri"/>
          <w:color w:val="2F5496"/>
          <w:sz w:val="21"/>
          <w:szCs w:val="21"/>
        </w:rPr>
        <w:t xml:space="preserve">DT-1·v3</w:t>
      </w:r>
      <w:r>
        <w:rPr>
          <w:rFonts w:ascii="Calibri" w:cs="Calibri" w:eastAsia="Calibri" w:hAnsi="Calibri"/>
          <w:sz w:val="21"/>
          <w:szCs w:val="21"/>
        </w:rPr>
        <w:t xml:space="preserve"> y </w:t>
      </w:r>
      <w:r>
        <w:rPr>
          <w:rFonts w:ascii="Calibri" w:cs="Calibri" w:eastAsia="Calibri" w:hAnsi="Calibri"/>
          <w:color w:val="2F5496"/>
          <w:sz w:val="21"/>
          <w:szCs w:val="21"/>
        </w:rPr>
        <w:t xml:space="preserve">ADM-13·v3</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 que hace este catálogo</w:t>
      </w:r>
    </w:p>
    <w:p>
      <w:pPr>
        <w:spacing w:after="140" w:line="276"/>
      </w:pPr>
      <w:r>
        <w:rPr>
          <w:rFonts w:ascii="Calibri" w:cs="Calibri" w:eastAsia="Calibri" w:hAnsi="Calibri"/>
          <w:sz w:val="21"/>
          <w:szCs w:val="21"/>
        </w:rPr>
        <w:t xml:space="preserve">Convierte un conjunto </w:t>
      </w:r>
      <w:r>
        <w:rPr>
          <w:rFonts w:ascii="Calibri" w:cs="Calibri" w:eastAsia="Calibri" w:hAnsi="Calibri"/>
          <w:b/>
          <w:bCs/>
          <w:sz w:val="21"/>
          <w:szCs w:val="21"/>
        </w:rPr>
        <w:t xml:space="preserve">cerrado, fechado y comprobable</w:t>
      </w:r>
      <w:r>
        <w:rPr>
          <w:rFonts w:ascii="Calibri" w:cs="Calibri" w:eastAsia="Calibri" w:hAnsi="Calibri"/>
          <w:sz w:val="21"/>
          <w:szCs w:val="21"/>
        </w:rPr>
        <w:t xml:space="preserve"> de capacidades en parte del objeto del contrato, retribuido con el precio ofertado. Ese conjunto es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(hoy: interfaz normalizada de acceso para agentes de IA, operación autónoma supervisada, y trazabilidad y auditoría de la actuación de agentes) —dicho sin tecnicismos: que un asistente del propio Ayuntamiento pueda consultar la aplicación sin pedir permiso ni pagar al proveedor; que si además actúa, lo haga siempre dentro de límites fijados y con una persona validando; y que quede registrado quién preguntó qué, cuándo y sobre qué datos—, con criterios de aceptación binarios —se cumple o no se cumple, sin apreciación— y un plazo de implantación de </w:t>
      </w:r>
      <w:r>
        <w:rPr>
          <w:rFonts w:ascii="Calibri" w:cs="Calibri" w:eastAsia="Calibri" w:hAnsi="Calibri"/>
          <w:b/>
          <w:bCs/>
          <w:sz w:val="21"/>
          <w:szCs w:val="21"/>
        </w:rPr>
        <w:t xml:space="preserve">[plazo desde la formalización; se recomienda 12 meses]</w:t>
      </w:r>
      <w:r>
        <w:rPr>
          <w:rFonts w:ascii="Calibri" w:cs="Calibri" w:eastAsia="Calibri" w:hAnsi="Calibri"/>
          <w:sz w:val="21"/>
          <w:szCs w:val="21"/>
        </w:rPr>
        <w:t xml:space="preserve">. Ese plazo se acorta a 6 meses cuando la capacidad ya esté disponible de forma acreditada en el producto contratado, y se alarga hasta 18 cuando exija integrarse con un sistema de un tercero cuyo calendario el adjudicatario no controla; nunca debe superar la duración inicial del contrato, porque una obligación que sólo vence en prórroga no es exigible si la prórroga no se ejerce.</w:t>
      </w:r>
    </w:p>
    <w:p>
      <w:pPr>
        <w:spacing w:after="140" w:line="276"/>
      </w:pPr>
      <w:r>
        <w:rPr>
          <w:rFonts w:ascii="Calibri" w:cs="Calibri" w:eastAsia="Calibri" w:hAnsi="Calibri"/>
          <w:sz w:val="21"/>
          <w:szCs w:val="21"/>
        </w:rPr>
        <w:t xml:space="preserve">El Anexo V se aprueba una vez al año y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pliego, con su número de versión y su fecha. No se incorpora por remisión a un documento que cambia, porque eso sería una obligación indeterminada y un licitador la recurriría con razón. Y una vez licitado un contrato, las revisiones posteriores del Anexo no le afectan: lo que se compró es lo que estaba escrito el día de la licitación.</w:t>
      </w:r>
    </w:p>
    <w:p>
      <w:pPr>
        <w:spacing w:after="140" w:line="276"/>
      </w:pPr>
      <w:r>
        <w:rPr>
          <w:rFonts w:ascii="Calibri" w:cs="Calibri" w:eastAsia="Calibri" w:hAnsi="Calibri"/>
          <w:sz w:val="21"/>
          <w:szCs w:val="21"/>
        </w:rPr>
        <w:t xml:space="preserve">Dicho de otro modo: </w:t>
      </w:r>
      <w:r>
        <w:rPr>
          <w:rFonts w:ascii="Calibri" w:cs="Calibri" w:eastAsia="Calibri" w:hAnsi="Calibri"/>
          <w:b/>
          <w:bCs/>
          <w:sz w:val="21"/>
          <w:szCs w:val="21"/>
        </w:rPr>
        <w:t xml:space="preserve">el Ayuntamiento deja de comprar «lo que hay hoy» y pasa a comprar «lo que hay hoy más una lista concreta de capacidades con fecha»</w:t>
      </w:r>
      <w:r>
        <w:rPr>
          <w:rFonts w:ascii="Calibri" w:cs="Calibri" w:eastAsia="Calibri" w:hAnsi="Calibri"/>
          <w:sz w:val="21"/>
          <w:szCs w:val="21"/>
        </w:rPr>
        <w:t xml:space="preserve">, sabiendo exactamente qué está pidiendo y pudiendo comprobarlo. Y el licitador sabe exactamente a qué se obliga, que es la condición para que ponga precio y no recurra.</w:t>
      </w:r>
    </w:p>
    <w:p>
      <w:pPr>
        <w:pStyle w:val="Heading3"/>
        <w:keepNext/>
        <w:spacing w:after="140" w:before="320"/>
      </w:pPr>
      <w:r>
        <w:rPr>
          <w:rFonts w:ascii="Georgia" w:cs="Georgia" w:eastAsia="Georgia" w:hAnsi="Georgia"/>
          <w:b/>
          <w:bCs/>
          <w:color w:val="2F5496"/>
          <w:sz w:val="22"/>
          <w:szCs w:val="22"/>
        </w:rPr>
        <w:t xml:space="preserve">Y contra la posición del proveedor atrincherado</w:t>
      </w:r>
    </w:p>
    <w:p>
      <w:pPr>
        <w:spacing w:after="140" w:line="276"/>
      </w:pPr>
      <w:r>
        <w:rPr>
          <w:rFonts w:ascii="Calibri" w:cs="Calibri" w:eastAsia="Calibri" w:hAnsi="Calibri"/>
          <w:b/>
          <w:bCs/>
          <w:sz w:val="21"/>
          <w:szCs w:val="21"/>
        </w:rPr>
        <w:t xml:space="preserve">Cómo se cava la trinchera.</w:t>
      </w:r>
      <w:r>
        <w:rPr>
          <w:rFonts w:ascii="Calibri" w:cs="Calibri" w:eastAsia="Calibri" w:hAnsi="Calibri"/>
          <w:sz w:val="21"/>
          <w:szCs w:val="21"/>
        </w:rPr>
        <w:t xml:space="preserve"> Conviene ver primero el mecanismo, porque para que funcione no hace falta que nadie actúe de mala fe:</w:t>
      </w:r>
    </w:p>
    <w:p>
      <w:pPr>
        <w:pStyle w:val="ListParagraph"/>
        <w:numPr>
          <w:ilvl w:val="0"/>
          <w:numId w:val="1"/>
        </w:numPr>
        <w:spacing w:after="70" w:line="268"/>
      </w:pPr>
      <w:r>
        <w:rPr>
          <w:rFonts w:ascii="Calibri" w:cs="Calibri" w:eastAsia="Calibri" w:hAnsi="Calibri"/>
          <w:sz w:val="21"/>
          <w:szCs w:val="21"/>
        </w:rPr>
        <w:t xml:space="preserve">El pliego lo escribe alguien que muchas veces sólo conoce a fondo el producto que ya está instalado —y a veces partiendo del pliego de otro ayuntamiento que tiene ese mismo producto—, de modo que acaba describiéndolo sin proponérselo.</w:t>
      </w:r>
    </w:p>
    <w:p>
      <w:pPr>
        <w:pStyle w:val="ListParagraph"/>
        <w:numPr>
          <w:ilvl w:val="0"/>
          <w:numId w:val="1"/>
        </w:numPr>
        <w:spacing w:after="70" w:line="268"/>
      </w:pPr>
      <w:r>
        <w:rPr>
          <w:rFonts w:ascii="Calibri" w:cs="Calibri" w:eastAsia="Calibri" w:hAnsi="Calibri"/>
          <w:sz w:val="21"/>
          <w:szCs w:val="21"/>
        </w:rPr>
        <w:t xml:space="preserve">Basta con pedir un detalle que sólo cumple un fabricante para que el concurso tenga un único candidato posible, aunque se presenten cinco empresas. Y esa descripción sobrevive a la traducción a «requisitos funcionales»: se cambian las palabras y sigue señalando al mismo producto.</w:t>
      </w:r>
    </w:p>
    <w:p>
      <w:pPr>
        <w:pStyle w:val="ListParagraph"/>
        <w:numPr>
          <w:ilvl w:val="0"/>
          <w:numId w:val="1"/>
        </w:numPr>
        <w:spacing w:after="70" w:line="268"/>
      </w:pPr>
      <w:r>
        <w:rPr>
          <w:rFonts w:ascii="Calibri" w:cs="Calibri" w:eastAsia="Calibri" w:hAnsi="Calibri"/>
          <w:sz w:val="21"/>
          <w:szCs w:val="21"/>
        </w:rPr>
        <w:t xml:space="preserve">Quien ya está dentro conoce el sistema, los datos y sus fallos; los demás tienen que suponerlos. O lo cobran, o no se presentan.</w:t>
      </w:r>
    </w:p>
    <w:p>
      <w:pPr>
        <w:spacing w:after="140" w:line="276"/>
      </w:pPr>
      <w:r>
        <w:rPr>
          <w:rFonts w:ascii="Calibri" w:cs="Calibri" w:eastAsia="Calibri" w:hAnsi="Calibri"/>
          <w:sz w:val="21"/>
          <w:szCs w:val="21"/>
        </w:rPr>
        <w:t xml:space="preserve">Contra esa causa —y no contra la empresa que ocupa la posición— actúan tres reglas del catálogo:</w:t>
      </w:r>
    </w:p>
    <w:p>
      <w:pPr>
        <w:pStyle w:val="ListParagraph"/>
        <w:numPr>
          <w:ilvl w:val="0"/>
          <w:numId w:val="2"/>
        </w:numPr>
        <w:spacing w:after="70" w:line="268"/>
      </w:pPr>
      <w:r>
        <w:rPr>
          <w:rFonts w:ascii="Calibri" w:cs="Calibri" w:eastAsia="Calibri" w:hAnsi="Calibri"/>
          <w:b/>
          <w:bCs/>
          <w:sz w:val="21"/>
          <w:szCs w:val="21"/>
        </w:rPr>
        <w:t xml:space="preserve">No se puede pedir un producto por su nombre.</w:t>
      </w:r>
      <w:r>
        <w:rPr>
          <w:rFonts w:ascii="Calibri" w:cs="Calibri" w:eastAsia="Calibri" w:hAnsi="Calibri"/>
          <w:sz w:val="21"/>
          <w:szCs w:val="21"/>
        </w:rPr>
        <w:t xml:space="preserve"> Quien ofrezca otro que haga lo mismo tiene derecho a demostrarlo, y el Ayuntamiento tiene que motivar por escrito el rechazo (</w:t>
      </w:r>
      <w:r>
        <w:rPr>
          <w:rFonts w:ascii="Calibri" w:cs="Calibri" w:eastAsia="Calibri" w:hAnsi="Calibri"/>
          <w:color w:val="2F5496"/>
          <w:sz w:val="21"/>
          <w:szCs w:val="21"/>
        </w:rPr>
        <w:t xml:space="preserve">DT-0·v3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No se puntúa lo que una empresa ya tiene</w:t>
      </w:r>
      <w:r>
        <w:rPr>
          <w:rFonts w:ascii="Calibri" w:cs="Calibri" w:eastAsia="Calibri" w:hAnsi="Calibri"/>
          <w:sz w:val="21"/>
          <w:szCs w:val="21"/>
        </w:rPr>
        <w:t xml:space="preserve"> el día de la licitación —certificaciones, experiencia o medios ya disponibles—, porque eso premia a quien ya está dentro (véase la segunda de las cuatro correcciones que cierran este apartado).</w:t>
      </w:r>
    </w:p>
    <w:p>
      <w:pPr>
        <w:pStyle w:val="ListParagraph"/>
        <w:numPr>
          <w:ilvl w:val="0"/>
          <w:numId w:val="2"/>
        </w:numPr>
        <w:spacing w:after="70" w:line="268"/>
      </w:pPr>
      <w:r>
        <w:rPr>
          <w:rFonts w:ascii="Calibri" w:cs="Calibri" w:eastAsia="Calibri" w:hAnsi="Calibri"/>
          <w:b/>
          <w:bCs/>
          <w:sz w:val="21"/>
          <w:szCs w:val="21"/>
        </w:rPr>
        <w:t xml:space="preserve">Al terminar el contrato hay que entregar los datos</w:t>
      </w:r>
      <w:r>
        <w:rPr>
          <w:rFonts w:ascii="Calibri" w:cs="Calibri" w:eastAsia="Calibri" w:hAnsi="Calibri"/>
          <w:sz w:val="21"/>
          <w:szCs w:val="21"/>
        </w:rPr>
        <w:t xml:space="preserve"> en formato abierto, con su diccionario y sin coste por la extracción, para que el siguiente pueda entrar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Estas reglas no garantizan que la trinchera no exista: obligan a buscarla.</w:t>
      </w:r>
      <w:r>
        <w:rPr>
          <w:rFonts w:ascii="Calibri" w:cs="Calibri" w:eastAsia="Calibri" w:hAnsi="Calibri"/>
          <w:sz w:val="21"/>
          <w:szCs w:val="21"/>
        </w:rPr>
        <w:t xml:space="preserve"> El propio contrato con el que la Parte VI aplica el catálogo puede tener ese origen: consta en su preparación que el borrador se elaboró tomando como referencia el pliego de otro ayuntamiento que tiene implantada una solución determinada. Por eso la Parte VI, VI.2, no lo da por bueno y ordena, si eso se confirma y antes de aprobarlo, un barrido para localizar toda especificación que sólo pueda cumplir un fabricante concreto y reescribirla en términos de función, con admisión de equivalentes. Las tres reglas dan la obligación de mirar y la herramienta para corregir lo que se encuentre; el trabajo de mirar hay que hacerlo en cada expediente. Un documento que prometiera lo contrario sería el mismo problema con otro nombre.</w:t>
      </w:r>
    </w:p>
    <w:p>
      <w:pPr>
        <w:spacing w:after="140" w:line="276"/>
      </w:pPr>
      <w:r>
        <w:rPr>
          <w:rFonts w:ascii="Calibri" w:cs="Calibri" w:eastAsia="Calibri" w:hAnsi="Calibri"/>
          <w:sz w:val="21"/>
          <w:szCs w:val="21"/>
        </w:rPr>
        <w:t xml:space="preserve">El desarrollo de las tres, con su fundamento y sus límites, está en la Parte IV, M3 y M7.</w:t>
      </w:r>
    </w:p>
    <w:p>
      <w:pPr>
        <w:pStyle w:val="Heading3"/>
        <w:keepNext/>
        <w:spacing w:after="140" w:before="320"/>
      </w:pPr>
      <w:r>
        <w:rPr>
          <w:rFonts w:ascii="Georgia" w:cs="Georgia" w:eastAsia="Georgia" w:hAnsi="Georgia"/>
          <w:b/>
          <w:bCs/>
          <w:color w:val="2F5496"/>
          <w:sz w:val="22"/>
          <w:szCs w:val="22"/>
        </w:rPr>
        <w:t xml:space="preserve">El ejemplo numérico</w:t>
      </w:r>
    </w:p>
    <w:p>
      <w:pPr>
        <w:spacing w:after="140" w:line="276"/>
      </w:pPr>
      <w:r>
        <w:rPr>
          <w:rFonts w:ascii="Calibri" w:cs="Calibri" w:eastAsia="Calibri" w:hAnsi="Calibri"/>
          <w:i/>
          <w:iCs/>
          <w:sz w:val="21"/>
          <w:szCs w:val="21"/>
        </w:rPr>
        <w:t xml:space="preserve">(Cifras de ejemplo, construidas para explicar el mecanismo. No proceden de ningún expediente municipal concreto y no deben citarse como dato. El contrato de contabilidad y patrimonio se analiza en la Parte VI; sus cifras son otras y no deben confundirse con éstas.)</w:t>
      </w:r>
    </w:p>
    <w:p>
      <w:pPr>
        <w:spacing w:after="140" w:line="276"/>
      </w:pPr>
      <w:r>
        <w:rPr>
          <w:rFonts w:ascii="Calibri" w:cs="Calibri" w:eastAsia="Calibri" w:hAnsi="Calibri"/>
          <w:sz w:val="21"/>
          <w:szCs w:val="21"/>
        </w:rPr>
        <w:t xml:space="preserve">Contrato de servicios de mantenimiento y evolución de la aplicación municipal de gestión tributaria y recaudación: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anual del servicio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anualidades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inicial del contrato, sin IVA (duración inicial, sin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360.000 €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r>
              <w:rPr>
                <w:rFonts w:ascii="Calibri" w:cs="Calibri" w:eastAsia="Calibri" w:hAnsi="Calibri"/>
                <w:b w:val="false"/>
                <w:bCs w:val="false"/>
                <w:sz w:val="18"/>
                <w:szCs w:val="18"/>
              </w:rPr>
              <w:t xml:space="preserve"> (incluidas las prórrogas)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720.000 €</w:t>
            </w:r>
          </w:p>
        </w:tc>
      </w:tr>
    </w:tbl>
    <w:p>
      <w:pPr>
        <w:spacing w:after="200"/>
      </w:pPr>
    </w:p>
    <w:p>
      <w:pPr>
        <w:spacing w:after="140" w:line="276"/>
      </w:pPr>
      <w:r>
        <w:rPr>
          <w:rFonts w:ascii="Calibri" w:cs="Calibri" w:eastAsia="Calibri" w:hAnsi="Calibri"/>
          <w:b/>
          <w:bCs/>
          <w:sz w:val="21"/>
          <w:szCs w:val="21"/>
        </w:rPr>
        <w:t xml:space="preserve">Camino A — el contrato tal como se firma hoy, sin este catálogo.</w:t>
      </w:r>
      <w:r>
        <w:rPr>
          <w:rFonts w:ascii="Calibri" w:cs="Calibri" w:eastAsia="Calibri" w:hAnsi="Calibri"/>
          <w:sz w:val="21"/>
          <w:szCs w:val="21"/>
        </w:rPr>
        <w:t xml:space="preserve"> En el mes 20 de ejecución, la Intervención necesita explotar por su cuenta los datos de ejecución y el área gestora quiere que la aplicación pueda ser consultada por asistentes de IA del propio Ayuntamiento. Nada de eso está en el pliego. Las opciones son:</w:t>
      </w:r>
    </w:p>
    <w:p>
      <w:pPr>
        <w:pStyle w:val="ListParagraph"/>
        <w:numPr>
          <w:ilvl w:val="0"/>
          <w:numId w:val="1"/>
        </w:numPr>
        <w:spacing w:after="70" w:line="268"/>
      </w:pPr>
      <w:r>
        <w:rPr>
          <w:rFonts w:ascii="Calibri" w:cs="Calibri" w:eastAsia="Calibri" w:hAnsi="Calibri"/>
          <w:sz w:val="21"/>
          <w:szCs w:val="21"/>
        </w:rPr>
        <w:t xml:space="preserve">Negociarlo con el adjudicatario, </w:t>
      </w:r>
      <w:r>
        <w:rPr>
          <w:rFonts w:ascii="Calibri" w:cs="Calibri" w:eastAsia="Calibri" w:hAnsi="Calibri"/>
          <w:b/>
          <w:bCs/>
          <w:sz w:val="21"/>
          <w:szCs w:val="21"/>
        </w:rPr>
        <w:t xml:space="preserve">sin competencia y sin referencia de precio</w:t>
      </w:r>
      <w:r>
        <w:rPr>
          <w:rFonts w:ascii="Calibri" w:cs="Calibri" w:eastAsia="Calibri" w:hAnsi="Calibri"/>
          <w:sz w:val="21"/>
          <w:szCs w:val="21"/>
        </w:rPr>
        <w:t xml:space="preserve">, porque nadie más puede hacerlo sobre ese sistema.</w:t>
      </w:r>
    </w:p>
    <w:p>
      <w:pPr>
        <w:pStyle w:val="ListParagraph"/>
        <w:numPr>
          <w:ilvl w:val="0"/>
          <w:numId w:val="1"/>
        </w:numPr>
        <w:spacing w:after="70" w:line="268"/>
      </w:pPr>
      <w:r>
        <w:rPr>
          <w:rFonts w:ascii="Calibri" w:cs="Calibri" w:eastAsia="Calibri" w:hAnsi="Calibri"/>
          <w:sz w:val="21"/>
          <w:szCs w:val="21"/>
        </w:rPr>
        <w:t xml:space="preserve">Tramitar una modificación. Si no se previó en el pliego con la precisión que exigen los artículos 203 y 204 LCSP, no cabe por esa vía; y si se hubiera previsto con el máximo del </w:t>
      </w:r>
      <w:r>
        <w:rPr>
          <w:rFonts w:ascii="Calibri" w:cs="Calibri" w:eastAsia="Calibri" w:hAnsi="Calibri"/>
          <w:b/>
          <w:bCs/>
          <w:sz w:val="21"/>
          <w:szCs w:val="21"/>
        </w:rPr>
        <w:t xml:space="preserve">20 %</w:t>
      </w:r>
      <w:r>
        <w:rPr>
          <w:rFonts w:ascii="Calibri" w:cs="Calibri" w:eastAsia="Calibri" w:hAnsi="Calibri"/>
          <w:sz w:val="21"/>
          <w:szCs w:val="21"/>
        </w:rPr>
        <w:t xml:space="preserve"> que fija el artículo 204, esa reserva —</w:t>
      </w:r>
      <w:r>
        <w:rPr>
          <w:rFonts w:ascii="Calibri" w:cs="Calibri" w:eastAsia="Calibri" w:hAnsi="Calibri"/>
          <w:b/>
          <w:bCs/>
          <w:sz w:val="21"/>
          <w:szCs w:val="21"/>
        </w:rPr>
        <w:t xml:space="preserve">72.000 €</w:t>
      </w:r>
      <w:r>
        <w:rPr>
          <w:rFonts w:ascii="Calibri" w:cs="Calibri" w:eastAsia="Calibri" w:hAnsi="Calibri"/>
          <w:sz w:val="21"/>
          <w:szCs w:val="21"/>
        </w:rPr>
        <w:t xml:space="preserve">, porque el 20 % se calcula sobre el precio inicial del contrato (360.000 €) y no sobre el valor estimado con prórrogas— habría computado en el valor estimado desde el primer día, elevándolo a </w:t>
      </w:r>
      <w:r>
        <w:rPr>
          <w:rFonts w:ascii="Calibri" w:cs="Calibri" w:eastAsia="Calibri" w:hAnsi="Calibri"/>
          <w:b/>
          <w:bCs/>
          <w:sz w:val="21"/>
          <w:szCs w:val="21"/>
        </w:rPr>
        <w:t xml:space="preserve">792.000 €</w:t>
      </w:r>
      <w:r>
        <w:rPr>
          <w:rFonts w:ascii="Calibri" w:cs="Calibri" w:eastAsia="Calibri" w:hAnsi="Calibri"/>
          <w:sz w:val="21"/>
          <w:szCs w:val="21"/>
        </w:rPr>
        <w:t xml:space="preserve">, con las consecuencias de umbral que se explican abajo. </w:t>
      </w:r>
      <w:r>
        <w:rPr>
          <w:rFonts w:ascii="Calibri" w:cs="Calibri" w:eastAsia="Calibri" w:hAnsi="Calibri"/>
          <w:i/>
          <w:iCs/>
          <w:sz w:val="21"/>
          <w:szCs w:val="21"/>
        </w:rPr>
        <w:t xml:space="preserve">Base del cálculo: </w:t>
      </w:r>
      <w:hyperlink w:history="1" r:id="rIdlqlz9_xx4w_h7pnrbw48o">
        <w:r>
          <w:rPr>
            <w:rFonts w:ascii="Calibri" w:cs="Calibri" w:eastAsia="Calibri" w:hAnsi="Calibri"/>
            <w:i/>
            <w:iCs/>
            <w:color w:val="2F5496"/>
            <w:sz w:val="21"/>
            <w:szCs w:val="21"/>
            <w:u w:val="single"/>
          </w:rPr>
          <w:t xml:space="preserve">Junta Consultiva de Contratación Pública del Estado, Informe 18/2025, «Cálculo de los límites aplicables a las modificaciones de los artículos 204 y 205 de la LCSP», aprobado por la Comisión Permanente el 23 de abril de 2026</w:t>
        </w:r>
      </w:hyperlink>
      <w:r>
        <w:rPr>
          <w:rFonts w:ascii="Calibri" w:cs="Calibri" w:eastAsia="Calibri" w:hAnsi="Calibri"/>
          <w:i/>
          <w:iCs/>
          <w:sz w:val="21"/>
          <w:szCs w:val="21"/>
        </w:rPr>
        <w:t xml:space="preserve"> («el límite del 20 por 100 del precio inicial previsto en el artículo 204 de la LCSP […] ha de calcularse sobre el precio de adjudicación del contrato»), y </w:t>
      </w:r>
      <w:hyperlink w:history="1" r:id="rId7hguimre3pkdthhzql1zu">
        <w:r>
          <w:rPr>
            <w:rFonts w:ascii="Calibri" w:cs="Calibri" w:eastAsia="Calibri" w:hAnsi="Calibri"/>
            <w:i/>
            <w:iCs/>
            <w:color w:val="2F5496"/>
            <w:sz w:val="21"/>
            <w:szCs w:val="21"/>
            <w:u w:val="single"/>
          </w:rPr>
          <w:t xml:space="preserve">Junta Consultiva de Contratación Administrativa de la Comunidad de Madrid, Informe 4/2025, de 19 de diciembre de 2025, conclusión 6</w:t>
        </w:r>
      </w:hyperlink>
      <w:r>
        <w:rPr>
          <w:rFonts w:ascii="Calibri" w:cs="Calibri" w:eastAsia="Calibri" w:hAnsi="Calibri"/>
          <w:i/>
          <w:iCs/>
          <w:sz w:val="21"/>
          <w:szCs w:val="21"/>
        </w:rPr>
        <w:t xml:space="preserve"> («en el cálculo del VEC el porcentaje máximo de modificación debe aplicarse sobre el PBL, sin IVA, no sobre este más las prórrogas previstas»); en esa cita, </w:t>
      </w:r>
      <w:r>
        <w:rPr>
          <w:rFonts w:ascii="Calibri" w:cs="Calibri" w:eastAsia="Calibri" w:hAnsi="Calibri"/>
          <w:i/>
          <w:iCs/>
          <w:sz w:val="21"/>
          <w:szCs w:val="21"/>
        </w:rPr>
        <w:t xml:space="preserve">VEC</w:t>
      </w:r>
      <w:r>
        <w:rPr>
          <w:rFonts w:ascii="Calibri" w:cs="Calibri" w:eastAsia="Calibri" w:hAnsi="Calibri"/>
          <w:sz w:val="21"/>
          <w:szCs w:val="21"/>
        </w:rPr>
        <w:t xml:space="preserve">* es el valor estimado del contrato y </w:t>
      </w:r>
      <w:r>
        <w:rPr>
          <w:rFonts w:ascii="Calibri" w:cs="Calibri" w:eastAsia="Calibri" w:hAnsi="Calibri"/>
          <w:b/>
          <w:bCs/>
          <w:sz w:val="21"/>
          <w:szCs w:val="21"/>
        </w:rPr>
        <w:t xml:space="preserve">PBL</w:t>
      </w:r>
      <w:r>
        <w:rPr>
          <w:rFonts w:ascii="Calibri" w:cs="Calibri" w:eastAsia="Calibri" w:hAnsi="Calibri"/>
          <w:sz w:val="21"/>
          <w:szCs w:val="21"/>
        </w:rPr>
        <w:t xml:space="preserve">, el presupuesto base de licitación. Ambos informes se citan como criterio consultivo, no vinculante. Adviértase que la base no es la misma en preparación —presupuesto base de licitación— que en ejecución —precio de adjudicación—: la advertencia completa está en </w:t>
      </w:r>
      <w:r>
        <w:rPr>
          <w:rFonts w:ascii="Calibri" w:cs="Calibri" w:eastAsia="Calibri" w:hAnsi="Calibri"/>
          <w:color w:val="2F5496"/>
          <w:sz w:val="21"/>
          <w:szCs w:val="21"/>
        </w:rPr>
        <w:t xml:space="preserve">ADM-14·v3</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Esperar a la licitación siguiente, en el año 4, y volver a pagar la implantación y la migración completas.</w:t>
      </w:r>
    </w:p>
    <w:p>
      <w:pPr>
        <w:spacing w:after="140" w:line="276"/>
      </w:pPr>
      <w:r>
        <w:rPr>
          <w:rFonts w:ascii="Calibri" w:cs="Calibri" w:eastAsia="Calibri" w:hAnsi="Calibri"/>
          <w:b/>
          <w:bCs/>
          <w:sz w:val="21"/>
          <w:szCs w:val="21"/>
        </w:rPr>
        <w:t xml:space="preserve">Camino B — el mismo contrato con el catálogo aplicado.</w:t>
      </w:r>
      <w:r>
        <w:rPr>
          <w:rFonts w:ascii="Calibri" w:cs="Calibri" w:eastAsia="Calibri" w:hAnsi="Calibri"/>
          <w:sz w:val="21"/>
          <w:szCs w:val="21"/>
        </w:rPr>
        <w:t xml:space="preserve"> Las tres capacidades del Anexo V están transcritas en el pliego de prescripciones técnicas, con sus criterios de aceptación y su plazo. Forman parte del alcance ordinario y se retribuyen con el precio ofertado. Si a los 12 meses no están, hay penalidad tipificada; si el incumplimiento es de los tasados en </w:t>
      </w:r>
      <w:r>
        <w:rPr>
          <w:rFonts w:ascii="Calibri" w:cs="Calibri" w:eastAsia="Calibri" w:hAnsi="Calibri"/>
          <w:color w:val="2F5496"/>
          <w:sz w:val="21"/>
          <w:szCs w:val="21"/>
        </w:rPr>
        <w:t xml:space="preserve">ADM-6·v3</w:t>
      </w:r>
      <w:r>
        <w:rPr>
          <w:rFonts w:ascii="Calibri" w:cs="Calibri" w:eastAsia="Calibri" w:hAnsi="Calibri"/>
          <w:sz w:val="21"/>
          <w:szCs w:val="21"/>
        </w:rPr>
        <w:t xml:space="preserve">, hay causa de resolución. El acceso de la Intervención a los datos, sin tarificar y en formato abierto, es una condición especial de ejecución del contrato desde el día uno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Qué cuesta el camino B.</w:t>
      </w:r>
      <w:r>
        <w:rPr>
          <w:rFonts w:ascii="Calibri" w:cs="Calibri" w:eastAsia="Calibri" w:hAnsi="Calibri"/>
          <w:sz w:val="21"/>
          <w:szCs w:val="21"/>
        </w:rPr>
        <w:t xml:space="preserve"> Cuesta lo que los licitadores repercutan en su oferta, que es un importe </w:t>
      </w:r>
      <w:r>
        <w:rPr>
          <w:rFonts w:ascii="Calibri" w:cs="Calibri" w:eastAsia="Calibri" w:hAnsi="Calibri"/>
          <w:b/>
          <w:bCs/>
          <w:sz w:val="21"/>
          <w:szCs w:val="21"/>
        </w:rPr>
        <w:t xml:space="preserve">visible, comparado entre varios y sometido a competencia</w:t>
      </w:r>
      <w:r>
        <w:rPr>
          <w:rFonts w:ascii="Calibri" w:cs="Calibri" w:eastAsia="Calibri" w:hAnsi="Calibri"/>
          <w:sz w:val="21"/>
          <w:szCs w:val="21"/>
        </w:rPr>
        <w:t xml:space="preserve"> el día de la licitación. Esa es la diferencia honesta, y es toda la diferencia: no es que salga gratis, es que el precio se forma en un concurso en vez de en una negociación bilateral a mitad de contrato con el único proveedor que puede hacerlo.</w:t>
      </w:r>
    </w:p>
    <w:p>
      <w:pPr>
        <w:spacing w:after="140" w:line="276"/>
      </w:pPr>
      <w:r>
        <w:rPr>
          <w:rFonts w:ascii="Calibri" w:cs="Calibri" w:eastAsia="Calibri" w:hAnsi="Calibri"/>
          <w:b/>
          <w:bCs/>
          <w:sz w:val="21"/>
          <w:szCs w:val="21"/>
        </w:rPr>
        <w:t xml:space="preserve">El efecto umbral, que hay que mirar siempre.</w:t>
      </w:r>
      <w:r>
        <w:rPr>
          <w:rFonts w:ascii="Calibri" w:cs="Calibri" w:eastAsia="Calibri" w:hAnsi="Calibri"/>
          <w:sz w:val="21"/>
          <w:szCs w:val="21"/>
        </w:rPr>
        <w:t xml:space="preserve"> Un contrato de servicios de 90.000 € de valor estimado al que se le añade una reserva de modificación de 12.000 € pasa a 102.000 € y cruza los </w:t>
      </w:r>
      <w:r>
        <w:rPr>
          <w:rFonts w:ascii="Calibri" w:cs="Calibri" w:eastAsia="Calibri" w:hAnsi="Calibri"/>
          <w:b/>
          <w:bCs/>
          <w:sz w:val="21"/>
          <w:szCs w:val="21"/>
        </w:rPr>
        <w:t xml:space="preserve">100.000 €</w:t>
      </w:r>
      <w:r>
        <w:rPr>
          <w:rFonts w:ascii="Calibri" w:cs="Calibri" w:eastAsia="Calibri" w:hAnsi="Calibri"/>
          <w:sz w:val="21"/>
          <w:szCs w:val="21"/>
        </w:rPr>
        <w:t xml:space="preserve"> de valor estimado a partir de los cuales sus pliegos son directamente recurribles en </w:t>
      </w:r>
      <w:r>
        <w:rPr>
          <w:rFonts w:ascii="Calibri" w:cs="Calibri" w:eastAsia="Calibri" w:hAnsi="Calibri"/>
          <w:b/>
          <w:bCs/>
          <w:sz w:val="21"/>
          <w:szCs w:val="21"/>
        </w:rPr>
        <w:t xml:space="preserve">recurso especial</w:t>
      </w:r>
      <w:r>
        <w:rPr>
          <w:rFonts w:ascii="Calibri" w:cs="Calibri" w:eastAsia="Calibri" w:hAnsi="Calibri"/>
          <w:sz w:val="21"/>
          <w:szCs w:val="21"/>
        </w:rPr>
        <w:t xml:space="preserve"> —la impugnación de los pliegos o de la adjudicación ante un tribunal administrativo especializado, con plazos muy breves y sin coste de tasas— (artículo 44.1.a) y 2.a) LCSP). Puede además expulsarlo del procedimiento abierto simplificado (artículo 159.1 LCSP; cuantías vigentes en el </w:t>
      </w:r>
      <w:r>
        <w:rPr>
          <w:rFonts w:ascii="Calibri" w:cs="Calibri" w:eastAsia="Calibri" w:hAnsi="Calibri"/>
          <w:b/>
          <w:bCs/>
          <w:sz w:val="21"/>
          <w:szCs w:val="21"/>
        </w:rPr>
        <w:t xml:space="preserve">Anexo X, apartado X.2</w:t>
      </w:r>
      <w:r>
        <w:rPr>
          <w:rFonts w:ascii="Calibri" w:cs="Calibri" w:eastAsia="Calibri" w:hAnsi="Calibri"/>
          <w:sz w:val="21"/>
          <w:szCs w:val="21"/>
        </w:rPr>
        <w:t xml:space="preserve">). Es decir: mal calculado, el instrumento que se introduce para protegerse abre la puerta que se quería cerrar. Por eso la vía preferente de este catálogo es el Anexo V dentro del precio (Nivel 1) y no la modificación prevista (Nivel 2), que se ofrece redactada pero </w:t>
      </w:r>
      <w:r>
        <w:rPr>
          <w:rFonts w:ascii="Calibri" w:cs="Calibri" w:eastAsia="Calibri" w:hAnsi="Calibri"/>
          <w:b/>
          <w:bCs/>
          <w:sz w:val="21"/>
          <w:szCs w:val="21"/>
        </w:rPr>
        <w:t xml:space="preserve">por defecto no se usa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Las cuatro correcciones al resumen ejecutivo anterior</w:t>
      </w:r>
    </w:p>
    <w:p>
      <w:pPr>
        <w:spacing w:after="140" w:line="276"/>
      </w:pPr>
      <w:r>
        <w:rPr>
          <w:rFonts w:ascii="Calibri" w:cs="Calibri" w:eastAsia="Calibri" w:hAnsi="Calibri"/>
          <w:sz w:val="21"/>
          <w:szCs w:val="21"/>
        </w:rPr>
        <w:t xml:space="preserve">El resumen ejecutivo v1 (el que circuló para presentación en Alcaldía) contiene cuatro afirmaciones que </w:t>
      </w:r>
      <w:r>
        <w:rPr>
          <w:rFonts w:ascii="Calibri" w:cs="Calibri" w:eastAsia="Calibri" w:hAnsi="Calibri"/>
          <w:b/>
          <w:bCs/>
          <w:sz w:val="21"/>
          <w:szCs w:val="21"/>
        </w:rPr>
        <w:t xml:space="preserve">no deben reproducirse</w:t>
      </w:r>
      <w:r>
        <w:rPr>
          <w:rFonts w:ascii="Calibri" w:cs="Calibri" w:eastAsia="Calibri" w:hAnsi="Calibri"/>
          <w:sz w:val="21"/>
          <w:szCs w:val="21"/>
        </w:rPr>
        <w:t xml:space="preserve">. Tres de ellas son, además, exactamente el material con el que se recurre un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Decía el resumen v1</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no se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dice la versión 3.0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el nivel más alto del Esquema Nacional de Seguridad cuando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del ENS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 resulta del análisis del propio sistema conforme al anexo I del RD 311/2022, y puede ser BÁSICA, MEDIA o ALTA. El motivo por el que se anularon los pliegos de Parla fue, literalmente, </w:t>
            </w:r>
            <w:r>
              <w:rPr>
                <w:rFonts w:ascii="Calibri" w:cs="Calibri" w:eastAsia="Calibri" w:hAnsi="Calibri"/>
                <w:b/>
                <w:bCs/>
                <w:sz w:val="18"/>
                <w:szCs w:val="18"/>
              </w:rPr>
              <w:t xml:space="preserve">la falta de justificación de esa exigencia en la memoria justificativa</w:t>
            </w:r>
            <w:r>
              <w:rPr>
                <w:rFonts w:ascii="Calibri" w:cs="Calibri" w:eastAsia="Calibri" w:hAnsi="Calibri"/>
                <w:b w:val="false"/>
                <w:bCs w:val="false"/>
                <w:sz w:val="18"/>
                <w:szCs w:val="18"/>
              </w:rPr>
              <w:t xml:space="preserve"> (art. 116.2 LCSP), tratando la certificación del ENS como habilitación empresarial del art. 65.2 LCSP: el Tribunal no la calificó de desproporcionada (Res. TACP Madrid 383/2024, citada arriba). Que exigir ALTA sin ese análisis sea además una restricción desproporcionada es valoración de este documento, no de la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expediente </w:t>
            </w:r>
            <w:r>
              <w:rPr>
                <w:rFonts w:ascii="Calibri" w:cs="Calibri" w:eastAsia="Calibri" w:hAnsi="Calibri"/>
                <w:b/>
                <w:bCs/>
                <w:sz w:val="18"/>
                <w:szCs w:val="18"/>
              </w:rPr>
              <w:t xml:space="preserve">consigna la categoría que resulte del análisis, antes de aprobar el pliego</w:t>
            </w:r>
            <w:r>
              <w:rPr>
                <w:rFonts w:ascii="Calibri" w:cs="Calibri" w:eastAsia="Calibri" w:hAnsi="Calibri"/>
                <w:b w:val="false"/>
                <w:bCs w:val="false"/>
                <w:sz w:val="18"/>
                <w:szCs w:val="18"/>
              </w:rPr>
              <w:t xml:space="preserve">, y sólo entonces se exige la forma de acreditación que corresponda: certificación en categorías MEDIA y ALTA, declaración de conformidad por autoevaluación en BÁSICA (art. 38.1 RD 311/2022). La rúbrica «ENS Nivel Alto» desaparece del título de la cláusula (</w:t>
            </w:r>
            <w:r>
              <w:rPr>
                <w:rFonts w:ascii="Calibri" w:cs="Calibri" w:eastAsia="Calibri" w:hAnsi="Calibri"/>
                <w:b w:val="false"/>
                <w:bCs w:val="false"/>
                <w:color w:val="2F5496"/>
                <w:sz w:val="18"/>
                <w:szCs w:val="18"/>
              </w:rPr>
              <w:t xml:space="preserve">DT-6·v3</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quien ya tiene la tecnología, hoy»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lo que un licitador </w:t>
            </w:r>
            <w:r>
              <w:rPr>
                <w:rFonts w:ascii="Calibri" w:cs="Calibri" w:eastAsia="Calibri" w:hAnsi="Calibri"/>
                <w:b/>
                <w:bCs/>
                <w:sz w:val="18"/>
                <w:szCs w:val="18"/>
              </w:rPr>
              <w:t xml:space="preserve">ya posee</w:t>
            </w:r>
            <w:r>
              <w:rPr>
                <w:rFonts w:ascii="Calibri" w:cs="Calibri" w:eastAsia="Calibri" w:hAnsi="Calibri"/>
                <w:b w:val="false"/>
                <w:bCs w:val="false"/>
                <w:sz w:val="18"/>
                <w:szCs w:val="18"/>
              </w:rPr>
              <w:t xml:space="preserve"> el día de la licitación valora una característica de la empresa y no una cualidad de la prestación, y otorga ventaja indirecta al contratista previo. El artículo 40.b) LCSP declara anulables, con ese alcance preciso y no otro más amplio, «todas aquellas disposiciones, resoluciones, cláusulas o actos […] que otorguen, de forma directa o indirecta, ventajas a las empresas que hayan contratado previamente con cualquier Administración».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toda puntuación de la tenencia previa —certificaciones, experiencia o medios ya disponibles—. Se puntúa el </w:t>
            </w:r>
            <w:r>
              <w:rPr>
                <w:rFonts w:ascii="Calibri" w:cs="Calibri" w:eastAsia="Calibri" w:hAnsi="Calibri"/>
                <w:b/>
                <w:bCs/>
                <w:sz w:val="18"/>
                <w:szCs w:val="18"/>
              </w:rPr>
              <w:t xml:space="preserve">alcance funcional comprometido y el plazo ofertado</w:t>
            </w:r>
            <w:r>
              <w:rPr>
                <w:rFonts w:ascii="Calibri" w:cs="Calibri" w:eastAsia="Calibri" w:hAnsi="Calibri"/>
                <w:b w:val="false"/>
                <w:bCs w:val="false"/>
                <w:sz w:val="18"/>
                <w:szCs w:val="18"/>
              </w:rPr>
              <w:t xml:space="preserve">, verificables, y la disponibilidad efectiva se asegura por compromiso de adscripción de medios acreditado por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«Alineado con el Reglamento (UE) 2024/1689» (describiendo su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cambió. El </w:t>
            </w:r>
            <w:r>
              <w:rPr>
                <w:rFonts w:ascii="Calibri" w:cs="Calibri" w:eastAsia="Calibri" w:hAnsi="Calibri"/>
                <w:b/>
                <w:bCs/>
                <w:sz w:val="18"/>
                <w:szCs w:val="18"/>
              </w:rPr>
              <w:t xml:space="preserve">Reglamento (UE) 2026/1744 del Parlamento Europeo y del Consejo, de 8 de julio de 2026</w:t>
            </w:r>
            <w:r>
              <w:rPr>
                <w:rFonts w:ascii="Calibri" w:cs="Calibri" w:eastAsia="Calibri" w:hAnsi="Calibri"/>
                <w:b w:val="false"/>
                <w:bCs w:val="false"/>
                <w:sz w:val="18"/>
                <w:szCs w:val="18"/>
              </w:rPr>
              <w:t xml:space="preserve"> (publicado en el Diario Oficial de la Unión Europea el 24 de julio de 2026; referencia del Boletín Oficial del Estado DOUE-L-2026-81147), que modifica el Reglamento (UE) 2024/1689,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artículo 6.2 y el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artículo 6.1 y el anexo I. Los artículos 26 y 27 (obligaciones del responsable del despliegue y evaluación de impacto en derechos fundamentales) están en esa sección 3: </w:t>
            </w:r>
            <w:r>
              <w:rPr>
                <w:rFonts w:ascii="Calibri" w:cs="Calibri" w:eastAsia="Calibri" w:hAnsi="Calibri"/>
                <w:b/>
                <w:bCs/>
                <w:sz w:val="18"/>
                <w:szCs w:val="18"/>
              </w:rPr>
              <w:t xml:space="preserve">hoy no son exigibles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se hace como «Reglamento (UE) 2024/1689, </w:t>
            </w:r>
            <w:r>
              <w:rPr>
                <w:rFonts w:ascii="Calibri" w:cs="Calibri" w:eastAsia="Calibri" w:hAnsi="Calibri"/>
                <w:b/>
                <w:bCs/>
                <w:sz w:val="18"/>
                <w:szCs w:val="18"/>
              </w:rPr>
              <w:t xml:space="preserve">en su redacción vigente</w:t>
            </w:r>
            <w:r>
              <w:rPr>
                <w:rFonts w:ascii="Calibri" w:cs="Calibri" w:eastAsia="Calibri" w:hAnsi="Calibri"/>
                <w:b w:val="false"/>
                <w:bCs w:val="false"/>
                <w:sz w:val="18"/>
                <w:szCs w:val="18"/>
              </w:rPr>
              <w:t xml:space="preserve">», sin fechas en el articulado. El </w:t>
            </w:r>
            <w:r>
              <w:rPr>
                <w:rFonts w:ascii="Calibri" w:cs="Calibri" w:eastAsia="Calibri" w:hAnsi="Calibri"/>
                <w:b/>
                <w:bCs/>
                <w:sz w:val="18"/>
                <w:szCs w:val="18"/>
              </w:rPr>
              <w:t xml:space="preserve">Anexo XI</w:t>
            </w:r>
            <w:r>
              <w:rPr>
                <w:rFonts w:ascii="Calibri" w:cs="Calibri" w:eastAsia="Calibri" w:hAnsi="Calibri"/>
                <w:b w:val="false"/>
                <w:bCs w:val="false"/>
                <w:sz w:val="18"/>
                <w:szCs w:val="18"/>
              </w:rPr>
              <w:t xml:space="preserve"> separa en dos columnas, con fecha de corte expresa, lo que es </w:t>
            </w:r>
            <w:r>
              <w:rPr>
                <w:rFonts w:ascii="Calibri" w:cs="Calibri" w:eastAsia="Calibri" w:hAnsi="Calibri"/>
                <w:b/>
                <w:bCs/>
                <w:sz w:val="18"/>
                <w:szCs w:val="18"/>
              </w:rPr>
              <w:t xml:space="preserve">obligación legal ya exigible</w:t>
            </w:r>
            <w:r>
              <w:rPr>
                <w:rFonts w:ascii="Calibri" w:cs="Calibri" w:eastAsia="Calibri" w:hAnsi="Calibri"/>
                <w:b w:val="false"/>
                <w:bCs w:val="false"/>
                <w:sz w:val="18"/>
                <w:szCs w:val="18"/>
              </w:rPr>
              <w:t xml:space="preserve"> de lo que es </w:t>
            </w:r>
            <w:r>
              <w:rPr>
                <w:rFonts w:ascii="Calibri" w:cs="Calibri" w:eastAsia="Calibri" w:hAnsi="Calibri"/>
                <w:b/>
                <w:bCs/>
                <w:sz w:val="18"/>
                <w:szCs w:val="18"/>
              </w:rPr>
              <w:t xml:space="preserve">exigencia contractual anticipada voluntariamente por el Ayuntamiento</w:t>
            </w:r>
            <w:r>
              <w:rPr>
                <w:rFonts w:ascii="Calibri" w:cs="Calibri" w:eastAsia="Calibri" w:hAnsi="Calibri"/>
                <w:b w:val="false"/>
                <w:bCs w:val="false"/>
                <w:sz w:val="18"/>
                <w:szCs w:val="18"/>
              </w:rPr>
              <w:t xml:space="preserve">; el extracto que se transcribe al pliego técnico es el </w:t>
            </w:r>
            <w:r>
              <w:rPr>
                <w:rFonts w:ascii="Calibri" w:cs="Calibri" w:eastAsia="Calibri" w:hAnsi="Calibri"/>
                <w:b/>
                <w:bCs/>
                <w:sz w:val="18"/>
                <w:szCs w:val="18"/>
              </w:rPr>
              <w:t xml:space="preserve">Anexo XIX</w:t>
            </w:r>
            <w:r>
              <w:rPr>
                <w:rFonts w:ascii="Calibri" w:cs="Calibri" w:eastAsia="Calibri" w:hAnsi="Calibri"/>
                <w:b w:val="false"/>
                <w:bCs w:val="false"/>
                <w:sz w:val="18"/>
                <w:szCs w:val="18"/>
              </w:rPr>
              <w:t xml:space="preserve">. Confundir ambas cosas es un problema de proporcionalidad, no una virtud.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añadido para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cierto tal cual, y la Intervención lo detecta en la primera lectura. El catálogo genera gasto real y previsible: el entorno de pruebas, las horas de seguimiento y de comisión técnica, el ensayo de reversibilidad y, si se activa, 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se dimensiona en el expediente y se traslada al presupuesto base de licitación, con certificado de existencia de crédito (art. 116.3 LCSP). Lo que sí es cierto —y es lo defendible— es que </w:t>
            </w:r>
            <w:r>
              <w:rPr>
                <w:rFonts w:ascii="Calibri" w:cs="Calibri" w:eastAsia="Calibri" w:hAnsi="Calibri"/>
                <w:b/>
                <w:bCs/>
                <w:sz w:val="18"/>
                <w:szCs w:val="18"/>
              </w:rPr>
              <w:t xml:space="preserve">el Anexo V se retribuye con el precio ofertado y no requiere expediente de modificación</w:t>
            </w:r>
            <w:r>
              <w:rPr>
                <w:rFonts w:ascii="Calibri" w:cs="Calibri" w:eastAsia="Calibri" w:hAnsi="Calibri"/>
                <w:b w:val="false"/>
                <w:bCs w:val="false"/>
                <w:sz w:val="18"/>
                <w:szCs w:val="18"/>
              </w:rPr>
              <w:t xml:space="preserve">: es alcance ordinario, no gasto sobrevenido.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0.3 Qué se promete y qué no se promete</w:t>
      </w:r>
    </w:p>
    <w:p>
      <w:pPr>
        <w:spacing w:after="140" w:line="276"/>
      </w:pPr>
      <w:r>
        <w:rPr>
          <w:rFonts w:ascii="Calibri" w:cs="Calibri" w:eastAsia="Calibri" w:hAnsi="Calibri"/>
          <w:sz w:val="21"/>
          <w:szCs w:val="21"/>
        </w:rPr>
        <w:t xml:space="preserve">Este apartado va en la primera parte del documento y no escondido al final, porque es la primera pregunta que hace quien tiene que informar o fiscalizar.</w:t>
      </w:r>
    </w:p>
    <w:p>
      <w:pPr>
        <w:pStyle w:val="Heading3"/>
        <w:keepNext/>
        <w:spacing w:after="140" w:before="320"/>
      </w:pPr>
      <w:r>
        <w:rPr>
          <w:rFonts w:ascii="Georgia" w:cs="Georgia" w:eastAsia="Georgia" w:hAnsi="Georgia"/>
          <w:b/>
          <w:bCs/>
          <w:color w:val="2F5496"/>
          <w:sz w:val="22"/>
          <w:szCs w:val="22"/>
        </w:rPr>
        <w:t xml:space="preserve">Lo que NO se promete</w:t>
      </w:r>
    </w:p>
    <w:p>
      <w:pPr>
        <w:spacing w:after="140" w:line="276"/>
      </w:pPr>
      <w:r>
        <w:rPr>
          <w:rFonts w:ascii="Calibri" w:cs="Calibri" w:eastAsia="Calibri" w:hAnsi="Calibri"/>
          <w:b/>
          <w:bCs/>
          <w:sz w:val="21"/>
          <w:szCs w:val="21"/>
        </w:rPr>
        <w:t xml:space="preserve">No se promete que ningún tribunal pueda anular nada.</w:t>
      </w:r>
      <w:r>
        <w:rPr>
          <w:rFonts w:ascii="Calibri" w:cs="Calibri" w:eastAsia="Calibri" w:hAnsi="Calibri"/>
          <w:sz w:val="21"/>
          <w:szCs w:val="21"/>
        </w:rPr>
        <w:t xml:space="preserve"> Ni un pliego, ni una cláusula, ni una adjudicación. Cualquier documento que prometa eso pierde su credibilidad en la línea siguiente, y con razón.</w:t>
      </w:r>
    </w:p>
    <w:p>
      <w:pPr>
        <w:spacing w:after="140" w:line="276"/>
      </w:pPr>
      <w:r>
        <w:rPr>
          <w:rFonts w:ascii="Calibri" w:cs="Calibri" w:eastAsia="Calibri" w:hAnsi="Calibri"/>
          <w:b/>
          <w:bCs/>
          <w:sz w:val="21"/>
          <w:szCs w:val="21"/>
        </w:rPr>
        <w:t xml:space="preserve">No se promete que no haya recursos.</w:t>
      </w:r>
      <w:r>
        <w:rPr>
          <w:rFonts w:ascii="Calibri" w:cs="Calibri" w:eastAsia="Calibri" w:hAnsi="Calibri"/>
          <w:sz w:val="21"/>
          <w:szCs w:val="21"/>
        </w:rPr>
        <w:t xml:space="preserve"> Los pliegos de un contrato de servicios con valor estimado superior a 100.000 € son directamente recurribles (art. 44.1.a) y 2.a) LCSP), y estas materias son nuevas. Es razonable esperar que alguno de los primeros pliegos que apliquen este catálogo sea recurrido.</w:t>
      </w:r>
    </w:p>
    <w:p>
      <w:pPr>
        <w:spacing w:after="140" w:line="276"/>
      </w:pPr>
      <w:r>
        <w:rPr>
          <w:rFonts w:ascii="Calibri" w:cs="Calibri" w:eastAsia="Calibri" w:hAnsi="Calibri"/>
          <w:b/>
          <w:bCs/>
          <w:sz w:val="21"/>
          <w:szCs w:val="21"/>
        </w:rPr>
        <w:t xml:space="preserve">No se promete que exista doctrina que ampare estas cláusulas.</w:t>
      </w:r>
      <w:r>
        <w:rPr>
          <w:rFonts w:ascii="Calibri" w:cs="Calibri" w:eastAsia="Calibri" w:hAnsi="Calibri"/>
          <w:sz w:val="21"/>
          <w:szCs w:val="21"/>
        </w:rPr>
        <w:t xml:space="preserve"> Doctrina, aquí, son las resoluciones de los tribunales administrativos de contratación y los informes de las juntas consultivas que ya han resuelto un caso parecido y orientan cómo se aplica la ley. No la hay. A fecha de corte de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y tras búsqueda en los repositorios de resoluciones de los tribunales administrativos de recursos contractuales y de las juntas consultivas de contratación, </w:t>
      </w:r>
      <w:r>
        <w:rPr>
          <w:rFonts w:ascii="Calibri" w:cs="Calibri" w:eastAsia="Calibri" w:hAnsi="Calibri"/>
          <w:b/>
          <w:bCs/>
          <w:sz w:val="21"/>
          <w:szCs w:val="21"/>
        </w:rPr>
        <w:t xml:space="preserve">no consta</w:t>
      </w:r>
      <w:r>
        <w:rPr>
          <w:rFonts w:ascii="Calibri" w:cs="Calibri" w:eastAsia="Calibri" w:hAnsi="Calibri"/>
          <w:sz w:val="21"/>
          <w:szCs w:val="21"/>
        </w:rPr>
        <w:t xml:space="preserve"> resolución ni informe sobre condiciones especiales de ejecución de contenido tecnológico-evolutivo, sobre interfaces de acceso para agentes de inteligencia artificial, sobre la norma ISO/IEC 42001 —la norma internacional de sistemas de gestión de la inteligencia artificial— como criterio de adjudicación, ni sobre demostraciones funcionales de software. Todas las resoluciones que este documento cita se citan </w:t>
      </w:r>
      <w:r>
        <w:rPr>
          <w:rFonts w:ascii="Calibri" w:cs="Calibri" w:eastAsia="Calibri" w:hAnsi="Calibri"/>
          <w:b/>
          <w:bCs/>
          <w:sz w:val="21"/>
          <w:szCs w:val="21"/>
        </w:rPr>
        <w:t xml:space="preserve">como doctrina general trasladada por analogía, y así se dice en cada caso</w:t>
      </w:r>
      <w:r>
        <w:rPr>
          <w:rFonts w:ascii="Calibri" w:cs="Calibri" w:eastAsia="Calibri" w:hAnsi="Calibri"/>
          <w:sz w:val="21"/>
          <w:szCs w:val="21"/>
        </w:rPr>
        <w:t xml:space="preserve">: hablan de justificación en el expediente, de equivalencia, de precisión en las obligaciones esenciales o de criterios de adjudicación, no de inteligencia artificial.</w:t>
      </w:r>
    </w:p>
    <w:p>
      <w:pPr>
        <w:spacing w:after="140" w:line="276"/>
      </w:pPr>
      <w:r>
        <w:rPr>
          <w:rFonts w:ascii="Calibri" w:cs="Calibri" w:eastAsia="Calibri" w:hAnsi="Calibri"/>
          <w:sz w:val="21"/>
          <w:szCs w:val="21"/>
        </w:rPr>
        <w:t xml:space="preserve">Sobre el alcance de esa afirmación, y vale para todas las que este documento hace en el mismo sentido: es una </w:t>
      </w:r>
      <w:r>
        <w:rPr>
          <w:rFonts w:ascii="Calibri" w:cs="Calibri" w:eastAsia="Calibri" w:hAnsi="Calibri"/>
          <w:b/>
          <w:bCs/>
          <w:sz w:val="21"/>
          <w:szCs w:val="21"/>
        </w:rPr>
        <w:t xml:space="preserve">afirmación negativa</w:t>
      </w:r>
      <w:r>
        <w:rPr>
          <w:rFonts w:ascii="Calibri" w:cs="Calibri" w:eastAsia="Calibri" w:hAnsi="Calibri"/>
          <w:sz w:val="21"/>
          <w:szCs w:val="21"/>
        </w:rPr>
        <w:t xml:space="preserve"> y no es demostrable de forma exhaustiva. Lo que se afirma es que la búsqueda descrita, en los repositorios enumerados y a la fecha de corte indicada, no ha localizado doctrina sobre estas materias. No se afirma que no exista en ningún repositorio. Quien conozca una resolución en contrario tiene con ello un argumento, y el catálogo tiene una corrección que hacer.</w:t>
      </w:r>
    </w:p>
    <w:p>
      <w:pPr>
        <w:spacing w:after="140" w:line="276"/>
      </w:pPr>
      <w:r>
        <w:rPr>
          <w:rFonts w:ascii="Calibri" w:cs="Calibri" w:eastAsia="Calibri" w:hAnsi="Calibri"/>
          <w:b/>
          <w:bCs/>
          <w:sz w:val="21"/>
          <w:szCs w:val="21"/>
        </w:rPr>
        <w:t xml:space="preserve">No se promete capacidad de seguimiento que el Ayuntamiento no tenga.</w:t>
      </w:r>
      <w:r>
        <w:rPr>
          <w:rFonts w:ascii="Calibri" w:cs="Calibri" w:eastAsia="Calibri" w:hAnsi="Calibri"/>
          <w:sz w:val="21"/>
          <w:szCs w:val="21"/>
        </w:rPr>
        <w:t xml:space="preserve"> El área de contratación municipal advirtió que «son pocos los contratos en los que se haga un seguimiento real y este se basa exclusivamente en el control del gasto». La advertencia se ha incorporado como regla: </w:t>
      </w:r>
      <w:r>
        <w:rPr>
          <w:rFonts w:ascii="Calibri" w:cs="Calibri" w:eastAsia="Calibri" w:hAnsi="Calibri"/>
          <w:b/>
          <w:bCs/>
          <w:sz w:val="21"/>
          <w:szCs w:val="21"/>
        </w:rPr>
        <w:t xml:space="preserve">no se incorpora a un pliego ninguna cláusula cuya verificación no tenga actor municipal designado y periodicidad</w:t>
      </w:r>
      <w:r>
        <w:rPr>
          <w:rFonts w:ascii="Calibri" w:cs="Calibri" w:eastAsia="Calibri" w:hAnsi="Calibri"/>
          <w:sz w:val="21"/>
          <w:szCs w:val="21"/>
        </w:rPr>
        <w:t xml:space="preserve">, y cada cláusula de este documento declara, en su epígrafe </w:t>
      </w:r>
      <w:r>
        <w:rPr>
          <w:rFonts w:ascii="Calibri" w:cs="Calibri" w:eastAsia="Calibri" w:hAnsi="Calibri"/>
          <w:i/>
          <w:iCs/>
          <w:sz w:val="21"/>
          <w:szCs w:val="21"/>
        </w:rPr>
        <w:t xml:space="preserve">cómo se verifica</w:t>
      </w:r>
      <w:r>
        <w:rPr>
          <w:rFonts w:ascii="Calibri" w:cs="Calibri" w:eastAsia="Calibri" w:hAnsi="Calibri"/>
          <w:sz w:val="21"/>
          <w:szCs w:val="21"/>
        </w:rPr>
        <w:t xml:space="preserve">, la carga estimada al año. Crear obligaciones esenciales que después nadie comprueba es peor que no crearlas, y la Intervención lo hará constar.</w:t>
      </w:r>
    </w:p>
    <w:p>
      <w:pPr>
        <w:pStyle w:val="Heading3"/>
        <w:keepNext/>
        <w:spacing w:after="140" w:before="320"/>
      </w:pPr>
      <w:r>
        <w:rPr>
          <w:rFonts w:ascii="Georgia" w:cs="Georgia" w:eastAsia="Georgia" w:hAnsi="Georgia"/>
          <w:b/>
          <w:bCs/>
          <w:color w:val="2F5496"/>
          <w:sz w:val="22"/>
          <w:szCs w:val="22"/>
        </w:rPr>
        <w:t xml:space="preserve">Lo que sí se promete</w:t>
      </w:r>
    </w:p>
    <w:p>
      <w:pPr>
        <w:spacing w:after="140" w:line="276"/>
      </w:pPr>
      <w:r>
        <w:rPr>
          <w:rFonts w:ascii="Calibri" w:cs="Calibri" w:eastAsia="Calibri" w:hAnsi="Calibri"/>
          <w:sz w:val="21"/>
          <w:szCs w:val="21"/>
        </w:rPr>
        <w:t xml:space="preserve">Se promete lo que es diseñable, y son cinco cosas, verificables una por una en cualquier cláusula del documento:</w:t>
      </w:r>
    </w:p>
    <w:p>
      <w:pPr>
        <w:pStyle w:val="ListParagraph"/>
        <w:numPr>
          <w:ilvl w:val="0"/>
          <w:numId w:val="2"/>
        </w:numPr>
        <w:spacing w:after="70" w:line="268"/>
      </w:pPr>
      <w:r>
        <w:rPr>
          <w:rFonts w:ascii="Calibri" w:cs="Calibri" w:eastAsia="Calibri" w:hAnsi="Calibri"/>
          <w:b/>
          <w:bCs/>
          <w:sz w:val="21"/>
          <w:szCs w:val="21"/>
        </w:rPr>
        <w:t xml:space="preserve">Cada exigencia tiene una necesidad identificada</w:t>
      </w:r>
      <w:r>
        <w:rPr>
          <w:rFonts w:ascii="Calibri" w:cs="Calibri" w:eastAsia="Calibri" w:hAnsi="Calibri"/>
          <w:sz w:val="21"/>
          <w:szCs w:val="21"/>
        </w:rPr>
        <w:t xml:space="preserve">, escrita, y con un titular que la firma.</w:t>
      </w:r>
    </w:p>
    <w:p>
      <w:pPr>
        <w:pStyle w:val="ListParagraph"/>
        <w:numPr>
          <w:ilvl w:val="0"/>
          <w:numId w:val="2"/>
        </w:numPr>
        <w:spacing w:after="70" w:line="268"/>
      </w:pPr>
      <w:r>
        <w:rPr>
          <w:rFonts w:ascii="Calibri" w:cs="Calibri" w:eastAsia="Calibri" w:hAnsi="Calibri"/>
          <w:b/>
          <w:bCs/>
          <w:sz w:val="21"/>
          <w:szCs w:val="21"/>
        </w:rPr>
        <w:t xml:space="preserve">Cada exigencia usa el instrumento correcto</w:t>
      </w:r>
      <w:r>
        <w:rPr>
          <w:rFonts w:ascii="Calibri" w:cs="Calibri" w:eastAsia="Calibri" w:hAnsi="Calibri"/>
          <w:sz w:val="21"/>
          <w:szCs w:val="21"/>
        </w:rPr>
        <w:t xml:space="preserve">: prescripción técnica, criterio de solvencia, adscripción de medios, condición especial de ejecución o criterio de adjudicación —una sola vez y sólo uno—. La asignación está en el Cuadro Maestro (</w:t>
      </w:r>
      <w:r>
        <w:rPr>
          <w:rFonts w:ascii="Calibri" w:cs="Calibri" w:eastAsia="Calibri" w:hAnsi="Calibri"/>
          <w:b/>
          <w:bCs/>
          <w:sz w:val="21"/>
          <w:szCs w:val="21"/>
        </w:rPr>
        <w:t xml:space="preserve">Anexo I</w:t>
      </w:r>
      <w:r>
        <w:rPr>
          <w:rFonts w:ascii="Calibri" w:cs="Calibri" w:eastAsia="Calibri" w:hAnsi="Calibri"/>
          <w:sz w:val="21"/>
          <w:szCs w:val="21"/>
        </w:rPr>
        <w:t xml:space="preserve">), y la regla de separación de instrumentos, con las combinaciones que prohíbe por producir doble cómputo, en la </w:t>
      </w:r>
      <w:r>
        <w:rPr>
          <w:rFonts w:ascii="Calibri" w:cs="Calibri" w:eastAsia="Calibri" w:hAnsi="Calibri"/>
          <w:b/>
          <w:bCs/>
          <w:sz w:val="21"/>
          <w:szCs w:val="21"/>
        </w:rPr>
        <w:t xml:space="preserve">Parte I, §7.3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Cada exigencia tiene un medio de acreditación tasado</w:t>
      </w:r>
      <w:r>
        <w:rPr>
          <w:rFonts w:ascii="Calibri" w:cs="Calibri" w:eastAsia="Calibri" w:hAnsi="Calibri"/>
          <w:sz w:val="21"/>
          <w:szCs w:val="21"/>
        </w:rPr>
        <w:t xml:space="preserve">: qué documento la prueba, quién lo presenta y en qué momento del procedimiento.</w:t>
      </w:r>
    </w:p>
    <w:p>
      <w:pPr>
        <w:pStyle w:val="ListParagraph"/>
        <w:numPr>
          <w:ilvl w:val="0"/>
          <w:numId w:val="2"/>
        </w:numPr>
        <w:spacing w:after="70" w:line="268"/>
      </w:pPr>
      <w:r>
        <w:rPr>
          <w:rFonts w:ascii="Calibri" w:cs="Calibri" w:eastAsia="Calibri" w:hAnsi="Calibri"/>
          <w:b/>
          <w:bCs/>
          <w:sz w:val="21"/>
          <w:szCs w:val="21"/>
        </w:rPr>
        <w:t xml:space="preserve">Cada exigencia tiene una consecuencia tasada</w:t>
      </w:r>
      <w:r>
        <w:rPr>
          <w:rFonts w:ascii="Calibri" w:cs="Calibri" w:eastAsia="Calibri" w:hAnsi="Calibri"/>
          <w:sz w:val="21"/>
          <w:szCs w:val="21"/>
        </w:rPr>
        <w:t xml:space="preserve">: qué penalidad, con qué cuantía y sobre qué base; y si es o no obligación esencial, sabiendo que el artículo 211.1.f).2.º LCSP exige que las obligaciones esenciales figuren «de manera precisa, clara e inequívoca en los pliegos» y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La caída de una pieza no arrastra las demás, salvo las relaciones de presupuesto necesario identificadas en la tabla de dependencias del Anexo VI.</w:t>
      </w:r>
      <w:r>
        <w:rPr>
          <w:rFonts w:ascii="Calibri" w:cs="Calibri" w:eastAsia="Calibri" w:hAnsi="Calibri"/>
          <w:sz w:val="21"/>
          <w:szCs w:val="21"/>
        </w:rPr>
        <w:t xml:space="preserve"> La Parte I incorpora una cláusula de separabilidad: la nulidad o anulación de una cláusula o de un criterio no afecta a la validez de los restantes. La excepción no es retórica y está enumerada cláusula por cláusula: hay cláusulas que carecen de objeto sin aquella de la que dependen, y el Anexo VI dice cuáles y qué menciones arrastran. Para las cláusulas y obligaciones, opera directamente. Para los </w:t>
      </w:r>
      <w:r>
        <w:rPr>
          <w:rFonts w:ascii="Calibri" w:cs="Calibri" w:eastAsia="Calibri" w:hAnsi="Calibri"/>
          <w:b/>
          <w:bCs/>
          <w:sz w:val="21"/>
          <w:szCs w:val="21"/>
        </w:rPr>
        <w:t xml:space="preserve">criterios de adjudicación</w:t>
      </w:r>
      <w:r>
        <w:rPr>
          <w:rFonts w:ascii="Calibri" w:cs="Calibri" w:eastAsia="Calibri" w:hAnsi="Calibri"/>
          <w:sz w:val="21"/>
          <w:szCs w:val="21"/>
        </w:rPr>
        <w:t xml:space="preserve">, el reescalado de ponderaciones no es una operación que pueda hacerse sin más una vez conocidas las ofertas, de modo que su inclusión requiere informe previo del órgano al que corresponda el informe jurídico preceptivo.</w:t>
      </w:r>
    </w:p>
    <w:p>
      <w:pPr>
        <w:spacing w:after="140" w:line="276"/>
      </w:pPr>
      <w:r>
        <w:rPr>
          <w:rFonts w:ascii="Calibri" w:cs="Calibri" w:eastAsia="Calibri" w:hAnsi="Calibri"/>
          <w:sz w:val="21"/>
          <w:szCs w:val="21"/>
        </w:rPr>
        <w:t xml:space="preserve">Y una promesa de método, que es la que sostiene todo lo anterior: </w:t>
      </w:r>
      <w:r>
        <w:rPr>
          <w:rFonts w:ascii="Calibri" w:cs="Calibri" w:eastAsia="Calibri" w:hAnsi="Calibri"/>
          <w:b/>
          <w:bCs/>
          <w:sz w:val="21"/>
          <w:szCs w:val="21"/>
        </w:rPr>
        <w:t xml:space="preserve">sólo se cita lo verificado en fuente primaria</w:t>
      </w:r>
      <w:r>
        <w:rPr>
          <w:rFonts w:ascii="Calibri" w:cs="Calibri" w:eastAsia="Calibri" w:hAnsi="Calibri"/>
          <w:sz w:val="21"/>
          <w:szCs w:val="21"/>
        </w:rPr>
        <w:t xml:space="preserve">. Toda resolución citada lleva órgano, número, fecha, número de recurso y localización, y su texto íntegro debe incorporarse al expediente que la invoque. Donde no hay doctrina, este documento dice que no la hay.</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0.4 Cómo se usa, paso a paso</w:t>
      </w:r>
    </w:p>
    <w:p>
      <w:pPr>
        <w:spacing w:after="140" w:line="276"/>
      </w:pPr>
      <w:r>
        <w:rPr>
          <w:rFonts w:ascii="Calibri" w:cs="Calibri" w:eastAsia="Calibri" w:hAnsi="Calibri"/>
          <w:sz w:val="21"/>
          <w:szCs w:val="21"/>
        </w:rPr>
        <w:t xml:space="preserve">Dirigido a quien tiene que redactar un pliego. El orden importa: </w:t>
      </w: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es la consecuencia de la necesidad, no su sustituto; hacerlo al revés produce exactamente lo que hay que evitar, que es rellenar la necesidad para justificar una casilla ya marcada.</w:t>
      </w:r>
    </w:p>
    <w:p>
      <w:pPr>
        <w:spacing w:after="140" w:line="276"/>
      </w:pPr>
      <w:r>
        <w:rPr>
          <w:rFonts w:ascii="Calibri" w:cs="Calibri" w:eastAsia="Calibri" w:hAnsi="Calibri"/>
          <w:b/>
          <w:bCs/>
          <w:sz w:val="21"/>
          <w:szCs w:val="21"/>
        </w:rPr>
        <w:t xml:space="preserve">Qué es este apartado y qué no es.</w:t>
      </w:r>
      <w:r>
        <w:rPr>
          <w:rFonts w:ascii="Calibri" w:cs="Calibri" w:eastAsia="Calibri" w:hAnsi="Calibri"/>
          <w:sz w:val="21"/>
          <w:szCs w:val="21"/>
        </w:rPr>
        <w:t xml:space="preserve"> Es el </w:t>
      </w:r>
      <w:r>
        <w:rPr>
          <w:rFonts w:ascii="Calibri" w:cs="Calibri" w:eastAsia="Calibri" w:hAnsi="Calibri"/>
          <w:b/>
          <w:bCs/>
          <w:sz w:val="21"/>
          <w:szCs w:val="21"/>
        </w:rPr>
        <w:t xml:space="preserve">resumen ejecutivo</w:t>
      </w:r>
      <w:r>
        <w:rPr>
          <w:rFonts w:ascii="Calibri" w:cs="Calibri" w:eastAsia="Calibri" w:hAnsi="Calibri"/>
          <w:sz w:val="21"/>
          <w:szCs w:val="21"/>
        </w:rPr>
        <w:t xml:space="preserve"> del circuito. El circuito operativo, con sus veintiún documentos, quién firma cada uno y cuál se publica, es la </w:t>
      </w:r>
      <w:r>
        <w:rPr>
          <w:rFonts w:ascii="Calibri" w:cs="Calibri" w:eastAsia="Calibri" w:hAnsi="Calibri"/>
          <w:b/>
          <w:bCs/>
          <w:sz w:val="21"/>
          <w:szCs w:val="21"/>
        </w:rPr>
        <w:t xml:space="preserve">Parte V, V.2.1</w:t>
      </w:r>
      <w:r>
        <w:rPr>
          <w:rFonts w:ascii="Calibri" w:cs="Calibri" w:eastAsia="Calibri" w:hAnsi="Calibri"/>
          <w:sz w:val="21"/>
          <w:szCs w:val="21"/>
        </w:rPr>
        <w:t xml:space="preserve">, y manda sobre este resumen en caso de discrepancia. Este apartado </w:t>
      </w:r>
      <w:r>
        <w:rPr>
          <w:rFonts w:ascii="Calibri" w:cs="Calibri" w:eastAsia="Calibri" w:hAnsi="Calibri"/>
          <w:b/>
          <w:bCs/>
          <w:sz w:val="21"/>
          <w:szCs w:val="21"/>
        </w:rPr>
        <w:t xml:space="preserve">no cubre</w:t>
      </w:r>
      <w:r>
        <w:rPr>
          <w:rFonts w:ascii="Calibri" w:cs="Calibri" w:eastAsia="Calibri" w:hAnsi="Calibri"/>
          <w:sz w:val="21"/>
          <w:szCs w:val="21"/>
        </w:rPr>
        <w:t xml:space="preserve"> dos decisiones del expediente que sí están allí: la división en lotes y su motivación (art. 116.4.g LCSP) y la elección del procedimiento (art. 116.4.a). Quien redacta un pliego pasa por V.2.1; quien sólo necesita entender el recorrido se queda aquí.</w:t>
      </w:r>
    </w:p>
    <w:p>
      <w:pPr>
        <w:spacing w:after="140" w:line="276"/>
      </w:pPr>
      <w:r>
        <w:rPr>
          <w:rFonts w:ascii="Calibri" w:cs="Calibri" w:eastAsia="Calibri" w:hAnsi="Calibri"/>
          <w:sz w:val="21"/>
          <w:szCs w:val="21"/>
        </w:rPr>
        <w:t xml:space="preserve">Antes de los pasos del expediente hay un </w:t>
      </w:r>
      <w:r>
        <w:rPr>
          <w:rFonts w:ascii="Calibri" w:cs="Calibri" w:eastAsia="Calibri" w:hAnsi="Calibri"/>
          <w:b/>
          <w:bCs/>
          <w:sz w:val="21"/>
          <w:szCs w:val="21"/>
        </w:rPr>
        <w:t xml:space="preserve">paso previo anual</w:t>
      </w:r>
      <w:r>
        <w:rPr>
          <w:rFonts w:ascii="Calibri" w:cs="Calibri" w:eastAsia="Calibri" w:hAnsi="Calibri"/>
          <w:sz w:val="21"/>
          <w:szCs w:val="21"/>
        </w:rPr>
        <w:t xml:space="preserve">, que no es de ningún expediente sino del Ayuntamiento entero.</w:t>
      </w:r>
    </w:p>
    <w:p>
      <w:pPr>
        <w:pStyle w:val="Heading3"/>
        <w:keepNext/>
        <w:spacing w:after="140" w:before="320"/>
      </w:pPr>
      <w:r>
        <w:rPr>
          <w:rFonts w:ascii="Georgia" w:cs="Georgia" w:eastAsia="Georgia" w:hAnsi="Georgia"/>
          <w:b/>
          <w:bCs/>
          <w:color w:val="2F5496"/>
          <w:sz w:val="22"/>
          <w:szCs w:val="22"/>
        </w:rPr>
        <w:t xml:space="preserve">Paso previo · Una vez al año, antes de que se abra ningún expediente</w:t>
      </w:r>
    </w:p>
    <w:p>
      <w:pPr>
        <w:spacing w:after="140" w:line="276"/>
      </w:pPr>
      <w:r>
        <w:rPr>
          <w:rFonts w:ascii="Calibri" w:cs="Calibri" w:eastAsia="Calibri" w:hAnsi="Calibri"/>
          <w:sz w:val="21"/>
          <w:szCs w:val="21"/>
        </w:rPr>
        <w:t xml:space="preserve">El órgano de gobierno municipal (en el régimen de los municipios de gran población, la Junta de Gobierno Local; en el régimen común, el órgano que corresponda) aprueba dos cosas: el </w:t>
      </w:r>
      <w:r>
        <w:rPr>
          <w:rFonts w:ascii="Calibri" w:cs="Calibri" w:eastAsia="Calibri" w:hAnsi="Calibri"/>
          <w:b/>
          <w:bCs/>
          <w:sz w:val="21"/>
          <w:szCs w:val="21"/>
        </w:rPr>
        <w:t xml:space="preserve">plan municipal de digitalización</w:t>
      </w:r>
      <w:r>
        <w:rPr>
          <w:rFonts w:ascii="Calibri" w:cs="Calibri" w:eastAsia="Calibri" w:hAnsi="Calibri"/>
          <w:sz w:val="21"/>
          <w:szCs w:val="21"/>
        </w:rPr>
        <w:t xml:space="preserve"> que fija el objetivo y el calendario, y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con las exigencias tecnológicas determinadas, precedido de un contraste de mercado documentado y centralizado.</w:t>
      </w:r>
    </w:p>
    <w:p>
      <w:pPr>
        <w:spacing w:after="140" w:line="276"/>
      </w:pPr>
      <w:r>
        <w:rPr>
          <w:rFonts w:ascii="Calibri" w:cs="Calibri" w:eastAsia="Calibri" w:hAnsi="Calibri"/>
          <w:sz w:val="21"/>
          <w:szCs w:val="21"/>
        </w:rPr>
        <w:t xml:space="preserve">Esto no es burocracia añadida: es el eslabón sin el cual el paso 1 no se puede escribir. Hay exigencias que ninguna norma impone y que ningún gestor pedirá nunca, porque no nacen de su servicio. Si no existe un acto del órgano de gobierno que las asuma como política municipal, el redactor acabará poniendo el mismo párrafo en todos los expedientes —justificación estereotipada— y volveremos al punto de partida con más papel. Modelo del acuerdo del órgano de gobierno en el </w:t>
      </w:r>
      <w:r>
        <w:rPr>
          <w:rFonts w:ascii="Calibri" w:cs="Calibri" w:eastAsia="Calibri" w:hAnsi="Calibri"/>
          <w:b/>
          <w:bCs/>
          <w:sz w:val="21"/>
          <w:szCs w:val="21"/>
        </w:rPr>
        <w:t xml:space="preserve">Anexo VIII</w:t>
      </w:r>
      <w:r>
        <w:rPr>
          <w:rFonts w:ascii="Calibri" w:cs="Calibri" w:eastAsia="Calibri" w:hAnsi="Calibri"/>
          <w:sz w:val="21"/>
          <w:szCs w:val="21"/>
        </w:rPr>
        <w:t xml:space="preserve">; modelo de la resolución que aprueba cada año el Anexo V, en el </w:t>
      </w:r>
      <w:r>
        <w:rPr>
          <w:rFonts w:ascii="Calibri" w:cs="Calibri" w:eastAsia="Calibri" w:hAnsi="Calibri"/>
          <w:b/>
          <w:bCs/>
          <w:sz w:val="21"/>
          <w:szCs w:val="21"/>
        </w:rPr>
        <w:t xml:space="preserve">Anexo XV</w:t>
      </w:r>
      <w:r>
        <w:rPr>
          <w:rFonts w:ascii="Calibri" w:cs="Calibri" w:eastAsia="Calibri" w:hAnsi="Calibri"/>
          <w:sz w:val="21"/>
          <w:szCs w:val="21"/>
        </w:rPr>
        <w:t xml:space="preserve">. El contraste de mercado se hace </w:t>
      </w:r>
      <w:r>
        <w:rPr>
          <w:rFonts w:ascii="Calibri" w:cs="Calibri" w:eastAsia="Calibri" w:hAnsi="Calibri"/>
          <w:b/>
          <w:bCs/>
          <w:sz w:val="21"/>
          <w:szCs w:val="21"/>
        </w:rPr>
        <w:t xml:space="preserve">una vez al año y de forma centralizada</w:t>
      </w:r>
      <w:r>
        <w:rPr>
          <w:rFonts w:ascii="Calibri" w:cs="Calibri" w:eastAsia="Calibri" w:hAnsi="Calibri"/>
          <w:sz w:val="21"/>
          <w:szCs w:val="21"/>
        </w:rPr>
        <w:t xml:space="preserve">, no expediente por expediente, porque por expediente es inasumible; su modelo de anuncio e informe está en el </w:t>
      </w:r>
      <w:r>
        <w:rPr>
          <w:rFonts w:ascii="Calibri" w:cs="Calibri" w:eastAsia="Calibri" w:hAnsi="Calibri"/>
          <w:b/>
          <w:bCs/>
          <w:sz w:val="21"/>
          <w:szCs w:val="21"/>
        </w:rPr>
        <w:t xml:space="preserve">Anexo XXII</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Los pasos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tiene la pluma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el servicio competente (informática, Intervención) para las necesidades normativas o institucionales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firmante de la necesidad correspondiente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Categorización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Categoría y Declaración de Aplicabilidad: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Recorte y transcripción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con 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Apartado del 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por criterio y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w:t>
            </w:r>
            <w:r>
              <w:rPr>
                <w:rFonts w:ascii="Calibri" w:cs="Calibri" w:eastAsia="Calibri" w:hAnsi="Calibri"/>
                <w:b/>
                <w:bCs/>
                <w:sz w:val="18"/>
                <w:szCs w:val="18"/>
              </w:rPr>
              <w:t xml:space="preserve">valor estimado (VE)</w:t>
            </w:r>
            <w:r>
              <w:rPr>
                <w:rFonts w:ascii="Calibri" w:cs="Calibri" w:eastAsia="Calibri" w:hAnsi="Calibri"/>
                <w:b w:val="false"/>
                <w:bCs w:val="false"/>
                <w:sz w:val="18"/>
                <w:szCs w:val="18"/>
              </w:rPr>
              <w:t xml:space="preserve"> y del </w:t>
            </w:r>
            <w:r>
              <w:rPr>
                <w:rFonts w:ascii="Calibri" w:cs="Calibri" w:eastAsia="Calibri" w:hAnsi="Calibri"/>
                <w:b/>
                <w:bCs/>
                <w:sz w:val="18"/>
                <w:szCs w:val="18"/>
              </w:rPr>
              <w:t xml:space="preserve">presupuesto base de licitación (PBL)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Conflicto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informe jurídico y fiscalización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 informe jurídico · 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 V.10, con los parámetros y umbrales del Anexo X, más los informes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Carpeta de defensa</w:t>
            </w:r>
            <w:r>
              <w:rPr>
                <w:rFonts w:ascii="Calibri" w:cs="Calibri" w:eastAsia="Calibri" w:hAnsi="Calibri"/>
                <w:b w:val="false"/>
                <w:bCs w:val="false"/>
                <w:sz w:val="18"/>
                <w:szCs w:val="18"/>
              </w:rPr>
              <w:t xml:space="preserve">,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r>
    </w:tbl>
    <w:p>
      <w:pPr>
        <w:spacing w:after="200"/>
      </w:pPr>
    </w:p>
    <w:p>
      <w:pPr>
        <w:spacing w:after="140" w:line="276"/>
      </w:pPr>
      <w:r>
        <w:rPr>
          <w:rFonts w:ascii="Calibri" w:cs="Calibri" w:eastAsia="Calibri" w:hAnsi="Calibri"/>
          <w:i/>
          <w:iCs/>
          <w:sz w:val="21"/>
          <w:szCs w:val="21"/>
        </w:rPr>
        <w:t xml:space="preserve">Detalle documento a documento, con quién firma y qué se publica: Parte V, V.2.1 y V.4.</w:t>
      </w:r>
    </w:p>
    <w:p>
      <w:pPr>
        <w:spacing w:after="140" w:line="276"/>
      </w:pPr>
      <w:r>
        <w:rPr>
          <w:rFonts w:ascii="Calibri" w:cs="Calibri" w:eastAsia="Calibri" w:hAnsi="Calibri"/>
          <w:b/>
          <w:bCs/>
          <w:sz w:val="21"/>
          <w:szCs w:val="21"/>
        </w:rPr>
        <w:t xml:space="preserve">1. Informe de necesidad (arts. 28.1 y 116.4 LCSP).</w:t>
      </w:r>
      <w:r>
        <w:rPr>
          <w:rFonts w:ascii="Calibri" w:cs="Calibri" w:eastAsia="Calibri" w:hAnsi="Calibri"/>
          <w:sz w:val="21"/>
          <w:szCs w:val="21"/>
        </w:rPr>
        <w:t xml:space="preserve"> Se escribe primero y se escribe en concreto: qué necesidad municipal existe, por qué el mantenimiento correctivo ordinario no la cubre, qué cuesta no atenderla, y de dónde nace —de una función del servicio, de una norma que obliga al Ayuntamiento, o del acuerdo del paso previo anual—. La relación con el objeto del contrato debe ser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que es el literal del artículo 116.4.e) LCSP. Este documento </w:t>
      </w:r>
      <w:r>
        <w:rPr>
          <w:rFonts w:ascii="Calibri" w:cs="Calibri" w:eastAsia="Calibri" w:hAnsi="Calibri"/>
          <w:b/>
          <w:bCs/>
          <w:sz w:val="21"/>
          <w:szCs w:val="21"/>
        </w:rPr>
        <w:t xml:space="preserve">se publica en el perfil de contratante</w:t>
      </w:r>
      <w:r>
        <w:rPr>
          <w:rFonts w:ascii="Calibri" w:cs="Calibri" w:eastAsia="Calibri" w:hAnsi="Calibri"/>
          <w:sz w:val="21"/>
          <w:szCs w:val="21"/>
        </w:rPr>
        <w:t xml:space="preserve"> (arts. 116.1 y 63.3.a) LCSP): se redacta sabiendo que lo va a leer el eventual recurrente.</w:t>
      </w:r>
    </w:p>
    <w:p>
      <w:pPr>
        <w:spacing w:after="140" w:line="276"/>
      </w:pPr>
      <w:r>
        <w:rPr>
          <w:rFonts w:ascii="Calibri" w:cs="Calibri" w:eastAsia="Calibri" w:hAnsi="Calibri"/>
          <w:b/>
          <w:bCs/>
          <w:sz w:val="21"/>
          <w:szCs w:val="21"/>
        </w:rPr>
        <w:t xml:space="preserve">2. Ficha de aplicabilidad (Anexo II).</w:t>
      </w:r>
      <w:r>
        <w:rPr>
          <w:rFonts w:ascii="Calibri" w:cs="Calibri" w:eastAsia="Calibri" w:hAnsi="Calibri"/>
          <w:sz w:val="21"/>
          <w:szCs w:val="21"/>
        </w:rPr>
        <w:t xml:space="preserve"> Ahora, y sólo ahora, se recorre el catálogo marcando cláusula por cláusula. La ficha no es una lista de casillas: por cada cláusula marcada hay que escribir la necesidad concreta, la norma o el instrumento del que nace y por qué su relación con el objeto de </w:t>
      </w:r>
      <w:r>
        <w:rPr>
          <w:rFonts w:ascii="Calibri" w:cs="Calibri" w:eastAsia="Calibri" w:hAnsi="Calibri"/>
          <w:i/>
          <w:iCs/>
          <w:sz w:val="21"/>
          <w:szCs w:val="21"/>
        </w:rPr>
        <w:t xml:space="preserve">este</w:t>
      </w:r>
      <w:r>
        <w:rPr>
          <w:rFonts w:ascii="Calibri" w:cs="Calibri" w:eastAsia="Calibri" w:hAnsi="Calibri"/>
          <w:sz w:val="21"/>
          <w:szCs w:val="21"/>
        </w:rPr>
        <w:t xml:space="preserve"> contrato es directa, clara y proporcional. </w:t>
      </w:r>
      <w:r>
        <w:rPr>
          <w:rFonts w:ascii="Calibri" w:cs="Calibri" w:eastAsia="Calibri" w:hAnsi="Calibri"/>
          <w:b/>
          <w:bCs/>
          <w:sz w:val="21"/>
          <w:szCs w:val="21"/>
        </w:rPr>
        <w:t xml:space="preserve">Doble vía de firma</w:t>
      </w:r>
      <w:r>
        <w:rPr>
          <w:rFonts w:ascii="Calibri" w:cs="Calibri" w:eastAsia="Calibri" w:hAnsi="Calibri"/>
          <w:sz w:val="21"/>
          <w:szCs w:val="21"/>
        </w:rPr>
        <w:t xml:space="preserve">: las cláusulas de necesidad funcional las firma el gestor; las de necesidad normativa o institucional las firma el servicio competente o se remiten al acuerdo del paso previo anual. El gestor de contabilidad no puede firmar la ficha de la seguridad ni la de la Intervención, y pedírselo es la forma más rápida de que esas cláusulas no entren nunca.</w:t>
      </w:r>
    </w:p>
    <w:p>
      <w:pPr>
        <w:spacing w:after="140" w:line="276"/>
      </w:pPr>
      <w:r>
        <w:rPr>
          <w:rFonts w:ascii="Calibri" w:cs="Calibri" w:eastAsia="Calibri" w:hAnsi="Calibri"/>
          <w:sz w:val="21"/>
          <w:szCs w:val="21"/>
        </w:rPr>
        <w:t xml:space="preserve">Al marcar una cláusula como NO APLICA hay que consultar la </w:t>
      </w:r>
      <w:r>
        <w:rPr>
          <w:rFonts w:ascii="Calibri" w:cs="Calibri" w:eastAsia="Calibri" w:hAnsi="Calibri"/>
          <w:b/>
          <w:bCs/>
          <w:sz w:val="21"/>
          <w:szCs w:val="21"/>
        </w:rPr>
        <w:t xml:space="preserve">tabla de dependencias (Anexo VI)</w:t>
      </w:r>
      <w:r>
        <w:rPr>
          <w:rFonts w:ascii="Calibri" w:cs="Calibri" w:eastAsia="Calibri" w:hAnsi="Calibri"/>
          <w:sz w:val="21"/>
          <w:szCs w:val="21"/>
        </w:rPr>
        <w:t xml:space="preserve">: si se descarta </w:t>
      </w:r>
      <w:r>
        <w:rPr>
          <w:rFonts w:ascii="Calibri" w:cs="Calibri" w:eastAsia="Calibri" w:hAnsi="Calibri"/>
          <w:color w:val="2F5496"/>
          <w:sz w:val="21"/>
          <w:szCs w:val="21"/>
        </w:rPr>
        <w:t xml:space="preserve">DT-7·v3</w:t>
      </w:r>
      <w:r>
        <w:rPr>
          <w:rFonts w:ascii="Calibri" w:cs="Calibri" w:eastAsia="Calibri" w:hAnsi="Calibri"/>
          <w:sz w:val="21"/>
          <w:szCs w:val="21"/>
        </w:rPr>
        <w:t xml:space="preserve">, hay menciones que arrastra en </w:t>
      </w:r>
      <w:r>
        <w:rPr>
          <w:rFonts w:ascii="Calibri" w:cs="Calibri" w:eastAsia="Calibri" w:hAnsi="Calibri"/>
          <w:color w:val="2F5496"/>
          <w:sz w:val="21"/>
          <w:szCs w:val="21"/>
        </w:rPr>
        <w:t xml:space="preserve">ADM-5·v3</w:t>
      </w:r>
      <w:r>
        <w:rPr>
          <w:rFonts w:ascii="Calibri" w:cs="Calibri" w:eastAsia="Calibri" w:hAnsi="Calibri"/>
          <w:sz w:val="21"/>
          <w:szCs w:val="21"/>
        </w:rPr>
        <w:t xml:space="preserve">, </w:t>
      </w:r>
      <w:r>
        <w:rPr>
          <w:rFonts w:ascii="Calibri" w:cs="Calibri" w:eastAsia="Calibri" w:hAnsi="Calibri"/>
          <w:color w:val="2F5496"/>
          <w:sz w:val="21"/>
          <w:szCs w:val="21"/>
        </w:rPr>
        <w:t xml:space="preserve">ADM-6·v3</w:t>
      </w:r>
      <w:r>
        <w:rPr>
          <w:rFonts w:ascii="Calibri" w:cs="Calibri" w:eastAsia="Calibri" w:hAnsi="Calibri"/>
          <w:sz w:val="21"/>
          <w:szCs w:val="21"/>
        </w:rPr>
        <w:t xml:space="preserve">, </w:t>
      </w:r>
      <w:r>
        <w:rPr>
          <w:rFonts w:ascii="Calibri" w:cs="Calibri" w:eastAsia="Calibri" w:hAnsi="Calibri"/>
          <w:color w:val="2F5496"/>
          <w:sz w:val="21"/>
          <w:szCs w:val="21"/>
        </w:rPr>
        <w:t xml:space="preserve">ADM-7·v3</w:t>
      </w:r>
      <w:r>
        <w:rPr>
          <w:rFonts w:ascii="Calibri" w:cs="Calibri" w:eastAsia="Calibri" w:hAnsi="Calibri"/>
          <w:sz w:val="21"/>
          <w:szCs w:val="21"/>
        </w:rPr>
        <w:t xml:space="preserve"> y en la declaración responsable del </w:t>
      </w:r>
      <w:r>
        <w:rPr>
          <w:rFonts w:ascii="Calibri" w:cs="Calibri" w:eastAsia="Calibri" w:hAnsi="Calibri"/>
          <w:b/>
          <w:bCs/>
          <w:sz w:val="21"/>
          <w:szCs w:val="21"/>
        </w:rPr>
        <w:t xml:space="preserve">Anexo VII</w:t>
      </w:r>
      <w:r>
        <w:rPr>
          <w:rFonts w:ascii="Calibri" w:cs="Calibri" w:eastAsia="Calibri" w:hAnsi="Calibri"/>
          <w:sz w:val="21"/>
          <w:szCs w:val="21"/>
        </w:rPr>
        <w:t xml:space="preserve">, y un pliego con menciones huérfanas es un pliego contradictorio. Los recuadros afectados vienen redactados como lista con casillas de borrado, precisamente para esto.</w:t>
      </w:r>
    </w:p>
    <w:p>
      <w:pPr>
        <w:spacing w:after="140" w:line="276"/>
      </w:pPr>
      <w:r>
        <w:rPr>
          <w:rFonts w:ascii="Calibri" w:cs="Calibri" w:eastAsia="Calibri" w:hAnsi="Calibri"/>
          <w:b/>
          <w:bCs/>
          <w:sz w:val="21"/>
          <w:szCs w:val="21"/>
        </w:rPr>
        <w:t xml:space="preserve">3. Categorización ENS.</w:t>
      </w:r>
      <w:r>
        <w:rPr>
          <w:rFonts w:ascii="Calibri" w:cs="Calibri" w:eastAsia="Calibri" w:hAnsi="Calibri"/>
          <w:sz w:val="21"/>
          <w:szCs w:val="21"/>
        </w:rPr>
        <w:t xml:space="preserve"> Antes de aprobar el pliego, no después. El expediente consigna la categoría que resulta del anexo I del RD 311/2022, y de ahí —y sólo de ahí— sale lo que se exige y cómo se acredita (art. 38.1). Quién firma qué está tasado en el artículo 41: 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 los responsables de la información o de los servicios afectados (art. 41.1); 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al responsable de la seguridad (art. 41.2), que firma también la Declaración de Aplicabilidad (art. 28.2). El procedimiento completo está en la Parte V, V.4.11. Este paso es el que evita el resultado de Parla.</w:t>
      </w:r>
    </w:p>
    <w:p>
      <w:pPr>
        <w:spacing w:after="140" w:line="276"/>
      </w:pPr>
      <w:r>
        <w:rPr>
          <w:rFonts w:ascii="Calibri" w:cs="Calibri" w:eastAsia="Calibri" w:hAnsi="Calibri"/>
          <w:b/>
          <w:bCs/>
          <w:sz w:val="21"/>
          <w:szCs w:val="21"/>
        </w:rPr>
        <w:t xml:space="preserve">4. Anexo V del ejercicio, recortado y transcrito.</w:t>
      </w:r>
      <w:r>
        <w:rPr>
          <w:rFonts w:ascii="Calibri" w:cs="Calibri" w:eastAsia="Calibri" w:hAnsi="Calibri"/>
          <w:sz w:val="21"/>
          <w:szCs w:val="21"/>
        </w:rPr>
        <w:t xml:space="preserve"> Se toma el Anexo V vigente, se recortan las exigencias que no tengan relación con los módulos de este contrato y </w:t>
      </w:r>
      <w:r>
        <w:rPr>
          <w:rFonts w:ascii="Calibri" w:cs="Calibri" w:eastAsia="Calibri" w:hAnsi="Calibri"/>
          <w:b/>
          <w:bCs/>
          <w:sz w:val="21"/>
          <w:szCs w:val="21"/>
        </w:rPr>
        <w:t xml:space="preserve">el resultado se transcribe físicamente en el PPT</w:t>
      </w:r>
      <w:r>
        <w:rPr>
          <w:rFonts w:ascii="Calibri" w:cs="Calibri" w:eastAsia="Calibri" w:hAnsi="Calibri"/>
          <w:sz w:val="21"/>
          <w:szCs w:val="21"/>
        </w:rPr>
        <w:t xml:space="preserve">, con número de versión y fecha, y con la mención expresa de que las revisiones posteriores no afectan a este contrato. No se remite al documento: se copia. Una remisión a un documento que cambia cada año es una obligación indeterminada, y se recurre.</w:t>
      </w:r>
    </w:p>
    <w:p>
      <w:pPr>
        <w:spacing w:after="140" w:line="276"/>
      </w:pPr>
      <w:r>
        <w:rPr>
          <w:rFonts w:ascii="Calibri" w:cs="Calibri" w:eastAsia="Calibri" w:hAnsi="Calibri"/>
          <w:b/>
          <w:bCs/>
          <w:sz w:val="21"/>
          <w:szCs w:val="21"/>
        </w:rPr>
        <w:t xml:space="preserve">5. Redacción del PPT (pluma: el área gestora).</w:t>
      </w:r>
      <w:r>
        <w:rPr>
          <w:rFonts w:ascii="Calibri" w:cs="Calibri" w:eastAsia="Calibri" w:hAnsi="Calibri"/>
          <w:sz w:val="21"/>
          <w:szCs w:val="21"/>
        </w:rPr>
        <w:t xml:space="preserve"> Se copian los recuadros de texto copiable de las cláusulas </w:t>
      </w:r>
      <w:r>
        <w:rPr>
          <w:rFonts w:ascii="Calibri" w:cs="Calibri" w:eastAsia="Calibri" w:hAnsi="Calibri"/>
          <w:color w:val="2F5496"/>
          <w:sz w:val="21"/>
          <w:szCs w:val="21"/>
        </w:rPr>
        <w:t xml:space="preserve">DT-n·v3</w:t>
      </w:r>
      <w:r>
        <w:rPr>
          <w:rFonts w:ascii="Calibri" w:cs="Calibri" w:eastAsia="Calibri" w:hAnsi="Calibri"/>
          <w:sz w:val="21"/>
          <w:szCs w:val="21"/>
        </w:rPr>
        <w:t xml:space="preserve"> marcadas, y sólo esos. Todo lo que está fuera del recuadro —la justificación, la advertencia, la nota de verificación— se queda fuera del pliego y viaja al expediente.</w:t>
      </w:r>
    </w:p>
    <w:p>
      <w:pPr>
        <w:spacing w:after="140" w:line="276"/>
      </w:pPr>
      <w:r>
        <w:rPr>
          <w:rFonts w:ascii="Calibri" w:cs="Calibri" w:eastAsia="Calibri" w:hAnsi="Calibri"/>
          <w:b/>
          <w:bCs/>
          <w:sz w:val="21"/>
          <w:szCs w:val="21"/>
        </w:rPr>
        <w:t xml:space="preserve">6. Redacción del PCAP (pluma: contratación).</w:t>
      </w:r>
      <w:r>
        <w:rPr>
          <w:rFonts w:ascii="Calibri" w:cs="Calibri" w:eastAsia="Calibri" w:hAnsi="Calibri"/>
          <w:sz w:val="21"/>
          <w:szCs w:val="21"/>
        </w:rPr>
        <w:t xml:space="preserve"> Igual con las cláusulas </w:t>
      </w:r>
      <w:r>
        <w:rPr>
          <w:rFonts w:ascii="Calibri" w:cs="Calibri" w:eastAsia="Calibri" w:hAnsi="Calibri"/>
          <w:color w:val="2F5496"/>
          <w:sz w:val="21"/>
          <w:szCs w:val="21"/>
        </w:rPr>
        <w:t xml:space="preserve">ADM-n·v3</w:t>
      </w:r>
      <w:r>
        <w:rPr>
          <w:rFonts w:ascii="Calibri" w:cs="Calibri" w:eastAsia="Calibri" w:hAnsi="Calibri"/>
          <w:sz w:val="21"/>
          <w:szCs w:val="21"/>
        </w:rPr>
        <w:t xml:space="preserve">. Regla que no admite excepción: </w:t>
      </w:r>
      <w:r>
        <w:rPr>
          <w:rFonts w:ascii="Calibri" w:cs="Calibri" w:eastAsia="Calibri" w:hAnsi="Calibri"/>
          <w:b/>
          <w:bCs/>
          <w:sz w:val="21"/>
          <w:szCs w:val="21"/>
        </w:rPr>
        <w:t xml:space="preserve">la modificación prevista y las condiciones especiales de ejecución van siempre al PCAP</w:t>
      </w:r>
      <w:r>
        <w:rPr>
          <w:rFonts w:ascii="Calibri" w:cs="Calibri" w:eastAsia="Calibri" w:hAnsi="Calibri"/>
          <w:sz w:val="21"/>
          <w:szCs w:val="21"/>
        </w:rPr>
        <w:t xml:space="preserve">; reproducirlas en el PPT no produce efectos y sí produce contradicciones.</w:t>
      </w:r>
    </w:p>
    <w:p>
      <w:pPr>
        <w:spacing w:after="140" w:line="276"/>
      </w:pPr>
      <w:r>
        <w:rPr>
          <w:rFonts w:ascii="Calibri" w:cs="Calibri" w:eastAsia="Calibri" w:hAnsi="Calibri"/>
          <w:b/>
          <w:bCs/>
          <w:sz w:val="21"/>
          <w:szCs w:val="21"/>
        </w:rPr>
        <w:t xml:space="preserve">Quién coordina los pasos 5 y 6.</w:t>
      </w:r>
      <w:r>
        <w:rPr>
          <w:rFonts w:ascii="Calibri" w:cs="Calibri" w:eastAsia="Calibri" w:hAnsi="Calibri"/>
          <w:sz w:val="21"/>
          <w:szCs w:val="21"/>
        </w:rPr>
        <w:t xml:space="preserve"> Nadie, por defecto, y ese es un problema real: estas cláusulas cruzan los dos pliegos y el reparto habitual de plumas deja el cruce sin dueño. El órgano de contratación designa en el paso 1 un </w:t>
      </w:r>
      <w:r>
        <w:rPr>
          <w:rFonts w:ascii="Calibri" w:cs="Calibri" w:eastAsia="Calibri" w:hAnsi="Calibri"/>
          <w:b/>
          <w:bCs/>
          <w:sz w:val="21"/>
          <w:szCs w:val="21"/>
        </w:rPr>
        <w:t xml:space="preserve">coordinador del expediente tecnológico</w:t>
      </w:r>
      <w:r>
        <w:rPr>
          <w:rFonts w:ascii="Calibri" w:cs="Calibri" w:eastAsia="Calibri" w:hAnsi="Calibri"/>
          <w:sz w:val="21"/>
          <w:szCs w:val="21"/>
        </w:rPr>
        <w:t xml:space="preserve"> —normalmente el responsable del contrato (art. 62 LCSP) o el servicio municipal de informática— que responde de una sola cosa: que lo que dice el PPT y lo que dice el PCAP encajen, y que ninguna exigencia aparezca dos veces con dos instrumentos distintos.</w:t>
      </w:r>
    </w:p>
    <w:p>
      <w:pPr>
        <w:spacing w:after="140" w:line="276"/>
      </w:pPr>
      <w:r>
        <w:rPr>
          <w:rFonts w:ascii="Calibri" w:cs="Calibri" w:eastAsia="Calibri" w:hAnsi="Calibri"/>
          <w:b/>
          <w:bCs/>
          <w:sz w:val="21"/>
          <w:szCs w:val="21"/>
        </w:rPr>
        <w:t xml:space="preserve">7. Ficha por criterio y hoja de comprobación del baremo (Anexo IV).</w:t>
      </w:r>
      <w:r>
        <w:rPr>
          <w:rFonts w:ascii="Calibri" w:cs="Calibri" w:eastAsia="Calibri" w:hAnsi="Calibri"/>
          <w:sz w:val="21"/>
          <w:szCs w:val="21"/>
        </w:rPr>
        <w:t xml:space="preserve"> Por cada criterio hay que escribir cuatro cosas: la necesidad de la que nace, en qué mejora el rendimiento de la prestación, cómo se verificará de verdad y por qué su peso es proporcionado. Después se pasa la hoja de comprobación, que suma </w:t>
      </w:r>
      <w:r>
        <w:rPr>
          <w:rFonts w:ascii="Calibri" w:cs="Calibri" w:eastAsia="Calibri" w:hAnsi="Calibri"/>
          <w:b/>
          <w:bCs/>
          <w:sz w:val="21"/>
          <w:szCs w:val="21"/>
        </w:rPr>
        <w:t xml:space="preserve">el baremo entero del contrato, con el precio dentro</w:t>
      </w:r>
      <w:r>
        <w:rPr>
          <w:rFonts w:ascii="Calibri" w:cs="Calibri" w:eastAsia="Calibri" w:hAnsi="Calibri"/>
          <w:sz w:val="21"/>
          <w:szCs w:val="21"/>
        </w:rPr>
        <w:t xml:space="preserve"> —no sólo el bloque tecnológico— y avisa de los tres límites: la preponderancia de los criterios evaluables mediante fórmulas y el comité de expertos del artículo 146.2.a) LCSP; y, en el procedimiento abierto simplificado, el tope de juicio de valor del artículo 159.1.b) LCSP, que es el </w:t>
      </w:r>
      <w:r>
        <w:rPr>
          <w:rFonts w:ascii="Calibri" w:cs="Calibri" w:eastAsia="Calibri" w:hAnsi="Calibri"/>
          <w:b/>
          <w:bCs/>
          <w:sz w:val="21"/>
          <w:szCs w:val="21"/>
        </w:rPr>
        <w:t xml:space="preserve">25 %</w:t>
      </w:r>
      <w:r>
        <w:rPr>
          <w:rFonts w:ascii="Calibri" w:cs="Calibri" w:eastAsia="Calibri" w:hAnsi="Calibri"/>
          <w:sz w:val="21"/>
          <w:szCs w:val="21"/>
        </w:rPr>
        <w:t xml:space="preserve"> con carácter general y el </w:t>
      </w:r>
      <w:r>
        <w:rPr>
          <w:rFonts w:ascii="Calibri" w:cs="Calibri" w:eastAsia="Calibri" w:hAnsi="Calibri"/>
          <w:b/>
          <w:bCs/>
          <w:sz w:val="21"/>
          <w:szCs w:val="21"/>
        </w:rPr>
        <w:t xml:space="preserve">45 %</w:t>
      </w:r>
      <w:r>
        <w:rPr>
          <w:rFonts w:ascii="Calibri" w:cs="Calibri" w:eastAsia="Calibri" w:hAnsi="Calibri"/>
          <w:sz w:val="21"/>
          <w:szCs w:val="21"/>
        </w:rPr>
        <w:t xml:space="preserve"> en prestaciones de carácter intelectual. El documento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simplificado y abreviado, este último sólo con criterios evaluables por fórmula (art. 159.6 LCSP)—, porque un baremo único no cabe en la mayoría de los expedientes municipales. Las </w:t>
      </w:r>
      <w:r>
        <w:rPr>
          <w:rFonts w:ascii="Calibri" w:cs="Calibri" w:eastAsia="Calibri" w:hAnsi="Calibri"/>
          <w:b/>
          <w:bCs/>
          <w:sz w:val="21"/>
          <w:szCs w:val="21"/>
        </w:rPr>
        <w:t xml:space="preserve">fórmulas modelo</w:t>
      </w:r>
      <w:r>
        <w:rPr>
          <w:rFonts w:ascii="Calibri" w:cs="Calibri" w:eastAsia="Calibri" w:hAnsi="Calibri"/>
          <w:sz w:val="21"/>
          <w:szCs w:val="21"/>
        </w:rPr>
        <w:t xml:space="preserve"> y el tratamiento de las ofertas anormalmente bajas están en el </w:t>
      </w:r>
      <w:r>
        <w:rPr>
          <w:rFonts w:ascii="Calibri" w:cs="Calibri" w:eastAsia="Calibri" w:hAnsi="Calibri"/>
          <w:b/>
          <w:bCs/>
          <w:sz w:val="21"/>
          <w:szCs w:val="21"/>
        </w:rPr>
        <w:t xml:space="preserve">Anexo XVII</w:t>
      </w:r>
      <w:r>
        <w:rPr>
          <w:rFonts w:ascii="Calibri" w:cs="Calibri" w:eastAsia="Calibri" w:hAnsi="Calibri"/>
          <w:sz w:val="21"/>
          <w:szCs w:val="21"/>
        </w:rPr>
        <w:t xml:space="preserve">; cuándo un contrato es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—de lo que dependen el 45 % y el 51 % del artículo 145.4—, en el </w:t>
      </w:r>
      <w:r>
        <w:rPr>
          <w:rFonts w:ascii="Calibri" w:cs="Calibri" w:eastAsia="Calibri" w:hAnsi="Calibri"/>
          <w:b/>
          <w:bCs/>
          <w:sz w:val="21"/>
          <w:szCs w:val="21"/>
        </w:rPr>
        <w:t xml:space="preserve">Anexo XXIII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8. Valor estimado y los cuatro umbrales.</w:t>
      </w:r>
      <w:r>
        <w:rPr>
          <w:rFonts w:ascii="Calibri" w:cs="Calibri" w:eastAsia="Calibri" w:hAnsi="Calibri"/>
          <w:sz w:val="21"/>
          <w:szCs w:val="21"/>
        </w:rPr>
        <w:t xml:space="preserve"> Se calcula el valor estimado incluyendo prórrogas y cualquier reserva de modificación prevista (art. 101 LCSP) y se comprueba contra los cuatro umbrales que cambian el régimen del expediente: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por tanto, si este catálogo puede aplicarse; el del </w:t>
      </w:r>
      <w:r>
        <w:rPr>
          <w:rFonts w:ascii="Calibri" w:cs="Calibri" w:eastAsia="Calibri" w:hAnsi="Calibri"/>
          <w:b/>
          <w:bCs/>
          <w:sz w:val="21"/>
          <w:szCs w:val="21"/>
        </w:rPr>
        <w:t xml:space="preserve">abierto simplificado y su variante abreviada</w:t>
      </w:r>
      <w:r>
        <w:rPr>
          <w:rFonts w:ascii="Calibri" w:cs="Calibri" w:eastAsia="Calibri" w:hAnsi="Calibri"/>
          <w:sz w:val="21"/>
          <w:szCs w:val="21"/>
        </w:rPr>
        <w:t xml:space="preserve"> (art. 159 LCSP); el de los </w:t>
      </w:r>
      <w:r>
        <w:rPr>
          <w:rFonts w:ascii="Calibri" w:cs="Calibri" w:eastAsia="Calibri" w:hAnsi="Calibri"/>
          <w:b/>
          <w:bCs/>
          <w:sz w:val="21"/>
          <w:szCs w:val="21"/>
        </w:rPr>
        <w:t xml:space="preserve">100.000 €</w:t>
      </w:r>
      <w:r>
        <w:rPr>
          <w:rFonts w:ascii="Calibri" w:cs="Calibri" w:eastAsia="Calibri" w:hAnsi="Calibri"/>
          <w:sz w:val="21"/>
          <w:szCs w:val="21"/>
        </w:rPr>
        <w:t xml:space="preserve"> superados los cuales los pliegos de un contrato de servicios o suministros son directamente recurribles (art. 44.1.a) LCSP); y el de los </w:t>
      </w:r>
      <w:r>
        <w:rPr>
          <w:rFonts w:ascii="Calibri" w:cs="Calibri" w:eastAsia="Calibri" w:hAnsi="Calibri"/>
          <w:b/>
          <w:bCs/>
          <w:sz w:val="21"/>
          <w:szCs w:val="21"/>
        </w:rPr>
        <w:t xml:space="preserve">contratos sujetos a regulación armonizada</w:t>
      </w:r>
      <w:r>
        <w:rPr>
          <w:rFonts w:ascii="Calibri" w:cs="Calibri" w:eastAsia="Calibri" w:hAnsi="Calibri"/>
          <w:sz w:val="21"/>
          <w:szCs w:val="21"/>
        </w:rPr>
        <w:t xml:space="preserve">. La tabla completa, con cuantías, efecto y vigencia, es la de la Parte V, V.4.10; </w:t>
      </w:r>
      <w:r>
        <w:rPr>
          <w:rFonts w:ascii="Calibri" w:cs="Calibri" w:eastAsia="Calibri" w:hAnsi="Calibri"/>
          <w:b/>
          <w:bCs/>
          <w:sz w:val="21"/>
          <w:szCs w:val="21"/>
        </w:rPr>
        <w:t xml:space="preserve">las cuantías vigentes se consultan además en el Anexo X, apartado X.2, y se comprueban antes de cada expediente</w:t>
      </w:r>
      <w:r>
        <w:rPr>
          <w:rFonts w:ascii="Calibri" w:cs="Calibri" w:eastAsia="Calibri" w:hAnsi="Calibri"/>
          <w:sz w:val="21"/>
          <w:szCs w:val="21"/>
        </w:rPr>
        <w:t xml:space="preserve">, porque se actualizan periódicamente.</w:t>
      </w:r>
    </w:p>
    <w:p>
      <w:pPr>
        <w:spacing w:after="140" w:line="276"/>
      </w:pPr>
      <w:r>
        <w:rPr>
          <w:rFonts w:ascii="Calibri" w:cs="Calibri" w:eastAsia="Calibri" w:hAnsi="Calibri"/>
          <w:b/>
          <w:bCs/>
          <w:sz w:val="21"/>
          <w:szCs w:val="21"/>
        </w:rPr>
        <w:t xml:space="preserve">9. Conflicto de interés y participación previa (Anexo IX).</w:t>
      </w:r>
      <w:r>
        <w:rPr>
          <w:rFonts w:ascii="Calibri" w:cs="Calibri" w:eastAsia="Calibri" w:hAnsi="Calibri"/>
          <w:sz w:val="21"/>
          <w:szCs w:val="21"/>
        </w:rPr>
        <w:t xml:space="preserve"> Declaración escrita, por iniciativa propia y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conforme al artículo 64 LCSP: identidad de quienes hayan asesorado en la preparación y sus vinculaciones. Un conflicto revelado y neutralizado en el propio expediente es un activo; descubierto por el recurrente, es la anulación —y deja de ser una discusión técnica para convertirse en una acusación de favorecimiento.</w:t>
      </w:r>
    </w:p>
    <w:p>
      <w:pPr>
        <w:spacing w:after="140" w:line="276"/>
      </w:pPr>
      <w:r>
        <w:rPr>
          <w:rFonts w:ascii="Calibri" w:cs="Calibri" w:eastAsia="Calibri" w:hAnsi="Calibri"/>
          <w:b/>
          <w:bCs/>
          <w:sz w:val="21"/>
          <w:szCs w:val="21"/>
        </w:rPr>
        <w:t xml:space="preserve">10. Comprobación, informe jurídico y fiscalización.</w:t>
      </w:r>
      <w:r>
        <w:rPr>
          <w:rFonts w:ascii="Calibri" w:cs="Calibri" w:eastAsia="Calibri" w:hAnsi="Calibri"/>
          <w:sz w:val="21"/>
          <w:szCs w:val="21"/>
        </w:rPr>
        <w:t xml:space="preserve"> Se pasa la </w:t>
      </w:r>
      <w:r>
        <w:rPr>
          <w:rFonts w:ascii="Calibri" w:cs="Calibri" w:eastAsia="Calibri" w:hAnsi="Calibri"/>
          <w:b/>
          <w:bCs/>
          <w:sz w:val="21"/>
          <w:szCs w:val="21"/>
        </w:rPr>
        <w:t xml:space="preserve">lista de comprobación final del expediente (Parte V, V.10)</w:t>
      </w:r>
      <w:r>
        <w:rPr>
          <w:rFonts w:ascii="Calibri" w:cs="Calibri" w:eastAsia="Calibri" w:hAnsi="Calibri"/>
          <w:sz w:val="21"/>
          <w:szCs w:val="21"/>
        </w:rPr>
        <w:t xml:space="preserve">, contrastando los parámetros y umbrales del </w:t>
      </w:r>
      <w:r>
        <w:rPr>
          <w:rFonts w:ascii="Calibri" w:cs="Calibri" w:eastAsia="Calibri" w:hAnsi="Calibri"/>
          <w:b/>
          <w:bCs/>
          <w:sz w:val="21"/>
          <w:szCs w:val="21"/>
        </w:rPr>
        <w:t xml:space="preserve">Anexo X</w:t>
      </w:r>
      <w:r>
        <w:rPr>
          <w:rFonts w:ascii="Calibri" w:cs="Calibri" w:eastAsia="Calibri" w:hAnsi="Calibri"/>
          <w:sz w:val="21"/>
          <w:szCs w:val="21"/>
        </w:rPr>
        <w:t xml:space="preserve">. Se recaba el </w:t>
      </w:r>
      <w:r>
        <w:rPr>
          <w:rFonts w:ascii="Calibri" w:cs="Calibri" w:eastAsia="Calibri" w:hAnsi="Calibri"/>
          <w:b/>
          <w:bCs/>
          <w:sz w:val="21"/>
          <w:szCs w:val="21"/>
        </w:rPr>
        <w:t xml:space="preserve">informe jurídico preceptivo</w:t>
      </w:r>
      <w:r>
        <w:rPr>
          <w:rFonts w:ascii="Calibri" w:cs="Calibri" w:eastAsia="Calibri" w:hAnsi="Calibri"/>
          <w:sz w:val="21"/>
          <w:szCs w:val="21"/>
        </w:rPr>
        <w:t xml:space="preserve">, que emite el órgano al que corresponda: la Asesoría Jurídica en los municipios de gran población —el caso de Pozuelo de Alarcón, por la disposición adicional 3.ª.8 LCSP en relación con la disposición adicional 8.ª de la Ley 7/1985—, y la Secretaría en el régimen común. Y se remite a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que comprende también la valoración de las repercusiones en la estabilidad presupuestaria y la sostenibilidad financiera (disposición adicional 3.ª.3 LCSP).</w:t>
      </w:r>
    </w:p>
    <w:p>
      <w:pPr>
        <w:spacing w:after="140" w:line="276"/>
      </w:pPr>
      <w:r>
        <w:rPr>
          <w:rFonts w:ascii="Calibri" w:cs="Calibri" w:eastAsia="Calibri" w:hAnsi="Calibri"/>
          <w:b/>
          <w:bCs/>
          <w:sz w:val="21"/>
          <w:szCs w:val="21"/>
        </w:rPr>
        <w:t xml:space="preserve">11. Carpeta de defensa, y ahorra un disgusto.</w:t>
      </w:r>
      <w:r>
        <w:rPr>
          <w:rFonts w:ascii="Calibri" w:cs="Calibri" w:eastAsia="Calibri" w:hAnsi="Calibri"/>
          <w:sz w:val="21"/>
          <w:szCs w:val="21"/>
        </w:rPr>
        <w:t xml:space="preserve"> Antes de publicar, se arma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(Parte V, V.6). Si se interpone recurso especial, el órgano de contratación tiene que remitir el expediente y su informe en un plazo brevísimo (art. 56.2 LCSP). Con un expediente de esta densidad, eso se prepara antes, no después de recibir el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0.5 Los veintiún documentos del circuito (V.2.1), agrupados según los imponga la norma o los añada este catálogo</w:t>
      </w:r>
    </w:p>
    <w:p>
      <w:pPr>
        <w:spacing w:after="140" w:line="276"/>
      </w:pPr>
      <w:r>
        <w:rPr>
          <w:rFonts w:ascii="Calibri" w:cs="Calibri" w:eastAsia="Calibri" w:hAnsi="Calibri"/>
          <w:sz w:val="21"/>
          <w:szCs w:val="21"/>
        </w:rPr>
        <w:t xml:space="preserve">El circuito del expediente y su recuento son los de la </w:t>
      </w:r>
      <w:r>
        <w:rPr>
          <w:rFonts w:ascii="Calibri" w:cs="Calibri" w:eastAsia="Calibri" w:hAnsi="Calibri"/>
          <w:b/>
          <w:bCs/>
          <w:sz w:val="21"/>
          <w:szCs w:val="21"/>
        </w:rPr>
        <w:t xml:space="preserve">Parte V, V.2.1</w:t>
      </w:r>
      <w:r>
        <w:rPr>
          <w:rFonts w:ascii="Calibri" w:cs="Calibri" w:eastAsia="Calibri" w:hAnsi="Calibri"/>
          <w:sz w:val="21"/>
          <w:szCs w:val="21"/>
        </w:rPr>
        <w:t xml:space="preserve">, que es la fuente única: allí están sus veinte pasos,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pliego técnico y el administrativo—, con su tramo, quién los firma y cuáles se publican; cinco de esos pasos son condicionales. Este cuadro los reagrupa por su origen, que es lo que pregunta quien tiene que informar o fiscalizar: </w:t>
      </w:r>
      <w:r>
        <w:rPr>
          <w:rFonts w:ascii="Calibri" w:cs="Calibri" w:eastAsia="Calibri" w:hAnsi="Calibri"/>
          <w:b/>
          <w:bCs/>
          <w:sz w:val="21"/>
          <w:szCs w:val="21"/>
        </w:rPr>
        <w:t xml:space="preserve">el primer bloque son documentos que la norma exige en cualquier expediente</w:t>
      </w:r>
      <w:r>
        <w:rPr>
          <w:rFonts w:ascii="Calibri" w:cs="Calibri" w:eastAsia="Calibri" w:hAnsi="Calibri"/>
          <w:sz w:val="21"/>
          <w:szCs w:val="21"/>
        </w:rPr>
        <w:t xml:space="preserve"> y que este catálogo no inventa —lo que hace es decir qué debe decir cada uno cuando hay componente tecnológico—; </w:t>
      </w:r>
      <w:r>
        <w:rPr>
          <w:rFonts w:ascii="Calibri" w:cs="Calibri" w:eastAsia="Calibri" w:hAnsi="Calibri"/>
          <w:b/>
          <w:bCs/>
          <w:sz w:val="21"/>
          <w:szCs w:val="21"/>
        </w:rPr>
        <w:t xml:space="preserve">el segundo son los que añade este catálogo</w:t>
      </w:r>
      <w:r>
        <w:rPr>
          <w:rFonts w:ascii="Calibri" w:cs="Calibri" w:eastAsia="Calibri" w:hAnsi="Calibri"/>
          <w:sz w:val="21"/>
          <w:szCs w:val="21"/>
        </w:rPr>
        <w:t xml:space="preserve">, que no son preceptivos por sí mismos pero son el soporte de la justificación que sí lo es. La columna de la derecha da el código de V.2.1 de cada uno.</w:t>
      </w:r>
    </w:p>
    <w:p>
      <w:pPr>
        <w:spacing w:after="140" w:line="276"/>
      </w:pPr>
      <w:r>
        <w:rPr>
          <w:rFonts w:ascii="Calibri" w:cs="Calibri" w:eastAsia="Calibri" w:hAnsi="Calibri"/>
          <w:b/>
          <w:bCs/>
          <w:sz w:val="21"/>
          <w:szCs w:val="21"/>
        </w:rPr>
        <w:t xml:space="preserve">Cómo cuadran los dos bloques, porque las filas no se suman sin más.</w:t>
      </w:r>
      <w:r>
        <w:rPr>
          <w:rFonts w:ascii="Calibri" w:cs="Calibri" w:eastAsia="Calibri" w:hAnsi="Calibri"/>
          <w:sz w:val="21"/>
          <w:szCs w:val="21"/>
        </w:rPr>
        <w:t xml:space="preserve"> El bloque A tiene </w:t>
      </w:r>
      <w:r>
        <w:rPr>
          <w:rFonts w:ascii="Calibri" w:cs="Calibri" w:eastAsia="Calibri" w:hAnsi="Calibri"/>
          <w:b/>
          <w:bCs/>
          <w:sz w:val="21"/>
          <w:szCs w:val="21"/>
        </w:rPr>
        <w:t xml:space="preserve">dieciocho</w:t>
      </w:r>
      <w:r>
        <w:rPr>
          <w:rFonts w:ascii="Calibri" w:cs="Calibri" w:eastAsia="Calibri" w:hAnsi="Calibri"/>
          <w:sz w:val="21"/>
          <w:szCs w:val="21"/>
        </w:rPr>
        <w:t xml:space="preserve"> filas y el bloque B, </w:t>
      </w:r>
      <w:r>
        <w:rPr>
          <w:rFonts w:ascii="Calibri" w:cs="Calibri" w:eastAsia="Calibri" w:hAnsi="Calibri"/>
          <w:b/>
          <w:bCs/>
          <w:sz w:val="21"/>
          <w:szCs w:val="21"/>
        </w:rPr>
        <w:t xml:space="preserve">ocho</w:t>
      </w:r>
      <w:r>
        <w:rPr>
          <w:rFonts w:ascii="Calibri" w:cs="Calibri" w:eastAsia="Calibri" w:hAnsi="Calibri"/>
          <w:sz w:val="21"/>
          <w:szCs w:val="21"/>
        </w:rPr>
        <w:t xml:space="preserve">; veintiséis filas para veintiún documentos. La diferencia no es un error de cuenta y conviene tenerla clara antes de armar el índice del expediente:</w:t>
      </w:r>
    </w:p>
    <w:p>
      <w:pPr>
        <w:pStyle w:val="ListParagraph"/>
        <w:numPr>
          <w:ilvl w:val="0"/>
          <w:numId w:val="1"/>
        </w:numPr>
        <w:spacing w:after="70" w:line="268"/>
      </w:pPr>
      <w:r>
        <w:rPr>
          <w:rFonts w:ascii="Calibri" w:cs="Calibri" w:eastAsia="Calibri" w:hAnsi="Calibri"/>
          <w:b/>
          <w:bCs/>
          <w:sz w:val="21"/>
          <w:szCs w:val="21"/>
        </w:rPr>
        <w:t xml:space="preserve">Dieciocho</w:t>
      </w:r>
      <w:r>
        <w:rPr>
          <w:rFonts w:ascii="Calibri" w:cs="Calibri" w:eastAsia="Calibri" w:hAnsi="Calibri"/>
          <w:sz w:val="21"/>
          <w:szCs w:val="21"/>
        </w:rPr>
        <w:t xml:space="preserve"> documentos los impone la norma: son las dieciocho filas del bloque A.</w:t>
      </w:r>
    </w:p>
    <w:p>
      <w:pPr>
        <w:pStyle w:val="ListParagraph"/>
        <w:numPr>
          <w:ilvl w:val="0"/>
          <w:numId w:val="1"/>
        </w:numPr>
        <w:spacing w:after="70" w:line="268"/>
      </w:pPr>
      <w:r>
        <w:rPr>
          <w:rFonts w:ascii="Calibri" w:cs="Calibri" w:eastAsia="Calibri" w:hAnsi="Calibri"/>
          <w:b/>
          <w:bCs/>
          <w:sz w:val="21"/>
          <w:szCs w:val="21"/>
        </w:rPr>
        <w:t xml:space="preserve">Tres</w:t>
      </w:r>
      <w:r>
        <w:rPr>
          <w:rFonts w:ascii="Calibri" w:cs="Calibri" w:eastAsia="Calibri" w:hAnsi="Calibri"/>
          <w:sz w:val="21"/>
          <w:szCs w:val="21"/>
        </w:rPr>
        <w:t xml:space="preserve"> los añade este catálogo como documentos propios, y son los que faltan hasta veintiuno: la Ficha de Aplicabilidad (A-3), la conformidad del servicio verificador (A-6) y la carpeta de defensa (C-6).</w:t>
      </w:r>
    </w:p>
    <w:p>
      <w:pPr>
        <w:pStyle w:val="ListParagraph"/>
        <w:numPr>
          <w:ilvl w:val="0"/>
          <w:numId w:val="1"/>
        </w:numPr>
        <w:spacing w:after="70" w:line="268"/>
      </w:pPr>
      <w:r>
        <w:rPr>
          <w:rFonts w:ascii="Calibri" w:cs="Calibri" w:eastAsia="Calibri" w:hAnsi="Calibri"/>
          <w:b/>
          <w:bCs/>
          <w:sz w:val="21"/>
          <w:szCs w:val="21"/>
        </w:rPr>
        <w:t xml:space="preserve">Otras tres</w:t>
      </w:r>
      <w:r>
        <w:rPr>
          <w:rFonts w:ascii="Calibri" w:cs="Calibri" w:eastAsia="Calibri" w:hAnsi="Calibri"/>
          <w:sz w:val="21"/>
          <w:szCs w:val="21"/>
        </w:rPr>
        <w:t xml:space="preserve"> filas del bloque B no son documentos nuevos, sino contenido que este catálogo mete dentro de un documento que la norma ya exige, y por eso comparten código con una fila del bloque A: el informe de necesidad tecnológica va dentro de A-1, la ficha por criterio dentro de B-5 y el Anexo V transcrito dentro de B-7.</w:t>
      </w:r>
    </w:p>
    <w:p>
      <w:pPr>
        <w:pStyle w:val="ListParagraph"/>
        <w:numPr>
          <w:ilvl w:val="0"/>
          <w:numId w:val="1"/>
        </w:numPr>
        <w:spacing w:after="70" w:line="268"/>
      </w:pPr>
      <w:r>
        <w:rPr>
          <w:rFonts w:ascii="Calibri" w:cs="Calibri" w:eastAsia="Calibri" w:hAnsi="Calibri"/>
          <w:b/>
          <w:bCs/>
          <w:sz w:val="21"/>
          <w:szCs w:val="21"/>
        </w:rPr>
        <w:t xml:space="preserve">Las dos restantes</w:t>
      </w:r>
      <w:r>
        <w:rPr>
          <w:rFonts w:ascii="Calibri" w:cs="Calibri" w:eastAsia="Calibri" w:hAnsi="Calibri"/>
          <w:sz w:val="21"/>
          <w:szCs w:val="21"/>
        </w:rPr>
        <w:t xml:space="preserve"> del bloque B no son pasos de ningún expediente: el acuerdo anual del órgano de gobierno es previo a todos ellos, y la lista de comprobación de V.10 se pasa antes de recabar el informe jurídico (C-1).</w:t>
      </w:r>
    </w:p>
    <w:p>
      <w:pPr>
        <w:spacing w:after="140" w:line="276"/>
      </w:pPr>
      <w:r>
        <w:rPr>
          <w:rFonts w:ascii="Calibri" w:cs="Calibri" w:eastAsia="Calibri" w:hAnsi="Calibri"/>
          <w:sz w:val="21"/>
          <w:szCs w:val="21"/>
        </w:rPr>
        <w:t xml:space="preserve">Dieciocho más tres son los veintiún documentos del expediente. Las otras cinco filas del bloque B se cuentan aparte porque no añaden entradas al índice.</w:t>
      </w:r>
    </w:p>
    <w:p>
      <w:pPr>
        <w:pStyle w:val="Heading3"/>
        <w:keepNext/>
        <w:spacing w:after="140" w:before="320"/>
      </w:pPr>
      <w:r>
        <w:rPr>
          <w:rFonts w:ascii="Georgia" w:cs="Georgia" w:eastAsia="Georgia" w:hAnsi="Georgia"/>
          <w:b/>
          <w:bCs/>
          <w:color w:val="2F5496"/>
          <w:sz w:val="22"/>
          <w:szCs w:val="22"/>
        </w:rPr>
        <w:t xml:space="preserve">A · Documentos que exige la norma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emite 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 LCSP (relación «directa, clara y proporcional», art. 116.4.e)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en términos de eficiencia si no se reutiliza una aplicación existente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de la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del sistema conforme al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arts. 40, 41 y 28 y anexo I; forma de acreditación en su art. 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e informe de la consulta preliminar del mercado, si se realiza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y del presupuesto base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100,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 </w:t>
            </w:r>
            <w:r>
              <w:rPr>
                <w:rFonts w:ascii="Calibri" w:cs="Calibri" w:eastAsia="Calibri" w:hAnsi="Calibri"/>
                <w:b w:val="false"/>
                <w:bCs w:val="false"/>
                <w:i/>
                <w:iCs/>
                <w:sz w:val="18"/>
                <w:szCs w:val="18"/>
              </w:rPr>
              <w:t xml:space="preserve">(condicional a efectos de publicidad)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propios, en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w:t>
            </w:r>
            <w:r>
              <w:rPr>
                <w:rFonts w:ascii="Calibri" w:cs="Calibri" w:eastAsia="Calibri" w:hAnsi="Calibri"/>
                <w:b/>
                <w:bCs/>
                <w:sz w:val="18"/>
                <w:szCs w:val="18"/>
              </w:rPr>
              <w:t xml:space="preserve">específica</w:t>
            </w:r>
            <w:r>
              <w:rPr>
                <w:rFonts w:ascii="Calibri" w:cs="Calibri" w:eastAsia="Calibri" w:hAnsi="Calibri"/>
                <w:b w:val="false"/>
                <w:bCs w:val="false"/>
                <w:sz w:val="18"/>
                <w:szCs w:val="18"/>
              </w:rPr>
              <w:t xml:space="preserve"> de los criterios de solvencia, de los criterios de adjudicación y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116.2 LCSP (así lo aplica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constancia de la participación previa de terceros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prescripciones técnicas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 LCSP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cláusulas administrativas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122 LCSP; su apartado 2 obliga a calificar como esenciales las obligaciones sobre ubicación de los servidores y sobre su subcontratación </w:t>
            </w:r>
            <w:r>
              <w:rPr>
                <w:rFonts w:ascii="Calibri" w:cs="Calibri" w:eastAsia="Calibri" w:hAnsi="Calibri"/>
                <w:b/>
                <w:bCs/>
                <w:sz w:val="18"/>
                <w:szCs w:val="18"/>
              </w:rPr>
              <w:t xml:space="preserve">sólo en los contratos cuya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o 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 LCSP; su publicación, art. 63.3.a)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(municipios de gran población) o Secretaría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disposición adicional 3.ª.8 LCSP, en relación con la disposición adicional 8.ª de la Ley 7/1985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previa, con la valoración de las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disposición adicional 3.ª.3 LCSP;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117.1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 y 135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r>
    </w:tbl>
    <w:p>
      <w:pPr>
        <w:spacing w:after="200"/>
      </w:pPr>
    </w:p>
    <w:p>
      <w:pPr>
        <w:spacing w:after="140" w:line="276"/>
      </w:pPr>
      <w:r>
        <w:rPr>
          <w:rFonts w:ascii="Calibri" w:cs="Calibri" w:eastAsia="Calibri" w:hAnsi="Calibri"/>
          <w:sz w:val="21"/>
          <w:szCs w:val="21"/>
        </w:rPr>
        <w:t xml:space="preserve">La </w:t>
      </w:r>
      <w:r>
        <w:rPr>
          <w:rFonts w:ascii="Calibri" w:cs="Calibri" w:eastAsia="Calibri" w:hAnsi="Calibri"/>
          <w:b/>
          <w:bCs/>
          <w:sz w:val="21"/>
          <w:szCs w:val="21"/>
        </w:rPr>
        <w:t xml:space="preserve">publicación en el perfil de contratante</w:t>
      </w:r>
      <w:r>
        <w:rPr>
          <w:rFonts w:ascii="Calibri" w:cs="Calibri" w:eastAsia="Calibri" w:hAnsi="Calibri"/>
          <w:sz w:val="21"/>
          <w:szCs w:val="21"/>
        </w:rPr>
        <w:t xml:space="preserve"> de la motivación de la necesidad y del resto de documentación preparatoria (arts. 116.1 y 63.3.a) LCSP) no es un documento más: es el régimen que se aplica a varios de los anteriores. Qué se publica y cuándo, en la Parte V, V.3.</w:t>
      </w:r>
    </w:p>
    <w:p>
      <w:pPr>
        <w:pStyle w:val="Heading3"/>
        <w:keepNext/>
        <w:spacing w:after="140" w:before="320"/>
      </w:pPr>
      <w:r>
        <w:rPr>
          <w:rFonts w:ascii="Georgia" w:cs="Georgia" w:eastAsia="Georgia" w:hAnsi="Georgia"/>
          <w:b/>
          <w:bCs/>
          <w:color w:val="2F5496"/>
          <w:sz w:val="22"/>
          <w:szCs w:val="22"/>
        </w:rPr>
        <w:t xml:space="preserve">B · Documentos que añade este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aprueba el plan municipal y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necesidades que no impone ninguna norma ni pide ningún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VIII (acuerdo) y Anexo XV (resolución de aprobación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Paso previo anual, fuera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o servicio competente según la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no entra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tecnológica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servicio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Desarrolla el punto anterior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el doble cómputo y comprueba los límites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recortado y transcrito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Convierte la evolución en obligación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del expediente, con la tabla consolidada de parámetros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revisa el habilitado antes de informar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V.10, y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Previo a 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Impide incorporar cláusulas cuya verificación nadie asume: se recaba cuando la carga estimada supera el umbral del §7.9.2 de la Parte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y casilla de cierre del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Preparar la remisión del expediente y el informe del art. 56.2 LCSP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0.6 Los tres casos que este catálogo NO cubre</w:t>
      </w:r>
    </w:p>
    <w:p>
      <w:pPr>
        <w:spacing w:after="140" w:line="276"/>
      </w:pPr>
      <w:r>
        <w:rPr>
          <w:rFonts w:ascii="Calibri" w:cs="Calibri" w:eastAsia="Calibri" w:hAnsi="Calibri"/>
          <w:sz w:val="21"/>
          <w:szCs w:val="21"/>
        </w:rPr>
        <w:t xml:space="preserve">Este apartado no es un descargo: es una parte esencial de la guía. La mayor parte de los expedientes que firma un ayuntamiento no son procedimientos abiertos con pliegos propios, y si no se dice qué hacer en los otros casos, el catálogo sólo sirve para una minoría del trabajo real. Aquí se dice, caso por caso, por qué no cabe y qué se puede hacer en su lugar. </w:t>
      </w:r>
      <w:r>
        <w:rPr>
          <w:rFonts w:ascii="Calibri" w:cs="Calibri" w:eastAsia="Calibri" w:hAnsi="Calibri"/>
          <w:b/>
          <w:bCs/>
          <w:sz w:val="21"/>
          <w:szCs w:val="21"/>
        </w:rPr>
        <w:t xml:space="preserve">La regla está en la Parte I §2.4 y en la Parte V, V.7; la lista cerrada del contrato menor está sólo en la Parte V, V.7.1. Este apartado los explica y no los sustituye.</w:t>
      </w:r>
    </w:p>
    <w:p>
      <w:pPr>
        <w:pStyle w:val="Heading3"/>
        <w:keepNext/>
        <w:spacing w:after="140" w:before="320"/>
      </w:pPr>
      <w:r>
        <w:rPr>
          <w:rFonts w:ascii="Georgia" w:cs="Georgia" w:eastAsia="Georgia" w:hAnsi="Georgia"/>
          <w:b/>
          <w:bCs/>
          <w:color w:val="2F5496"/>
          <w:sz w:val="22"/>
          <w:szCs w:val="22"/>
        </w:rPr>
        <w:t xml:space="preserve">Caso 1 · Contratos menores</w:t>
      </w:r>
    </w:p>
    <w:p>
      <w:pPr>
        <w:spacing w:after="140" w:line="276"/>
      </w:pPr>
      <w:r>
        <w:rPr>
          <w:rFonts w:ascii="Calibri" w:cs="Calibri" w:eastAsia="Calibri" w:hAnsi="Calibri"/>
          <w:b/>
          <w:bCs/>
          <w:sz w:val="21"/>
          <w:szCs w:val="21"/>
        </w:rPr>
        <w:t xml:space="preserve">Por qué no cabe.</w:t>
      </w:r>
      <w:r>
        <w:rPr>
          <w:rFonts w:ascii="Calibri" w:cs="Calibri" w:eastAsia="Calibri" w:hAnsi="Calibri"/>
          <w:sz w:val="21"/>
          <w:szCs w:val="21"/>
        </w:rPr>
        <w:t xml:space="preserve"> El contrato menor se tramita sin pliego de cláusulas administrativas particulares y sin pliego de prescripciones técnicas particulares. Este catálogo es, íntegramente, un catálogo de cláusulas de pliego: no hay documento donde copiarlas. Y aunque lo hubiera, un régimen de evolución tecnológica con comisión de seguimiento, plan anual, actas de aceptación y ensayo de reversibilidad es manifiestamente desproporcionado para un gasto de esa cuantía y duración.</w:t>
      </w:r>
    </w:p>
    <w:p>
      <w:pPr>
        <w:spacing w:after="140" w:line="276"/>
      </w:pPr>
      <w:r>
        <w:rPr>
          <w:rFonts w:ascii="Calibri" w:cs="Calibri" w:eastAsia="Calibri" w:hAnsi="Calibri"/>
          <w:b/>
          <w:bCs/>
          <w:sz w:val="21"/>
          <w:szCs w:val="21"/>
        </w:rPr>
        <w:t xml:space="preserve">Qué SÍ se puede hacer.</w:t>
      </w:r>
      <w:r>
        <w:rPr>
          <w:rFonts w:ascii="Calibri" w:cs="Calibri" w:eastAsia="Calibri" w:hAnsi="Calibri"/>
          <w:sz w:val="21"/>
          <w:szCs w:val="21"/>
        </w:rPr>
        <w:t xml:space="preserve"> Hay una lista cerrada de exigencias que sí caben en el encargo o en la aceptación de la oferta, y ninguna más. Está en la </w:t>
      </w:r>
      <w:r>
        <w:rPr>
          <w:rFonts w:ascii="Calibri" w:cs="Calibri" w:eastAsia="Calibri" w:hAnsi="Calibri"/>
          <w:b/>
          <w:bCs/>
          <w:sz w:val="21"/>
          <w:szCs w:val="21"/>
        </w:rPr>
        <w:t xml:space="preserve">Parte V, V.7.1</w:t>
      </w:r>
      <w:r>
        <w:rPr>
          <w:rFonts w:ascii="Calibri" w:cs="Calibri" w:eastAsia="Calibri" w:hAnsi="Calibri"/>
          <w:sz w:val="21"/>
          <w:szCs w:val="21"/>
        </w:rPr>
        <w:t xml:space="preserve">, escrita con letras, y ése es el único sitio del documento donde está: aquí no se reproduce ni se cuenta, para que no puedan existir dos versiones ni dos recuentos de la misma lista. </w:t>
      </w:r>
      <w:r>
        <w:rPr>
          <w:rFonts w:ascii="Calibri" w:cs="Calibri" w:eastAsia="Calibri" w:hAnsi="Calibri"/>
          <w:b/>
          <w:bCs/>
          <w:sz w:val="21"/>
          <w:szCs w:val="21"/>
        </w:rPr>
        <w:t xml:space="preserve">La razón de que esas exigencias sí quepan sin pliego, y de que las demás no, es una sola: las de V.7.1 obligan porque las impone una norma que se aplica también al contrato menor; las cláusulas de este catálogo obligan porque están escritas en un pliego, y aquí no hay pliego.</w:t>
      </w:r>
      <w:r>
        <w:rPr>
          <w:rFonts w:ascii="Calibri" w:cs="Calibri" w:eastAsia="Calibri" w:hAnsi="Calibri"/>
          <w:sz w:val="21"/>
          <w:szCs w:val="21"/>
        </w:rPr>
        <w:t xml:space="preserve"> Además, y fuera de esa lista, cabe usar el contrato menor como </w:t>
      </w:r>
      <w:r>
        <w:rPr>
          <w:rFonts w:ascii="Calibri" w:cs="Calibri" w:eastAsia="Calibri" w:hAnsi="Calibri"/>
          <w:b/>
          <w:bCs/>
          <w:sz w:val="21"/>
          <w:szCs w:val="21"/>
        </w:rPr>
        <w:t xml:space="preserve">prueba de concepto</w:t>
      </w:r>
      <w:r>
        <w:rPr>
          <w:rFonts w:ascii="Calibri" w:cs="Calibri" w:eastAsia="Calibri" w:hAnsi="Calibri"/>
          <w:sz w:val="21"/>
          <w:szCs w:val="21"/>
        </w:rPr>
        <w:t xml:space="preserve"> para preparar la licitación siguiente, documentando lo aprendido: eso alimenta el contraste de mercado del paso previo anual.</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Introducir condiciones especiales de ejecución, penalidades tipificadas, obligaciones esenciales con efecto resolutorio ni criterios de adjudicación: son instrumentos que presuponen pliegos y un procedimiento de adjudicación que aquí no existe.</w:t>
      </w:r>
    </w:p>
    <w:p>
      <w:pPr>
        <w:pStyle w:val="ListParagraph"/>
        <w:numPr>
          <w:ilvl w:val="0"/>
          <w:numId w:val="1"/>
        </w:numPr>
        <w:spacing w:after="70" w:line="268"/>
      </w:pPr>
      <w:r>
        <w:rPr>
          <w:rFonts w:ascii="Calibri" w:cs="Calibri" w:eastAsia="Calibri" w:hAnsi="Calibri"/>
          <w:b/>
          <w:bCs/>
          <w:sz w:val="21"/>
          <w:szCs w:val="21"/>
        </w:rPr>
        <w:t xml:space="preserve">Fraccionar</w:t>
      </w:r>
      <w:r>
        <w:rPr>
          <w:rFonts w:ascii="Calibri" w:cs="Calibri" w:eastAsia="Calibri" w:hAnsi="Calibri"/>
          <w:sz w:val="21"/>
          <w:szCs w:val="21"/>
        </w:rPr>
        <w:t xml:space="preserve"> un objeto para llevarlo a menor y esquivar así el pliego (arts. 118.2 y 101.4 LCSP). Es el vicio que primero se detecta y no lo cura ninguna cláusula.</w:t>
      </w:r>
    </w:p>
    <w:p>
      <w:pPr>
        <w:pStyle w:val="ListParagraph"/>
        <w:numPr>
          <w:ilvl w:val="0"/>
          <w:numId w:val="1"/>
        </w:numPr>
        <w:spacing w:after="70" w:line="268"/>
      </w:pPr>
      <w:r>
        <w:rPr>
          <w:rFonts w:ascii="Calibri" w:cs="Calibri" w:eastAsia="Calibri" w:hAnsi="Calibri"/>
          <w:sz w:val="21"/>
          <w:szCs w:val="21"/>
        </w:rPr>
        <w:t xml:space="preserve">Exigir el Anexo V del ejercicio. Si un objeto necesita el Anexo V, ese objeto no es un contrato menor.</w:t>
      </w:r>
    </w:p>
    <w:p>
      <w:pPr>
        <w:pStyle w:val="Heading3"/>
        <w:keepNext/>
        <w:spacing w:after="140" w:before="320"/>
      </w:pPr>
      <w:r>
        <w:rPr>
          <w:rFonts w:ascii="Georgia" w:cs="Georgia" w:eastAsia="Georgia" w:hAnsi="Georgia"/>
          <w:b/>
          <w:bCs/>
          <w:color w:val="2F5496"/>
          <w:sz w:val="22"/>
          <w:szCs w:val="22"/>
        </w:rPr>
        <w:t xml:space="preserve">Caso 2 · Contratos basados en un acuerdo marco y adhesiones a centrales de compra</w:t>
      </w:r>
    </w:p>
    <w:p>
      <w:pPr>
        <w:spacing w:after="140" w:line="276"/>
      </w:pPr>
      <w:r>
        <w:rPr>
          <w:rFonts w:ascii="Calibri" w:cs="Calibri" w:eastAsia="Calibri" w:hAnsi="Calibri"/>
          <w:b/>
          <w:bCs/>
          <w:sz w:val="21"/>
          <w:szCs w:val="21"/>
        </w:rPr>
        <w:t xml:space="preserve">Por qué no cabe.</w:t>
      </w:r>
      <w:r>
        <w:rPr>
          <w:rFonts w:ascii="Calibri" w:cs="Calibri" w:eastAsia="Calibri" w:hAnsi="Calibri"/>
          <w:sz w:val="21"/>
          <w:szCs w:val="21"/>
        </w:rPr>
        <w:t xml:space="preserve"> En estos casos las condiciones ya están fijadas por el acuerdo marco o por el catálogo de la central de contratación, que se licitó antes y por otro órgano. Quien se adhiere o contrata al amparo de ellos </w:t>
      </w:r>
      <w:r>
        <w:rPr>
          <w:rFonts w:ascii="Calibri" w:cs="Calibri" w:eastAsia="Calibri" w:hAnsi="Calibri"/>
          <w:b/>
          <w:bCs/>
          <w:sz w:val="21"/>
          <w:szCs w:val="21"/>
        </w:rPr>
        <w:t xml:space="preserve">no puede añadir obligaciones nuevas al adjudicatario</w:t>
      </w:r>
      <w:r>
        <w:rPr>
          <w:rFonts w:ascii="Calibri" w:cs="Calibri" w:eastAsia="Calibri" w:hAnsi="Calibri"/>
          <w:sz w:val="21"/>
          <w:szCs w:val="21"/>
        </w:rPr>
        <w:t xml:space="preserve">: hacerlo altera las condiciones en que se compitió y perjudica a quienes quedaron fuera. Es el caso en el que la respuesta correcta es, casi siempre, «aquí no».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Elegir dentro de lo que el acuerdo marco ya ofrece.</w:t>
      </w:r>
      <w:r>
        <w:rPr>
          <w:rFonts w:ascii="Calibri" w:cs="Calibri" w:eastAsia="Calibri" w:hAnsi="Calibri"/>
          <w:sz w:val="21"/>
          <w:szCs w:val="21"/>
        </w:rPr>
        <w:t xml:space="preserve"> Si el catálogo contempla módulos, niveles de servicio o funcionalidades opcionales que coincidan con lo que este catálogo persigue, se seleccionan y se motiva la elección en el expediente. Esa motivación sí es del ayuntamiento adherido.</w:t>
      </w:r>
    </w:p>
    <w:p>
      <w:pPr>
        <w:pStyle w:val="ListParagraph"/>
        <w:numPr>
          <w:ilvl w:val="0"/>
          <w:numId w:val="1"/>
        </w:numPr>
        <w:spacing w:after="70" w:line="268"/>
      </w:pPr>
      <w:r>
        <w:rPr>
          <w:rFonts w:ascii="Calibri" w:cs="Calibri" w:eastAsia="Calibri" w:hAnsi="Calibri"/>
          <w:b/>
          <w:bCs/>
          <w:sz w:val="21"/>
          <w:szCs w:val="21"/>
        </w:rPr>
        <w:t xml:space="preserve">Usar el margen que el propio acuerdo marco reserve</w:t>
      </w:r>
      <w:r>
        <w:rPr>
          <w:rFonts w:ascii="Calibri" w:cs="Calibri" w:eastAsia="Calibri" w:hAnsi="Calibri"/>
          <w:sz w:val="21"/>
          <w:szCs w:val="21"/>
        </w:rPr>
        <w:t xml:space="preserve"> a la fase de contrato basado: cuando el acuerdo marco prevé expresamente una nueva licitación entre sus adjudicatarios o deja abiertos determinados extremos, ahí, y sólo ahí, caben cláusulas de este catálogo, con el mismo trabajo de necesidad y ficha de los pasos 1 y 2.</w:t>
      </w:r>
    </w:p>
    <w:p>
      <w:pPr>
        <w:pStyle w:val="ListParagraph"/>
        <w:numPr>
          <w:ilvl w:val="0"/>
          <w:numId w:val="1"/>
        </w:numPr>
        <w:spacing w:after="70" w:line="268"/>
      </w:pPr>
      <w:r>
        <w:rPr>
          <w:rFonts w:ascii="Calibri" w:cs="Calibri" w:eastAsia="Calibri" w:hAnsi="Calibri"/>
          <w:b/>
          <w:bCs/>
          <w:sz w:val="21"/>
          <w:szCs w:val="21"/>
        </w:rPr>
        <w:t xml:space="preserve">Trasladar la exigencia a quien sí puede incorporarla</w:t>
      </w:r>
      <w:r>
        <w:rPr>
          <w:rFonts w:ascii="Calibri" w:cs="Calibri" w:eastAsia="Calibri" w:hAnsi="Calibri"/>
          <w:sz w:val="21"/>
          <w:szCs w:val="21"/>
        </w:rPr>
        <w:t xml:space="preserve">: dirigir al órgano titular del acuerdo marco o a la central de contratación una propuesta motivada para la siguiente licitación, aportando el texto de este catálogo. Es lento, pero es el único camino con efecto real.</w:t>
      </w:r>
    </w:p>
    <w:p>
      <w:pPr>
        <w:pStyle w:val="ListParagraph"/>
        <w:numPr>
          <w:ilvl w:val="0"/>
          <w:numId w:val="1"/>
        </w:numPr>
        <w:spacing w:after="70" w:line="268"/>
      </w:pPr>
      <w:r>
        <w:rPr>
          <w:rFonts w:ascii="Calibri" w:cs="Calibri" w:eastAsia="Calibri" w:hAnsi="Calibri"/>
          <w:b/>
          <w:bCs/>
          <w:sz w:val="21"/>
          <w:szCs w:val="21"/>
        </w:rPr>
        <w:t xml:space="preserve">Documentar la limitación en el expediente.</w:t>
      </w:r>
      <w:r>
        <w:rPr>
          <w:rFonts w:ascii="Calibri" w:cs="Calibri" w:eastAsia="Calibri" w:hAnsi="Calibri"/>
          <w:sz w:val="21"/>
          <w:szCs w:val="21"/>
        </w:rPr>
        <w:t xml:space="preserve"> Si la necesidad existe y el instrumento no permite atenderla, se hace constar, y esa constancia es la que justifica que la siguiente contratación no vaya por esta vía.</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en el contrato basado o en la adhesión condiciones especiales de ejecución, obligaciones esenciales o penalidades que no estén previstas en el acuerdo marco.</w:t>
      </w:r>
    </w:p>
    <w:p>
      <w:pPr>
        <w:pStyle w:val="ListParagraph"/>
        <w:numPr>
          <w:ilvl w:val="0"/>
          <w:numId w:val="1"/>
        </w:numPr>
        <w:spacing w:after="70" w:line="268"/>
      </w:pPr>
      <w:r>
        <w:rPr>
          <w:rFonts w:ascii="Calibri" w:cs="Calibri" w:eastAsia="Calibri" w:hAnsi="Calibri"/>
          <w:sz w:val="21"/>
          <w:szCs w:val="21"/>
        </w:rPr>
        <w:t xml:space="preserve">Puntuar en una nueva licitación entre adjudicatarios criterios que no estuvieran contemplados en el acuerdo marco.</w:t>
      </w:r>
    </w:p>
    <w:p>
      <w:pPr>
        <w:pStyle w:val="ListParagraph"/>
        <w:numPr>
          <w:ilvl w:val="0"/>
          <w:numId w:val="1"/>
        </w:numPr>
        <w:spacing w:after="70" w:line="268"/>
      </w:pPr>
      <w:r>
        <w:rPr>
          <w:rFonts w:ascii="Calibri" w:cs="Calibri" w:eastAsia="Calibri" w:hAnsi="Calibri"/>
          <w:sz w:val="21"/>
          <w:szCs w:val="21"/>
        </w:rPr>
        <w:t xml:space="preserve">Aceptar que el proveedor «lo incluya de palabra». Lo que no está en el instrumento no es exigible ni penalizable, y en dos años nadie recordará quién lo dijo.</w:t>
      </w:r>
    </w:p>
    <w:p>
      <w:pPr>
        <w:pStyle w:val="Heading3"/>
        <w:keepNext/>
        <w:spacing w:after="140" w:before="320"/>
      </w:pPr>
      <w:r>
        <w:rPr>
          <w:rFonts w:ascii="Georgia" w:cs="Georgia" w:eastAsia="Georgia" w:hAnsi="Georgia"/>
          <w:b/>
          <w:bCs/>
          <w:color w:val="2F5496"/>
          <w:sz w:val="22"/>
          <w:szCs w:val="22"/>
        </w:rPr>
        <w:t xml:space="preserve">Caso 3 · Prórrogas de contratos ya en vigor</w:t>
      </w:r>
    </w:p>
    <w:p>
      <w:pPr>
        <w:spacing w:after="140" w:line="276"/>
      </w:pPr>
      <w:r>
        <w:rPr>
          <w:rFonts w:ascii="Calibri" w:cs="Calibri" w:eastAsia="Calibri" w:hAnsi="Calibri"/>
          <w:b/>
          <w:bCs/>
          <w:sz w:val="21"/>
          <w:szCs w:val="21"/>
        </w:rPr>
        <w:t xml:space="preserve">Por qué no cabe.</w:t>
      </w:r>
      <w:r>
        <w:rPr>
          <w:rFonts w:ascii="Calibri" w:cs="Calibri" w:eastAsia="Calibri" w:hAnsi="Calibri"/>
          <w:sz w:val="21"/>
          <w:szCs w:val="21"/>
        </w:rPr>
        <w:t xml:space="preserve"> La prórroga es la continuación del mismo contrato en las mismas condiciones. No es el momento de introducir obligaciones nuevas: introducir una obligación nueva no es prorrogar, es </w:t>
      </w:r>
      <w:r>
        <w:rPr>
          <w:rFonts w:ascii="Calibri" w:cs="Calibri" w:eastAsia="Calibri" w:hAnsi="Calibri"/>
          <w:b/>
          <w:bCs/>
          <w:sz w:val="21"/>
          <w:szCs w:val="21"/>
        </w:rPr>
        <w:t xml:space="preserve">modificar</w:t>
      </w:r>
      <w:r>
        <w:rPr>
          <w:rFonts w:ascii="Calibri" w:cs="Calibri" w:eastAsia="Calibri" w:hAnsi="Calibri"/>
          <w:sz w:val="21"/>
          <w:szCs w:val="21"/>
        </w:rPr>
        <w:t xml:space="preserve">, y la modificación tiene su propio régimen y sus propios límites (arts. 203 y 204 LCSP). Presentar como prórroga lo que es una modificación es un vicio del expediente, y además coloca al Ayuntamiento en la peor posición negociadora posible, porque el adjudicatario sabe que la alternativa es quedarse sin servicio.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Ejercer lo que el contrato ya dice.</w:t>
      </w:r>
      <w:r>
        <w:rPr>
          <w:rFonts w:ascii="Calibri" w:cs="Calibri" w:eastAsia="Calibri" w:hAnsi="Calibri"/>
          <w:sz w:val="21"/>
          <w:szCs w:val="21"/>
        </w:rPr>
        <w:t xml:space="preserve"> Muchas veces la obligación existe y no se ha exigido: entrega de documentación, acceso a los datos, actualización de versiones dentro del mantenimiento contratado, niveles de servicio. Antes de pedir nada nuevo, léase el contrato vigente: la primera palanca suele estar dentro.</w:t>
      </w:r>
    </w:p>
    <w:p>
      <w:pPr>
        <w:pStyle w:val="ListParagraph"/>
        <w:numPr>
          <w:ilvl w:val="0"/>
          <w:numId w:val="1"/>
        </w:numPr>
        <w:spacing w:after="70" w:line="268"/>
      </w:pPr>
      <w:r>
        <w:rPr>
          <w:rFonts w:ascii="Calibri" w:cs="Calibri" w:eastAsia="Calibri" w:hAnsi="Calibri"/>
          <w:b/>
          <w:bCs/>
          <w:sz w:val="21"/>
          <w:szCs w:val="21"/>
        </w:rPr>
        <w:t xml:space="preserve">Modificar, si la modificación estaba prevista</w:t>
      </w:r>
      <w:r>
        <w:rPr>
          <w:rFonts w:ascii="Calibri" w:cs="Calibri" w:eastAsia="Calibri" w:hAnsi="Calibri"/>
          <w:sz w:val="21"/>
          <w:szCs w:val="21"/>
        </w:rPr>
        <w:t xml:space="preserve"> en el pliego con la precisión que exigen los artículos 203 y 204 LCSP, y dentro de su límite y su porcentaje. Si no estaba prevista, la vía es la que corresponda conforme a la LCSP, con informe previo, y no la prórroga.</w:t>
      </w:r>
    </w:p>
    <w:p>
      <w:pPr>
        <w:pStyle w:val="ListParagraph"/>
        <w:numPr>
          <w:ilvl w:val="0"/>
          <w:numId w:val="1"/>
        </w:numPr>
        <w:spacing w:after="70" w:line="268"/>
      </w:pPr>
      <w:r>
        <w:rPr>
          <w:rFonts w:ascii="Calibri" w:cs="Calibri" w:eastAsia="Calibri" w:hAnsi="Calibri"/>
          <w:b/>
          <w:bCs/>
          <w:sz w:val="21"/>
          <w:szCs w:val="21"/>
        </w:rPr>
        <w:t xml:space="preserve">Acordar lo que no cueste dinero ni altere el equilibrio del contrato</w:t>
      </w:r>
      <w:r>
        <w:rPr>
          <w:rFonts w:ascii="Calibri" w:cs="Calibri" w:eastAsia="Calibri" w:hAnsi="Calibri"/>
          <w:sz w:val="21"/>
          <w:szCs w:val="21"/>
        </w:rPr>
        <w:t xml:space="preserve">, por acuerdo documentado entre las partes: por ejemplo, la entrega del diccionario de datos o la realización de un ensayo de reversibilidad, cuando el contratista lo acepte y quede en acta. Es voluntario y así debe constar.</w:t>
      </w:r>
    </w:p>
    <w:p>
      <w:pPr>
        <w:pStyle w:val="ListParagraph"/>
        <w:numPr>
          <w:ilvl w:val="0"/>
          <w:numId w:val="1"/>
        </w:numPr>
        <w:spacing w:after="70" w:line="268"/>
      </w:pPr>
      <w:r>
        <w:rPr>
          <w:rFonts w:ascii="Calibri" w:cs="Calibri" w:eastAsia="Calibri" w:hAnsi="Calibri"/>
          <w:b/>
          <w:bCs/>
          <w:sz w:val="21"/>
          <w:szCs w:val="21"/>
        </w:rPr>
        <w:t xml:space="preserve">Preparar la licitación siguiente durante la prórroga.</w:t>
      </w:r>
      <w:r>
        <w:rPr>
          <w:rFonts w:ascii="Calibri" w:cs="Calibri" w:eastAsia="Calibri" w:hAnsi="Calibri"/>
          <w:sz w:val="21"/>
          <w:szCs w:val="21"/>
        </w:rPr>
        <w:t xml:space="preserve"> Es el uso más rentable de este catálogo en un contrato vivo: el periodo de prórroga es el momento de exigir el </w:t>
      </w:r>
      <w:r>
        <w:rPr>
          <w:rFonts w:ascii="Calibri" w:cs="Calibri" w:eastAsia="Calibri" w:hAnsi="Calibri"/>
          <w:b/>
          <w:bCs/>
          <w:sz w:val="21"/>
          <w:szCs w:val="21"/>
        </w:rPr>
        <w:t xml:space="preserve">Dossier de Reversibilidad</w:t>
      </w:r>
      <w:r>
        <w:rPr>
          <w:rFonts w:ascii="Calibri" w:cs="Calibri" w:eastAsia="Calibri" w:hAnsi="Calibri"/>
          <w:sz w:val="21"/>
          <w:szCs w:val="21"/>
        </w:rPr>
        <w:t xml:space="preserve"> que ya deba entregarse, de calcular el valor estimado del contrato sucesor y de redactar con tiempo el expediente completo. Un contrato prorrogado es un contrato con fecha de caducidad conocida; no hay excusa para llegar tarde.</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a la resolución de prórroga condiciones especiales de ejecución, obligaciones esenciales, penalidades o exigencias del Anexo V.</w:t>
      </w:r>
    </w:p>
    <w:p>
      <w:pPr>
        <w:pStyle w:val="ListParagraph"/>
        <w:numPr>
          <w:ilvl w:val="0"/>
          <w:numId w:val="1"/>
        </w:numPr>
        <w:spacing w:after="70" w:line="268"/>
      </w:pPr>
      <w:r>
        <w:rPr>
          <w:rFonts w:ascii="Calibri" w:cs="Calibri" w:eastAsia="Calibri" w:hAnsi="Calibri"/>
          <w:sz w:val="21"/>
          <w:szCs w:val="21"/>
        </w:rPr>
        <w:t xml:space="preserve">Aplicar a un contrato vivo un Anexo V aprobado después de su licitación. Al contrato sólo le resultan exigibles las capacidades del Anexo vigente el día en que se licitó, y esa limitación es consustancial al modelo: es precisamente lo que hace que el modelo sea defendible.</w:t>
      </w:r>
    </w:p>
    <w:p>
      <w:pPr>
        <w:pStyle w:val="ListParagraph"/>
        <w:numPr>
          <w:ilvl w:val="0"/>
          <w:numId w:val="1"/>
        </w:numPr>
        <w:spacing w:after="70" w:line="268"/>
      </w:pPr>
      <w:r>
        <w:rPr>
          <w:rFonts w:ascii="Calibri" w:cs="Calibri" w:eastAsia="Calibri" w:hAnsi="Calibri"/>
          <w:sz w:val="21"/>
          <w:szCs w:val="21"/>
        </w:rPr>
        <w:t xml:space="preserve">Condicionar la prórroga a que el contratista acepte obligaciones nuevas. Aunque acepte, el expediente queda tocado.</w:t>
      </w:r>
    </w:p>
    <w:p>
      <w:pPr>
        <w:spacing w:after="140" w:line="276"/>
      </w:pPr>
      <w:r>
        <w:rPr>
          <w:rFonts w:ascii="Calibri" w:cs="Calibri" w:eastAsia="Calibri" w:hAnsi="Calibri"/>
          <w:i/>
          <w:iCs/>
          <w:sz w:val="21"/>
          <w:szCs w:val="21"/>
        </w:rPr>
        <w:t xml:space="preserve">Caso distinto y frecuente: el contrato ya formalizado con la versión 2.0 de este clausulado. Qué se puede hacer con él, y qué no, está en el </w:t>
      </w:r>
      <w:r>
        <w:rPr>
          <w:rFonts w:ascii="Calibri" w:cs="Calibri" w:eastAsia="Calibri" w:hAnsi="Calibri"/>
          <w:i/>
          <w:iCs/>
          <w:sz w:val="21"/>
          <w:szCs w:val="21"/>
        </w:rPr>
        <w:t xml:space="preserve">Anexo XXIV</w:t>
      </w:r>
      <w:r>
        <w:rPr>
          <w:rFonts w:ascii="Calibri" w:cs="Calibri" w:eastAsia="Calibri" w:hAnsi="Calibri"/>
          <w:i/>
          <w:iCs/>
          <w:sz w:val="21"/>
          <w:szCs w:val="21"/>
        </w:rPr>
        <w:t xml:space="preserve">.</w:t>
      </w:r>
    </w:p>
    <w:p>
      <w:pPr>
        <w:pStyle w:val="Heading3"/>
        <w:keepNext/>
        <w:spacing w:after="140" w:before="320"/>
      </w:pPr>
      <w:r>
        <w:rPr>
          <w:rFonts w:ascii="Georgia" w:cs="Georgia" w:eastAsia="Georgia" w:hAnsi="Georgia"/>
          <w:b/>
          <w:bCs/>
          <w:color w:val="2F5496"/>
          <w:sz w:val="22"/>
          <w:szCs w:val="22"/>
        </w:rPr>
        <w:t xml:space="preserve">Regla común a los tres casos</w:t>
      </w:r>
    </w:p>
    <w:p>
      <w:pPr>
        <w:spacing w:after="140" w:line="276"/>
      </w:pPr>
      <w:r>
        <w:rPr>
          <w:rFonts w:ascii="Calibri" w:cs="Calibri" w:eastAsia="Calibri" w:hAnsi="Calibri"/>
          <w:sz w:val="21"/>
          <w:szCs w:val="21"/>
        </w:rPr>
        <w:t xml:space="preserve">En los tres, la conclusión operativa es la misma y conviene escribirla en el expediente cuando se dé el caso: </w:t>
      </w:r>
      <w:r>
        <w:rPr>
          <w:rFonts w:ascii="Calibri" w:cs="Calibri" w:eastAsia="Calibri" w:hAnsi="Calibri"/>
          <w:b/>
          <w:bCs/>
          <w:sz w:val="21"/>
          <w:szCs w:val="21"/>
        </w:rPr>
        <w:t xml:space="preserve">la necesidad se documenta aunque no pueda atenderse ahora</w:t>
      </w:r>
      <w:r>
        <w:rPr>
          <w:rFonts w:ascii="Calibri" w:cs="Calibri" w:eastAsia="Calibri" w:hAnsi="Calibri"/>
          <w:sz w:val="21"/>
          <w:szCs w:val="21"/>
        </w:rPr>
        <w:t xml:space="preserve">. Un informe de tres líneas que diga «existe esta necesidad, este instrumento no permite incorporarla, se incorporará en la contratación de [fecha]» hace tres cosas a la vez: justifica no haberla exigido, prepara el expediente siguiente y acredita ante la Intervención que la eficacia y la eficiencia se están vigilando. Es el uso del catálogo que más veces se va a dar en la práctica.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0.7 Cómo saber que se tiene la versión vigente</w:t>
      </w:r>
    </w:p>
    <w:p>
      <w:pPr>
        <w:spacing w:after="140" w:line="276"/>
      </w:pPr>
      <w:r>
        <w:rPr>
          <w:rFonts w:ascii="Calibri" w:cs="Calibri" w:eastAsia="Calibri" w:hAnsi="Calibri"/>
          <w:sz w:val="21"/>
          <w:szCs w:val="21"/>
        </w:rPr>
        <w:t xml:space="preserve">Un documento que se publica en abierto y que se copia por correo electrónico se convierte, en seis meses, en cinco documentos distintos. Lo mínimo que hay que saber:</w:t>
      </w:r>
    </w:p>
    <w:p>
      <w:pPr>
        <w:pStyle w:val="ListParagraph"/>
        <w:numPr>
          <w:ilvl w:val="0"/>
          <w:numId w:val="1"/>
        </w:numPr>
        <w:spacing w:after="70" w:line="268"/>
      </w:pPr>
      <w:r>
        <w:rPr>
          <w:rFonts w:ascii="Calibri" w:cs="Calibri" w:eastAsia="Calibri" w:hAnsi="Calibri"/>
          <w:sz w:val="21"/>
          <w:szCs w:val="21"/>
        </w:rPr>
        <w:t xml:space="preserve">Hay un único </w:t>
      </w:r>
      <w:r>
        <w:rPr>
          <w:rFonts w:ascii="Calibri" w:cs="Calibri" w:eastAsia="Calibri" w:hAnsi="Calibri"/>
          <w:b/>
          <w:bCs/>
          <w:sz w:val="21"/>
          <w:szCs w:val="21"/>
        </w:rPr>
        <w:t xml:space="preserve">ejemplar maestro</w:t>
      </w:r>
      <w:r>
        <w:rPr>
          <w:rFonts w:ascii="Calibri" w:cs="Calibri" w:eastAsia="Calibri" w:hAnsi="Calibri"/>
          <w:sz w:val="21"/>
          <w:szCs w:val="21"/>
        </w:rPr>
        <w:t xml:space="preserve">, con número de versión, fecha de aprobación, fecha de corte normativa y huella digital; todo lo demás son copias.</w:t>
      </w:r>
    </w:p>
    <w:p>
      <w:pPr>
        <w:pStyle w:val="ListParagraph"/>
        <w:numPr>
          <w:ilvl w:val="0"/>
          <w:numId w:val="1"/>
        </w:numPr>
        <w:spacing w:after="70" w:line="268"/>
      </w:pPr>
      <w:r>
        <w:rPr>
          <w:rFonts w:ascii="Calibri" w:cs="Calibri" w:eastAsia="Calibri" w:hAnsi="Calibri"/>
          <w:sz w:val="21"/>
          <w:szCs w:val="21"/>
        </w:rPr>
        <w:t xml:space="preserve">Todo pliego que use este catálogo cita </w:t>
      </w:r>
      <w:r>
        <w:rPr>
          <w:rFonts w:ascii="Calibri" w:cs="Calibri" w:eastAsia="Calibri" w:hAnsi="Calibri"/>
          <w:b/>
          <w:bCs/>
          <w:sz w:val="21"/>
          <w:szCs w:val="21"/>
        </w:rPr>
        <w:t xml:space="preserve">la versión del catálogo y la versión y fecha del Anexo V</w:t>
      </w:r>
      <w:r>
        <w:rPr>
          <w:rFonts w:ascii="Calibri" w:cs="Calibri" w:eastAsia="Calibri" w:hAnsi="Calibri"/>
          <w:sz w:val="21"/>
          <w:szCs w:val="21"/>
        </w:rPr>
        <w:t xml:space="preserve"> que ha transcrito, y escribe los códigos de cláusula siempre con versión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un pliego que cite «ADM-2» a secas no se sabe a qué texto remite.</w:t>
      </w:r>
    </w:p>
    <w:p>
      <w:pPr>
        <w:spacing w:after="140" w:line="276"/>
      </w:pPr>
      <w:r>
        <w:rPr>
          <w:rFonts w:ascii="Calibri" w:cs="Calibri" w:eastAsia="Calibri" w:hAnsi="Calibri"/>
          <w:b/>
          <w:bCs/>
          <w:sz w:val="21"/>
          <w:szCs w:val="21"/>
        </w:rPr>
        <w:t xml:space="preserve">El régimen completo de custodia y versionado —dónde vive el maestro, qué naturaleza tiene el acto de aprobación, qué se revisa cada año y qué no— está en la Parte V, V.8.</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 · DISPOSICIONES GENERALES Y REGLAS DE INTEGRACIÓN</w:t>
      </w:r>
    </w:p>
    <w:p>
      <w:pPr>
        <w:spacing w:after="140" w:line="276"/>
      </w:pPr>
      <w:r>
        <w:rPr>
          <w:rFonts w:ascii="Calibri" w:cs="Calibri" w:eastAsia="Calibri" w:hAnsi="Calibri"/>
          <w:sz w:val="21"/>
          <w:szCs w:val="21"/>
        </w:rPr>
        <w:t xml:space="preserve">Esta Parte I no se copia a ningún pliego, salvo los bloques expresamente marcados como texto de pliego: el del apartado §4.2 (referencias técnicas no normativas), los del apartado §5.2 (definiciones) y los del apartado §7.10 (cláusula de integración e interpretación). Todo lo demás es régimen interno del catálogo: explica de dónde nace cada exigencia, qué instrumento contractual le corresponde y qué límites tiene. Un pliego que reciba las cargas de este catálogo sin transcribir los límites del §7.10 estará peor redactado que si no lo hubiera usado; esa es la razón de que la regla de transcripción exista y sea obligatoria.</w:t>
      </w:r>
    </w:p>
    <w:p>
      <w:pPr>
        <w:spacing w:after="140" w:line="276"/>
      </w:pPr>
      <w:r>
        <w:rPr>
          <w:rFonts w:ascii="Calibri" w:cs="Calibri" w:eastAsia="Calibri" w:hAnsi="Calibri"/>
          <w:sz w:val="21"/>
          <w:szCs w:val="21"/>
        </w:rPr>
        <w:t xml:space="preserve">Fecha de corte de toda la información normativa y doctrinal de este documento: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fechas de exigibilidad y las referencias que caducan se recogen, con esa misma fecha de corte, en el Anexo XI (Vigencia normativa).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§1. Objeto, naturaleza y regla de uso</w:t>
      </w:r>
    </w:p>
    <w:p>
      <w:pPr>
        <w:pStyle w:val="Heading3"/>
        <w:keepNext/>
        <w:spacing w:after="140" w:before="320"/>
      </w:pPr>
      <w:r>
        <w:rPr>
          <w:rFonts w:ascii="Georgia" w:cs="Georgia" w:eastAsia="Georgia" w:hAnsi="Georgia"/>
          <w:b/>
          <w:bCs/>
          <w:color w:val="2F5496"/>
          <w:sz w:val="22"/>
          <w:szCs w:val="22"/>
        </w:rPr>
        <w:t xml:space="preserve">1.1 Objeto</w:t>
      </w:r>
    </w:p>
    <w:p>
      <w:pPr>
        <w:spacing w:after="140" w:line="276"/>
      </w:pPr>
      <w:r>
        <w:rPr>
          <w:rFonts w:ascii="Calibri" w:cs="Calibri" w:eastAsia="Calibri" w:hAnsi="Calibri"/>
          <w:sz w:val="21"/>
          <w:szCs w:val="21"/>
        </w:rPr>
        <w:t xml:space="preserve">Este documento reúne, ordena y motiva las cláusulas de contenido tecnológico —inteligencia artificial, agentes de inteligencia artificial, automatización, interoperabilidad, seguridad, servicios de confianza y reversibilidad— que el Ayuntamiento puede incorporar a los Pliegos de Prescripciones Técnicas (PPT) y de Cláusulas Administrativas Particulares (PCAP) de sus contratos, junto con los documentos de expediente que cada una de ellas exige.</w:t>
      </w:r>
    </w:p>
    <w:p>
      <w:pPr>
        <w:spacing w:after="140" w:line="276"/>
      </w:pPr>
      <w:r>
        <w:rPr>
          <w:rFonts w:ascii="Calibri" w:cs="Calibri" w:eastAsia="Calibri" w:hAnsi="Calibri"/>
          <w:sz w:val="21"/>
          <w:szCs w:val="21"/>
        </w:rPr>
        <w:t xml:space="preserve">Para cada cláusula, el documento entrega cinco cosas y solamente esas cinco: el texto literal que se copia al pliego, el pliego y el apartado donde va, la necesidad y la norma o el acto del que nace, el medio de acreditación y de verificación con su actor y su periodicidad, y la consecuencia tasada de su incumplimiento.</w:t>
      </w:r>
    </w:p>
    <w:p>
      <w:pPr>
        <w:pStyle w:val="Heading3"/>
        <w:keepNext/>
        <w:spacing w:after="140" w:before="320"/>
      </w:pPr>
      <w:r>
        <w:rPr>
          <w:rFonts w:ascii="Georgia" w:cs="Georgia" w:eastAsia="Georgia" w:hAnsi="Georgia"/>
          <w:b/>
          <w:bCs/>
          <w:color w:val="2F5496"/>
          <w:sz w:val="22"/>
          <w:szCs w:val="22"/>
        </w:rPr>
        <w:t xml:space="preserve">1.2 Naturaleza: catálogo de aplicación motivada</w:t>
      </w:r>
    </w:p>
    <w:p>
      <w:pPr>
        <w:spacing w:after="140" w:line="276"/>
      </w:pPr>
      <w:r>
        <w:rPr>
          <w:rFonts w:ascii="Calibri" w:cs="Calibri" w:eastAsia="Calibri" w:hAnsi="Calibri"/>
          <w:sz w:val="21"/>
          <w:szCs w:val="21"/>
        </w:rPr>
        <w:t xml:space="preserve">Este documento es un </w:t>
      </w:r>
      <w:r>
        <w:rPr>
          <w:rFonts w:ascii="Calibri" w:cs="Calibri" w:eastAsia="Calibri" w:hAnsi="Calibri"/>
          <w:b/>
          <w:bCs/>
          <w:sz w:val="21"/>
          <w:szCs w:val="21"/>
        </w:rPr>
        <w:t xml:space="preserve">catálogo de aplicación motivada</w:t>
      </w:r>
      <w:r>
        <w:rPr>
          <w:rFonts w:ascii="Calibri" w:cs="Calibri" w:eastAsia="Calibri" w:hAnsi="Calibri"/>
          <w:sz w:val="21"/>
          <w:szCs w:val="21"/>
        </w:rPr>
        <w:t xml:space="preserve">. No es una norma, no es un pliego, no es una instrucción de obligado cumplimiento y no se aplica solo.</w:t>
      </w:r>
    </w:p>
    <w:p>
      <w:pPr>
        <w:spacing w:after="140" w:line="276"/>
      </w:pPr>
      <w:r>
        <w:rPr>
          <w:rFonts w:ascii="Calibri" w:cs="Calibri" w:eastAsia="Calibri" w:hAnsi="Calibri"/>
          <w:sz w:val="21"/>
          <w:szCs w:val="21"/>
        </w:rPr>
        <w:t xml:space="preserve">Desaparece, respecto de la versión 2.0, la definición del clausulado como texto «para su incorporación transversal en los Pliegos […] de cualquier licitación del Ayuntamiento, con independencia del área gestora». Esa fórmula describía exactamente lo que el artículo 116.4.e) de la Ley 9/2017, de 8 de noviembre, de Contratos del Sector Público (en adelante, LCSP) no admite: una exigencia incorporada al pliego sin relación acreditada con el objeto de ese contrato. El precepto exige que en el expediente conste «la necesidad de la Administración a la que se pretende dar satisfacción mediante la contratación de las prestaciones correspondientes; y su relación con el objeto del contrato, que deberá ser directa, clara y proporcional» (</w:t>
      </w:r>
      <w:hyperlink w:history="1" r:id="rIdrwuimbosxsbijvzdxvsqt">
        <w:r>
          <w:rPr>
            <w:rFonts w:ascii="Calibri" w:cs="Calibri" w:eastAsia="Calibri" w:hAnsi="Calibri"/>
            <w:color w:val="2F5496"/>
            <w:sz w:val="21"/>
            <w:szCs w:val="21"/>
            <w:u w:val="single"/>
          </w:rPr>
          <w:t xml:space="preserve">LCSP, texto consolidado</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esa naturaleza se derivan tres consecuencias que gobiernan todo el documento:</w:t>
      </w:r>
    </w:p>
    <w:p>
      <w:pPr>
        <w:pStyle w:val="ListParagraph"/>
        <w:numPr>
          <w:ilvl w:val="0"/>
          <w:numId w:val="2"/>
        </w:numPr>
        <w:spacing w:after="70" w:line="268"/>
      </w:pPr>
      <w:r>
        <w:rPr>
          <w:rFonts w:ascii="Calibri" w:cs="Calibri" w:eastAsia="Calibri" w:hAnsi="Calibri"/>
          <w:b/>
          <w:bCs/>
          <w:sz w:val="21"/>
          <w:szCs w:val="21"/>
        </w:rPr>
        <w:t xml:space="preserve">Ninguna cláusula está incorporada por el hecho de figurar aquí.</w:t>
      </w:r>
      <w:r>
        <w:rPr>
          <w:rFonts w:ascii="Calibri" w:cs="Calibri" w:eastAsia="Calibri" w:hAnsi="Calibri"/>
          <w:sz w:val="21"/>
          <w:szCs w:val="21"/>
        </w:rPr>
        <w:t xml:space="preserve"> La aprobación de este catálogo no incorpora nada a ningún pliego.</w:t>
      </w:r>
    </w:p>
    <w:p>
      <w:pPr>
        <w:pStyle w:val="ListParagraph"/>
        <w:numPr>
          <w:ilvl w:val="0"/>
          <w:numId w:val="2"/>
        </w:numPr>
        <w:spacing w:after="70" w:line="268"/>
      </w:pPr>
      <w:r>
        <w:rPr>
          <w:rFonts w:ascii="Calibri" w:cs="Calibri" w:eastAsia="Calibri" w:hAnsi="Calibri"/>
          <w:b/>
          <w:bCs/>
          <w:sz w:val="21"/>
          <w:szCs w:val="21"/>
        </w:rPr>
        <w:t xml:space="preserve">La aprobación de este catálogo no sustituye a la memoria justificativa de ningún expediente.</w:t>
      </w:r>
      <w:r>
        <w:rPr>
          <w:rFonts w:ascii="Calibri" w:cs="Calibri" w:eastAsia="Calibri" w:hAnsi="Calibri"/>
          <w:sz w:val="21"/>
          <w:szCs w:val="21"/>
        </w:rPr>
        <w:t xml:space="preserve"> La motivación de cada exigencia se hace en la memoria del expediente concreto, y allí es donde se juega su validez (§3.8).</w:t>
      </w:r>
    </w:p>
    <w:p>
      <w:pPr>
        <w:pStyle w:val="ListParagraph"/>
        <w:numPr>
          <w:ilvl w:val="0"/>
          <w:numId w:val="2"/>
        </w:numPr>
        <w:spacing w:after="70" w:line="268"/>
      </w:pPr>
      <w:r>
        <w:rPr>
          <w:rFonts w:ascii="Calibri" w:cs="Calibri" w:eastAsia="Calibri" w:hAnsi="Calibri"/>
          <w:b/>
          <w:bCs/>
          <w:sz w:val="21"/>
          <w:szCs w:val="21"/>
        </w:rPr>
        <w:t xml:space="preserve">Lo que no supere el circuito de motivación del §3 se marca NO APLICA y no entra en el pliego.</w:t>
      </w:r>
      <w:r>
        <w:rPr>
          <w:rFonts w:ascii="Calibri" w:cs="Calibri" w:eastAsia="Calibri" w:hAnsi="Calibri"/>
          <w:sz w:val="21"/>
          <w:szCs w:val="21"/>
        </w:rPr>
        <w:t xml:space="preserve"> No entra «por si acaso», ni «porque estaba en el modelo», ni «porque lo lleva el contrato anterior».</w:t>
      </w:r>
    </w:p>
    <w:p>
      <w:pPr>
        <w:pStyle w:val="Heading3"/>
        <w:keepNext/>
        <w:spacing w:after="140" w:before="320"/>
      </w:pPr>
      <w:r>
        <w:rPr>
          <w:rFonts w:ascii="Georgia" w:cs="Georgia" w:eastAsia="Georgia" w:hAnsi="Georgia"/>
          <w:b/>
          <w:bCs/>
          <w:color w:val="2F5496"/>
          <w:sz w:val="22"/>
          <w:szCs w:val="22"/>
        </w:rPr>
        <w:t xml:space="preserve">1.3 Regla de uso (regla de cierre)</w:t>
      </w:r>
    </w:p>
    <w:p>
      <w:pPr>
        <w:spacing w:after="140" w:line="276"/>
      </w:pPr>
      <w:r>
        <w:rPr>
          <w:rFonts w:ascii="Calibri" w:cs="Calibri" w:eastAsia="Calibri" w:hAnsi="Calibri"/>
          <w:sz w:val="21"/>
          <w:szCs w:val="21"/>
        </w:rPr>
        <w:t xml:space="preserve">Ninguna cláusula de las Partes II y III se incorpora a un PPT o a un PCAP sin que conste previamente en el expediente la Ficha de Aplicabilidad del Anexo II, cumplimentada y firmada, con identificación del origen de la necesidad conforme al §3 y con la motivación de la relación directa, clara y proporcional con el objeto de ese contrato. En su defecto, la cláusula se marca NO APLICA.</w:t>
      </w:r>
    </w:p>
    <w:p>
      <w:pPr>
        <w:spacing w:after="140" w:line="276"/>
      </w:pPr>
      <w:r>
        <w:rPr>
          <w:rFonts w:ascii="Calibri" w:cs="Calibri" w:eastAsia="Calibri" w:hAnsi="Calibri"/>
          <w:sz w:val="21"/>
          <w:szCs w:val="21"/>
        </w:rPr>
        <w:t xml:space="preserve">La firma de la ficha corresponde a un actor distinto según el origen de la necesidad. La doble vía de firma se detalla en el §3.7 y es condición de validez de la ficha: una ficha firmada por quien no puede declarar esa necesidad es una ficha sin motivación.</w:t>
      </w:r>
    </w:p>
    <w:p>
      <w:pPr>
        <w:pStyle w:val="Heading3"/>
        <w:keepNext/>
        <w:spacing w:after="140" w:before="320"/>
      </w:pPr>
      <w:r>
        <w:rPr>
          <w:rFonts w:ascii="Georgia" w:cs="Georgia" w:eastAsia="Georgia" w:hAnsi="Georgia"/>
          <w:b/>
          <w:bCs/>
          <w:color w:val="2F5496"/>
          <w:sz w:val="22"/>
          <w:szCs w:val="22"/>
        </w:rPr>
        <w:t xml:space="preserve">1.4 Lo que este documento no promete</w:t>
      </w:r>
    </w:p>
    <w:p>
      <w:pPr>
        <w:spacing w:after="140" w:line="276"/>
      </w:pPr>
      <w:r>
        <w:rPr>
          <w:rFonts w:ascii="Calibri" w:cs="Calibri" w:eastAsia="Calibri" w:hAnsi="Calibri"/>
          <w:sz w:val="21"/>
          <w:szCs w:val="21"/>
        </w:rPr>
        <w:t xml:space="preserve">Este documento </w:t>
      </w:r>
      <w:r>
        <w:rPr>
          <w:rFonts w:ascii="Calibri" w:cs="Calibri" w:eastAsia="Calibri" w:hAnsi="Calibri"/>
          <w:b/>
          <w:bCs/>
          <w:sz w:val="21"/>
          <w:szCs w:val="21"/>
        </w:rPr>
        <w:t xml:space="preserve">no promete que un tribunal no pueda anular un pliego</w:t>
      </w:r>
      <w:r>
        <w:rPr>
          <w:rFonts w:ascii="Calibri" w:cs="Calibri" w:eastAsia="Calibri" w:hAnsi="Calibri"/>
          <w:sz w:val="21"/>
          <w:szCs w:val="21"/>
        </w:rPr>
        <w:t xml:space="preserve"> que incorpore estas cláusulas. No consta, a fecha de corte 01/09/2026 y tras búsqueda en los repositorios del Tribunal Administrativo Central de Recursos Contractuales, del Tribunal Administrativo de Contratación Pública de la Comunidad de Madrid y del OARC/KEAO, resolución alguna sobre condiciones especiales de ejecución de contenido tecnológico-evolutivo, sobre interfaces de acceso para agentes de inteligencia artificial, sobre la ISO/IEC 42001 como criterio de adjudicación, sobre demostraciones funcionales de software ni sobre infraestructuras de registro distribuido en pliegos. El primer pliego recurrido sobre estas materias creará el precedente.</w:t>
      </w:r>
    </w:p>
    <w:p>
      <w:pPr>
        <w:spacing w:after="140" w:line="276"/>
      </w:pPr>
      <w:r>
        <w:rPr>
          <w:rFonts w:ascii="Calibri" w:cs="Calibri" w:eastAsia="Calibri" w:hAnsi="Calibri"/>
          <w:sz w:val="21"/>
          <w:szCs w:val="21"/>
        </w:rPr>
        <w:t xml:space="preserve">Lo que sí se promete, porque es diseñable y comprobable línea a línea:</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origen de necesidad identificado</w:t>
      </w:r>
      <w:r>
        <w:rPr>
          <w:rFonts w:ascii="Calibri" w:cs="Calibri" w:eastAsia="Calibri" w:hAnsi="Calibri"/>
          <w:sz w:val="21"/>
          <w:szCs w:val="21"/>
        </w:rPr>
        <w:t xml:space="preserve"> y escrito;</w:t>
      </w:r>
    </w:p>
    <w:p>
      <w:pPr>
        <w:pStyle w:val="ListParagraph"/>
        <w:numPr>
          <w:ilvl w:val="0"/>
          <w:numId w:val="1"/>
        </w:numPr>
        <w:spacing w:after="70" w:line="268"/>
      </w:pPr>
      <w:r>
        <w:rPr>
          <w:rFonts w:ascii="Calibri" w:cs="Calibri" w:eastAsia="Calibri" w:hAnsi="Calibri"/>
          <w:sz w:val="21"/>
          <w:szCs w:val="21"/>
        </w:rPr>
        <w:t xml:space="preserve">cada exigencia tiene </w:t>
      </w:r>
      <w:r>
        <w:rPr>
          <w:rFonts w:ascii="Calibri" w:cs="Calibri" w:eastAsia="Calibri" w:hAnsi="Calibri"/>
          <w:b/>
          <w:bCs/>
          <w:sz w:val="21"/>
          <w:szCs w:val="21"/>
        </w:rPr>
        <w:t xml:space="preserve">un solo instrumento contractual</w:t>
      </w:r>
      <w:r>
        <w:rPr>
          <w:rFonts w:ascii="Calibri" w:cs="Calibri" w:eastAsia="Calibri" w:hAnsi="Calibri"/>
          <w:sz w:val="21"/>
          <w:szCs w:val="21"/>
        </w:rPr>
        <w:t xml:space="preserve"> y no se computa dos veces;</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y una </w:t>
      </w:r>
      <w:r>
        <w:rPr>
          <w:rFonts w:ascii="Calibri" w:cs="Calibri" w:eastAsia="Calibri" w:hAnsi="Calibri"/>
          <w:b/>
          <w:bCs/>
          <w:sz w:val="21"/>
          <w:szCs w:val="21"/>
        </w:rPr>
        <w:t xml:space="preserve">forma de verificación con actor municipal y periodicidad</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cada incumplimiento tiene una </w:t>
      </w:r>
      <w:r>
        <w:rPr>
          <w:rFonts w:ascii="Calibri" w:cs="Calibri" w:eastAsia="Calibri" w:hAnsi="Calibri"/>
          <w:b/>
          <w:bCs/>
          <w:sz w:val="21"/>
          <w:szCs w:val="21"/>
        </w:rPr>
        <w:t xml:space="preserve">consecuencia tipificada</w:t>
      </w:r>
      <w:r>
        <w:rPr>
          <w:rFonts w:ascii="Calibri" w:cs="Calibri" w:eastAsia="Calibri" w:hAnsi="Calibri"/>
          <w:sz w:val="21"/>
          <w:szCs w:val="21"/>
        </w:rPr>
        <w:t xml:space="preserve">, y sólo son esenciales los incumplimientos de una lista cerrada;</w:t>
      </w:r>
    </w:p>
    <w:p>
      <w:pPr>
        <w:pStyle w:val="ListParagraph"/>
        <w:numPr>
          <w:ilvl w:val="0"/>
          <w:numId w:val="1"/>
        </w:numPr>
        <w:spacing w:after="70" w:line="268"/>
      </w:pPr>
      <w:r>
        <w:rPr>
          <w:rFonts w:ascii="Calibri" w:cs="Calibri" w:eastAsia="Calibri" w:hAnsi="Calibri"/>
          <w:b/>
          <w:bCs/>
          <w:sz w:val="21"/>
          <w:szCs w:val="21"/>
        </w:rPr>
        <w:t xml:space="preserve">la caída de una pieza no arrastra las demás</w:t>
      </w:r>
      <w:r>
        <w:rPr>
          <w:rFonts w:ascii="Calibri" w:cs="Calibri" w:eastAsia="Calibri" w:hAnsi="Calibri"/>
          <w:sz w:val="21"/>
          <w:szCs w:val="21"/>
        </w:rPr>
        <w:t xml:space="preserve">, salvo las relaciones de presupuesto necesario identificadas en la tabla de dependencias del Anexo VI (§7.8).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§2. Ámbito, proporcionalidad y reutilización por otras administraciones</w:t>
      </w:r>
    </w:p>
    <w:p>
      <w:pPr>
        <w:pStyle w:val="Heading3"/>
        <w:keepNext/>
        <w:spacing w:after="140" w:before="320"/>
      </w:pPr>
      <w:r>
        <w:rPr>
          <w:rFonts w:ascii="Georgia" w:cs="Georgia" w:eastAsia="Georgia" w:hAnsi="Georgia"/>
          <w:b/>
          <w:bCs/>
          <w:color w:val="2F5496"/>
          <w:sz w:val="22"/>
          <w:szCs w:val="22"/>
        </w:rPr>
        <w:t xml:space="preserve">2.1 Tipos de contrato y modulación</w:t>
      </w:r>
    </w:p>
    <w:p>
      <w:pPr>
        <w:spacing w:after="140" w:line="276"/>
      </w:pPr>
      <w:r>
        <w:rPr>
          <w:rFonts w:ascii="Calibri" w:cs="Calibri" w:eastAsia="Calibri" w:hAnsi="Calibri"/>
          <w:sz w:val="21"/>
          <w:szCs w:val="21"/>
        </w:rPr>
        <w:t xml:space="preserve">El catálogo puede aplicarse a contratos de servicios, suministros, obras y concesiones, y a sus modificaciones, siempre que el contrato tenga componente digital o tecnológico. Tres advertencias de tipología que condicionan cláusulas concretas:</w:t>
      </w:r>
    </w:p>
    <w:p>
      <w:pPr>
        <w:pStyle w:val="ListParagraph"/>
        <w:numPr>
          <w:ilvl w:val="0"/>
          <w:numId w:val="1"/>
        </w:numPr>
        <w:spacing w:after="70" w:line="268"/>
      </w:pPr>
      <w:r>
        <w:rPr>
          <w:rFonts w:ascii="Calibri" w:cs="Calibri" w:eastAsia="Calibri" w:hAnsi="Calibri"/>
          <w:sz w:val="21"/>
          <w:szCs w:val="21"/>
        </w:rPr>
        <w:t xml:space="preserve">La adquisición de software estándar es </w:t>
      </w:r>
      <w:r>
        <w:rPr>
          <w:rFonts w:ascii="Calibri" w:cs="Calibri" w:eastAsia="Calibri" w:hAnsi="Calibri"/>
          <w:b/>
          <w:bCs/>
          <w:sz w:val="21"/>
          <w:szCs w:val="21"/>
        </w:rPr>
        <w:t xml:space="preserve">contrato de suministro</w:t>
      </w:r>
      <w:r>
        <w:rPr>
          <w:rFonts w:ascii="Calibri" w:cs="Calibri" w:eastAsia="Calibri" w:hAnsi="Calibri"/>
          <w:sz w:val="21"/>
          <w:szCs w:val="21"/>
        </w:rPr>
        <w:t xml:space="preserve">; sólo el software desarrollado a medida encaja en el contrato de servicios. Las exigencias de titularidad del artículo 308.1 LCSP no amparan la primera (véase ADM-8·v3).</w:t>
      </w:r>
    </w:p>
    <w:p>
      <w:pPr>
        <w:pStyle w:val="ListParagraph"/>
        <w:numPr>
          <w:ilvl w:val="0"/>
          <w:numId w:val="1"/>
        </w:numPr>
        <w:spacing w:after="70" w:line="268"/>
      </w:pPr>
      <w:r>
        <w:rPr>
          <w:rFonts w:ascii="Calibri" w:cs="Calibri" w:eastAsia="Calibri" w:hAnsi="Calibri"/>
          <w:sz w:val="21"/>
          <w:szCs w:val="21"/>
        </w:rPr>
        <w:t xml:space="preserve">En contratos de obras y concesiones, el catálogo se aplica exclusivamente al componente de sistemas de información de la prestación, nunca al conjunto.</w:t>
      </w:r>
    </w:p>
    <w:p>
      <w:pPr>
        <w:pStyle w:val="ListParagraph"/>
        <w:numPr>
          <w:ilvl w:val="0"/>
          <w:numId w:val="1"/>
        </w:numPr>
        <w:spacing w:after="70" w:line="268"/>
      </w:pPr>
      <w:r>
        <w:rPr>
          <w:rFonts w:ascii="Calibri" w:cs="Calibri" w:eastAsia="Calibri" w:hAnsi="Calibri"/>
          <w:sz w:val="21"/>
          <w:szCs w:val="21"/>
        </w:rPr>
        <w:t xml:space="preserve">En contratos sin sistema de información municipal ni tratamiento de datos personales por cuenta del Ayuntamiento,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2.2 Regla de proporcionalidad y cuadro de intensidad</w:t>
      </w:r>
    </w:p>
    <w:p>
      <w:pPr>
        <w:spacing w:after="140" w:line="276"/>
      </w:pPr>
      <w:r>
        <w:rPr>
          <w:rFonts w:ascii="Calibri" w:cs="Calibri" w:eastAsia="Calibri" w:hAnsi="Calibri"/>
          <w:sz w:val="21"/>
          <w:szCs w:val="21"/>
        </w:rPr>
        <w:t xml:space="preserve">La intensidad de aplicación se gradúa por el valor estimado del contrato, por la categoría de seguridad del sistema y por la criticidad del servicio soportado, y nunca por la ambición tecnológica del expediente. El cuadro siguiente es orientativo y no sustituye a la ficha: fija el punto de partida para que el redactor no tenga que reabrir la discusión en cada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se aplica (valores recomendados)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incorpora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w:t>
            </w:r>
            <w:r>
              <w:rPr>
                <w:rFonts w:ascii="Calibri" w:cs="Calibri" w:eastAsia="Calibri" w:hAnsi="Calibri"/>
                <w:b/>
                <w:bCs/>
                <w:sz w:val="18"/>
                <w:szCs w:val="18"/>
              </w:rPr>
              <w:t xml:space="preserve">[X; se recomienda 50.000] €</w:t>
            </w:r>
            <w:r>
              <w:rPr>
                <w:rFonts w:ascii="Calibri" w:cs="Calibri" w:eastAsia="Calibri" w:hAnsi="Calibri"/>
                <w:b w:val="false"/>
                <w:bCs w:val="false"/>
                <w:sz w:val="18"/>
                <w:szCs w:val="18"/>
              </w:rPr>
              <w:t xml:space="preserve">; o contrato sin sistema de información municipal. </w:t>
            </w:r>
            <w:r>
              <w:rPr>
                <w:rFonts w:ascii="Calibri" w:cs="Calibri" w:eastAsia="Calibri" w:hAnsi="Calibri"/>
                <w:b/>
                <w:bCs/>
                <w:sz w:val="18"/>
                <w:szCs w:val="18"/>
              </w:rPr>
              <w:t xml:space="preserve">Los contratos sin pliego —el contrato menor— no se rigen por este cuadro: véase el apartado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impuesto por norma: DT-6·v3 (ENS); DT-1·v3, siempre que intervengan sistemas de inteligencia artificial; bloque A de ADM-6·v3 (esencialidades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cuando concurra su presupuesto) y ADM-13·v3 si el contratista va a tratar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entre </w:t>
            </w:r>
            <w:r>
              <w:rPr>
                <w:rFonts w:ascii="Calibri" w:cs="Calibri" w:eastAsia="Calibri" w:hAnsi="Calibri"/>
                <w:b/>
                <w:bCs/>
                <w:sz w:val="18"/>
                <w:szCs w:val="18"/>
              </w:rPr>
              <w:t xml:space="preserve">[50.000; se recomienda 50.000]</w:t>
            </w:r>
            <w:r>
              <w:rPr>
                <w:rFonts w:ascii="Calibri" w:cs="Calibri" w:eastAsia="Calibri" w:hAnsi="Calibri"/>
                <w:b w:val="false"/>
                <w:bCs w:val="false"/>
                <w:sz w:val="18"/>
                <w:szCs w:val="18"/>
              </w:rPr>
              <w:t xml:space="preserve"> € y el umbral de contratos sujetos a regulación armonizada; contrato con sistema de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 DT-0·v3, DT-5·v3, DT-8·v3, ADM-1·v3, ADM-4·v3, ADM-5·v3, ADM-6·v3, ADM-8·v3, ADM-10·v3 (cuando se haya incorporado DT-9·v3 y su Anexo V, del que depende) y ADM-12·v3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 ·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al umbral de contratos sujetos a regulación armonizada (</w:t>
            </w:r>
            <w:r>
              <w:rPr>
                <w:rFonts w:ascii="Calibri" w:cs="Calibri" w:eastAsia="Calibri" w:hAnsi="Calibri"/>
                <w:b/>
                <w:bCs/>
                <w:sz w:val="18"/>
                <w:szCs w:val="18"/>
              </w:rPr>
              <w:t xml:space="preserve">216.000 €</w:t>
            </w:r>
            <w:r>
              <w:rPr>
                <w:rFonts w:ascii="Calibri" w:cs="Calibri" w:eastAsia="Calibri" w:hAnsi="Calibri"/>
                <w:b w:val="false"/>
                <w:bCs w:val="false"/>
                <w:sz w:val="18"/>
                <w:szCs w:val="18"/>
              </w:rPr>
              <w:t xml:space="preserve"> en servicios y suministros para 2026-2027, conforme al </w:t>
            </w:r>
            <w:hyperlink w:history="1" r:id="rIdszgv_lg8xiwnful9gpw5f">
              <w:r>
                <w:rPr>
                  <w:rFonts w:ascii="Calibri" w:cs="Calibri" w:eastAsia="Calibri" w:hAnsi="Calibri"/>
                  <w:b w:val="false"/>
                  <w:bCs w:val="false"/>
                  <w:color w:val="2F5496"/>
                  <w:sz w:val="18"/>
                  <w:szCs w:val="18"/>
                  <w:u w:val="single"/>
                </w:rPr>
                <w:t xml:space="preserve">Reglamento Delegado (UE) 2025/2152</w:t>
              </w:r>
            </w:hyperlink>
            <w:r>
              <w:rPr>
                <w:rFonts w:ascii="Calibri" w:cs="Calibri" w:eastAsia="Calibri" w:hAnsi="Calibri"/>
                <w:b w:val="false"/>
                <w:bCs w:val="false"/>
                <w:sz w:val="18"/>
                <w:szCs w:val="18"/>
              </w:rPr>
              <w:t xml:space="preserve">, incorporado a los artículos 21.1.b) y 22.1.b) LCSP por la Orden HAC/1517/2025, de 18 de diciembre; es un umbral legal, no un parámetro del órgano de contratación, y caduca el 31/12/2027); o sistema de categoría ENS </w:t>
            </w:r>
            <w:r>
              <w:rPr>
                <w:rFonts w:ascii="Calibri" w:cs="Calibri" w:eastAsia="Calibri" w:hAnsi="Calibri"/>
                <w:b/>
                <w:bCs/>
                <w:sz w:val="18"/>
                <w:szCs w:val="18"/>
              </w:rPr>
              <w:t xml:space="preserve">MEDIA</w:t>
            </w:r>
            <w:r>
              <w:rPr>
                <w:rFonts w:ascii="Calibri" w:cs="Calibri" w:eastAsia="Calibri" w:hAnsi="Calibri"/>
                <w:b w:val="false"/>
                <w:bCs w:val="false"/>
                <w:sz w:val="18"/>
                <w:szCs w:val="18"/>
              </w:rPr>
              <w:t xml:space="preserve"> o </w:t>
            </w:r>
            <w:r>
              <w:rPr>
                <w:rFonts w:ascii="Calibri" w:cs="Calibri" w:eastAsia="Calibri" w:hAnsi="Calibri"/>
                <w:b/>
                <w:bCs/>
                <w:sz w:val="18"/>
                <w:szCs w:val="18"/>
              </w:rPr>
              <w:t xml:space="preserve">ALTA</w:t>
            </w:r>
            <w:r>
              <w:rPr>
                <w:rFonts w:ascii="Calibri" w:cs="Calibri" w:eastAsia="Calibri" w:hAnsi="Calibri"/>
                <w:b w:val="false"/>
                <w:bCs w:val="false"/>
                <w:sz w:val="18"/>
                <w:szCs w:val="18"/>
              </w:rPr>
              <w:t xml:space="preserve">; o servicio de los relacionados en la cláusula ADM-11·v3, apartado 1, letra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 DT-7·v3, DT-9·v3 y Anexo V, ADM-2·v3 y ADM-7·v3; DT-4·v3 sólo cuando exista lista cerrada y numerada de procesos cumplimentada con datos reales; ADM-3·v3 sólo en contratos de servicios que impliquen desarrollo o mantenimiento de aplicaciones (art. 308.3 LCSP); ADM-9·v3 sólo desde </w:t>
            </w:r>
            <w:r>
              <w:rPr>
                <w:rFonts w:ascii="Calibri" w:cs="Calibri" w:eastAsia="Calibri" w:hAnsi="Calibri"/>
                <w:b/>
                <w:bCs/>
                <w:sz w:val="18"/>
                <w:szCs w:val="18"/>
              </w:rPr>
              <w:t xml:space="preserve">200.000 €</w:t>
            </w:r>
            <w:r>
              <w:rPr>
                <w:rFonts w:ascii="Calibri" w:cs="Calibri" w:eastAsia="Calibri" w:hAnsi="Calibri"/>
                <w:b w:val="false"/>
                <w:bCs w:val="false"/>
                <w:sz w:val="18"/>
                <w:szCs w:val="18"/>
              </w:rPr>
              <w:t xml:space="preserve"> de valor estimado (ADM-9·v3, apartado 10); ADM-11·v3 sólo si concurren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sus condiciones de incorporación (ADM-11·v3, apartado 1, y Anexo X, parámetro 21); ADM-14·v3 sólo si se cumplen sus condiciones de incorporación</w:t>
            </w:r>
          </w:p>
        </w:tc>
      </w:tr>
    </w:tbl>
    <w:p>
      <w:pPr>
        <w:spacing w:after="200"/>
      </w:pPr>
    </w:p>
    <w:p>
      <w:pPr>
        <w:spacing w:after="140" w:line="276"/>
      </w:pPr>
      <w:r>
        <w:rPr>
          <w:rFonts w:ascii="Calibri" w:cs="Calibri" w:eastAsia="Calibri" w:hAnsi="Calibri"/>
          <w:sz w:val="21"/>
          <w:szCs w:val="21"/>
        </w:rPr>
        <w:t xml:space="preserve">Notas de uso del cuadro, todas ellas de aplicación obligatoria:</w:t>
      </w:r>
    </w:p>
    <w:p>
      <w:pPr>
        <w:pStyle w:val="ListParagraph"/>
        <w:numPr>
          <w:ilvl w:val="0"/>
          <w:numId w:val="1"/>
        </w:numPr>
        <w:spacing w:after="70" w:line="268"/>
      </w:pPr>
      <w:r>
        <w:rPr>
          <w:rFonts w:ascii="Calibri" w:cs="Calibri" w:eastAsia="Calibri" w:hAnsi="Calibri"/>
          <w:b/>
          <w:bCs/>
          <w:sz w:val="21"/>
          <w:szCs w:val="21"/>
        </w:rPr>
        <w:t xml:space="preserve">DT-2·v3 y DT-3·v3 son NO APLICA por defecto en los tres niveles.</w:t>
      </w:r>
      <w:r>
        <w:rPr>
          <w:rFonts w:ascii="Calibri" w:cs="Calibri" w:eastAsia="Calibri" w:hAnsi="Calibri"/>
          <w:sz w:val="21"/>
          <w:szCs w:val="21"/>
        </w:rPr>
        <w:t xml:space="preserve"> Se incorporan sólo con necesidad expresa y motivada.</w:t>
      </w:r>
    </w:p>
    <w:p>
      <w:pPr>
        <w:pStyle w:val="ListParagraph"/>
        <w:numPr>
          <w:ilvl w:val="0"/>
          <w:numId w:val="1"/>
        </w:numPr>
        <w:spacing w:after="70" w:line="268"/>
      </w:pPr>
      <w:r>
        <w:rPr>
          <w:rFonts w:ascii="Calibri" w:cs="Calibri" w:eastAsia="Calibri" w:hAnsi="Calibri"/>
          <w:b/>
          <w:bCs/>
          <w:sz w:val="21"/>
          <w:szCs w:val="21"/>
        </w:rPr>
        <w:t xml:space="preserve">Ningún nivel activa por sí solo una cláusula que tenga condiciones propias de incorporación.</w:t>
      </w:r>
      <w:r>
        <w:rPr>
          <w:rFonts w:ascii="Calibri" w:cs="Calibri" w:eastAsia="Calibri" w:hAnsi="Calibri"/>
          <w:sz w:val="21"/>
          <w:szCs w:val="21"/>
        </w:rPr>
        <w:t xml:space="preserve"> ADM-9·v3, ADM-11·v3 y ADM-14·v3 entran únicamente si concurren las circunstancias que sus respectivas cláusulas exigen; el cuadro no las sustituye ni las flexibiliza. En el caso de ADM-11·v3, las cuatro circunstancias de su apartado 1 son </w:t>
      </w:r>
      <w:r>
        <w:rPr>
          <w:rFonts w:ascii="Calibri" w:cs="Calibri" w:eastAsia="Calibri" w:hAnsi="Calibri"/>
          <w:b/>
          <w:bCs/>
          <w:sz w:val="21"/>
          <w:szCs w:val="21"/>
        </w:rPr>
        <w:t xml:space="preserve">acumulativas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El contrato menor queda fuera de este cuadro.</w:t>
      </w:r>
      <w:r>
        <w:rPr>
          <w:rFonts w:ascii="Calibri" w:cs="Calibri" w:eastAsia="Calibri" w:hAnsi="Calibri"/>
          <w:sz w:val="21"/>
          <w:szCs w:val="21"/>
        </w:rPr>
        <w:t xml:space="preserve"> Al no haber pliego, no caben condiciones especiales de ejecución, penalidades tipificadas, obligaciones esenciales ni criterios de adjudicación. Lo único que cabe en el encargo o en la aceptación de oferta es la relación cerrada del apartado V.7.1, que es su fuente única (§2.4.a).</w:t>
      </w:r>
    </w:p>
    <w:p>
      <w:pPr>
        <w:pStyle w:val="ListParagraph"/>
        <w:numPr>
          <w:ilvl w:val="0"/>
          <w:numId w:val="1"/>
        </w:numPr>
        <w:spacing w:after="70" w:line="268"/>
      </w:pPr>
      <w:r>
        <w:rPr>
          <w:rFonts w:ascii="Calibri" w:cs="Calibri" w:eastAsia="Calibri" w:hAnsi="Calibri"/>
          <w:sz w:val="21"/>
          <w:szCs w:val="21"/>
        </w:rPr>
        <w:t xml:space="preserve">Subir de nivel exige motivación en la memoria; </w:t>
      </w:r>
      <w:r>
        <w:rPr>
          <w:rFonts w:ascii="Calibri" w:cs="Calibri" w:eastAsia="Calibri" w:hAnsi="Calibri"/>
          <w:b/>
          <w:bCs/>
          <w:sz w:val="21"/>
          <w:szCs w:val="21"/>
        </w:rPr>
        <w:t xml:space="preserve">bajar de nivel no exige motivación</w:t>
      </w:r>
      <w:r>
        <w:rPr>
          <w:rFonts w:ascii="Calibri" w:cs="Calibri" w:eastAsia="Calibri" w:hAnsi="Calibri"/>
          <w:sz w:val="21"/>
          <w:szCs w:val="21"/>
        </w:rPr>
        <w:t xml:space="preserve">, porque el catálogo no obliga a nadie a exigir.</w:t>
      </w:r>
    </w:p>
    <w:p>
      <w:pPr>
        <w:pStyle w:val="ListParagraph"/>
        <w:numPr>
          <w:ilvl w:val="0"/>
          <w:numId w:val="1"/>
        </w:numPr>
        <w:spacing w:after="70" w:line="268"/>
      </w:pPr>
      <w:r>
        <w:rPr>
          <w:rFonts w:ascii="Calibri" w:cs="Calibri" w:eastAsia="Calibri" w:hAnsi="Calibri"/>
          <w:sz w:val="21"/>
          <w:szCs w:val="21"/>
        </w:rPr>
        <w:t xml:space="preserve">Ningún nivel autoriza a incorporar una cláusula sin ficha (§1.3) ni sin verificación asignada (§7.9).</w:t>
      </w:r>
    </w:p>
    <w:p>
      <w:pPr>
        <w:pStyle w:val="ListParagraph"/>
        <w:numPr>
          <w:ilvl w:val="0"/>
          <w:numId w:val="1"/>
        </w:numPr>
        <w:spacing w:after="70" w:line="268"/>
      </w:pPr>
      <w:r>
        <w:rPr>
          <w:rFonts w:ascii="Calibri" w:cs="Calibri" w:eastAsia="Calibri" w:hAnsi="Calibri"/>
          <w:sz w:val="21"/>
          <w:szCs w:val="21"/>
        </w:rPr>
        <w:t xml:space="preserve">El valor estimado se calcula conforme a los artículos 101.2.c) y 101.5 LCSP, </w:t>
      </w:r>
      <w:r>
        <w:rPr>
          <w:rFonts w:ascii="Calibri" w:cs="Calibri" w:eastAsia="Calibri" w:hAnsi="Calibri"/>
          <w:b/>
          <w:bCs/>
          <w:sz w:val="21"/>
          <w:szCs w:val="21"/>
        </w:rPr>
        <w:t xml:space="preserve">incluidas las prórrogas y toda opción eventual</w:t>
      </w:r>
      <w:r>
        <w:rPr>
          <w:rFonts w:ascii="Calibri" w:cs="Calibri" w:eastAsia="Calibri" w:hAnsi="Calibri"/>
          <w:sz w:val="21"/>
          <w:szCs w:val="21"/>
        </w:rPr>
        <w:t xml:space="preserve">; una bolsa de horas o una reserva de modificación computan en él.</w:t>
      </w:r>
    </w:p>
    <w:p>
      <w:pPr>
        <w:pStyle w:val="Heading3"/>
        <w:keepNext/>
        <w:spacing w:after="140" w:before="320"/>
      </w:pPr>
      <w:r>
        <w:rPr>
          <w:rFonts w:ascii="Georgia" w:cs="Georgia" w:eastAsia="Georgia" w:hAnsi="Georgia"/>
          <w:b/>
          <w:bCs/>
          <w:color w:val="2F5496"/>
          <w:sz w:val="22"/>
          <w:szCs w:val="22"/>
        </w:rPr>
        <w:t xml:space="preserve">2.3 Regla de reutilización por otras administraciones</w:t>
      </w:r>
    </w:p>
    <w:p>
      <w:pPr>
        <w:spacing w:after="140" w:line="276"/>
      </w:pPr>
      <w:r>
        <w:rPr>
          <w:rFonts w:ascii="Calibri" w:cs="Calibri" w:eastAsia="Calibri" w:hAnsi="Calibri"/>
          <w:sz w:val="21"/>
          <w:szCs w:val="21"/>
        </w:rPr>
        <w:t xml:space="preserve">Este documento se publica en abierto para que cualquier administración lo reutilice. La reutilización correcta exige adaptar, </w:t>
      </w:r>
      <w:r>
        <w:rPr>
          <w:rFonts w:ascii="Calibri" w:cs="Calibri" w:eastAsia="Calibri" w:hAnsi="Calibri"/>
          <w:b/>
          <w:bCs/>
          <w:sz w:val="21"/>
          <w:szCs w:val="21"/>
        </w:rPr>
        <w:t xml:space="preserve">antes de aprobarlo</w:t>
      </w:r>
      <w:r>
        <w:rPr>
          <w:rFonts w:ascii="Calibri" w:cs="Calibri" w:eastAsia="Calibri" w:hAnsi="Calibri"/>
          <w:sz w:val="21"/>
          <w:szCs w:val="21"/>
        </w:rPr>
        <w:t xml:space="preserve">, los doce elementos siguientes. La regla general se enuncia primero; el régimen de Pozuelo de Alarcón figura entre paréntesis, y sólo como ejemplo.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adaptar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 general (ejemplo de Pozuelo)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Régimen jurídico del municipio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qué órgano emite el informe jurídico preceptivo y qué órgano aprueba. (Pozuelo se rige por el Título X de la Ley 7/1985, régimen de municipios de gran población.)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que emite el informe jurídico preceptivo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al que corresponda conforme a la DA 3.ª.8 LCSP en relación con la DA 8.ª de la Ley 7/1985: </w:t>
            </w:r>
            <w:r>
              <w:rPr>
                <w:rFonts w:ascii="Calibri" w:cs="Calibri" w:eastAsia="Calibri" w:hAnsi="Calibri"/>
                <w:b/>
                <w:bCs/>
                <w:sz w:val="18"/>
                <w:szCs w:val="18"/>
              </w:rPr>
              <w:t xml:space="preserve">Asesoría Jurídica en municipios de gran población; Secretaría en el régimen común</w:t>
            </w:r>
            <w:r>
              <w:rPr>
                <w:rFonts w:ascii="Calibri" w:cs="Calibri" w:eastAsia="Calibri" w:hAnsi="Calibri"/>
                <w:b w:val="false"/>
                <w:bCs w:val="false"/>
                <w:sz w:val="18"/>
                <w:szCs w:val="18"/>
              </w:rPr>
              <w:t xml:space="preserve">. Toda referencia de este catálogo a «informe jurídico preceptivo» se entiende hecha a ese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contratación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las reglas de competencia de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gobierno que aprueba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que crea la necesidad institucional del §3.5. (En Pozuelo, la Junta de Gobierno Local, salvo que las normas de organización atribuyan la competencia a otro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ante quién se defiende el pliego y qué doctrina es la propia. Para las entidades locales de la Comunidad de Madrid, el Tribunal Administrativo de Contratación Pública de la Comunidad de Madrid, conforme al artículo 3 de la Ley 9/2010 en la redacción dada por la </w:t>
            </w:r>
            <w:hyperlink w:history="1" r:id="rIdgrljibyty5tft4zelfit_">
              <w:r>
                <w:rPr>
                  <w:rFonts w:ascii="Calibri" w:cs="Calibri" w:eastAsia="Calibri" w:hAnsi="Calibri"/>
                  <w:b w:val="false"/>
                  <w:bCs w:val="false"/>
                  <w:color w:val="2F5496"/>
                  <w:sz w:val="18"/>
                  <w:szCs w:val="18"/>
                  <w:u w:val="single"/>
                </w:rPr>
                <w:t xml:space="preserve">Ley 5/2016, de 22 de julio</w:t>
              </w:r>
            </w:hyperlink>
            <w:r>
              <w:rPr>
                <w:rFonts w:ascii="Calibri" w:cs="Calibri" w:eastAsia="Calibri" w:hAnsi="Calibri"/>
                <w:b w:val="false"/>
                <w:bCs w:val="false"/>
                <w:sz w:val="18"/>
                <w:szCs w:val="18"/>
              </w:rPr>
              <w:t xml:space="preserve">. En otras comunidades, el tribunal autonómico o el TACRC según el convenio o la ausencia de él.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Categoría de seguridad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Resulta del anexo I del Real Decreto 311/2022 tras el análisis de impacto;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Umbrales económicos vigentes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umbral del recurso especial (</w:t>
            </w:r>
            <w:r>
              <w:rPr>
                <w:rFonts w:ascii="Calibri" w:cs="Calibri" w:eastAsia="Calibri" w:hAnsi="Calibri"/>
                <w:b/>
                <w:bCs/>
                <w:sz w:val="18"/>
                <w:szCs w:val="18"/>
              </w:rPr>
              <w:t xml:space="preserve">más de 100.000 €</w:t>
            </w:r>
            <w:r>
              <w:rPr>
                <w:rFonts w:ascii="Calibri" w:cs="Calibri" w:eastAsia="Calibri" w:hAnsi="Calibri"/>
                <w:b w:val="false"/>
                <w:bCs w:val="false"/>
                <w:sz w:val="18"/>
                <w:szCs w:val="18"/>
              </w:rPr>
              <w:t xml:space="preserve"> de valor estimado en servicios y suministros, art. 44.1.a) LCSP) y umbrales de contrato menor del art. 118 LCSP. Fechar la revisión.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administración aprueba el suyo, con su propio contraste de mercado documentado. El Anexo V de Pozuelo no sirve como Anexo V de nadie más.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que crea la necesidad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propio e intransferible. El acuerdo de un ayuntamiento no motiva el expediente de otro.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Declaración de conflicto de interés (art. 64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Propia, con nombres, firmada y previa a la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Todos los parámetros entre corchetes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decisión expresa; los valores recomendados de este documento son un punto de partida, no una decisión ajena.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Estimación de carga de verificación con medios propios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del §7.9: lo que no se pueda verificar, no se incorpora.</w:t>
            </w:r>
          </w:p>
        </w:tc>
      </w:tr>
    </w:tbl>
    <w:p>
      <w:pPr>
        <w:spacing w:after="200"/>
      </w:pPr>
    </w:p>
    <w:p>
      <w:pPr>
        <w:spacing w:after="140" w:line="276"/>
      </w:pPr>
      <w:r>
        <w:rPr>
          <w:rFonts w:ascii="Calibri" w:cs="Calibri" w:eastAsia="Calibri" w:hAnsi="Calibri"/>
          <w:b/>
          <w:bCs/>
          <w:sz w:val="21"/>
          <w:szCs w:val="21"/>
        </w:rPr>
        <w:t xml:space="preserve">Advertencia de reutilización.</w:t>
      </w:r>
      <w:r>
        <w:rPr>
          <w:rFonts w:ascii="Calibri" w:cs="Calibri" w:eastAsia="Calibri" w:hAnsi="Calibri"/>
          <w:sz w:val="21"/>
          <w:szCs w:val="21"/>
        </w:rPr>
        <w:t xml:space="preserve"> Copiar literalmente este documento no produce por sí solo ningún efecto de cobertura jurídica. Lo que protege no es el texto de las cláusulas: es el circuito de motivación, acreditación y verificación que las acompaña. Una administración que copie el articulado y no reproduzca ese circuito habrá importado las cargas sin las defensas.</w:t>
      </w:r>
    </w:p>
    <w:p>
      <w:pPr>
        <w:pStyle w:val="Heading3"/>
        <w:keepNext/>
        <w:spacing w:after="140" w:before="320"/>
      </w:pPr>
      <w:r>
        <w:rPr>
          <w:rFonts w:ascii="Georgia" w:cs="Georgia" w:eastAsia="Georgia" w:hAnsi="Georgia"/>
          <w:b/>
          <w:bCs/>
          <w:color w:val="2F5496"/>
          <w:sz w:val="22"/>
          <w:szCs w:val="22"/>
        </w:rPr>
        <w:t xml:space="preserve">2.4 Contratos menores, contratos basados en acuerdo marco o sistemas centralizados, y prórrogas</w:t>
      </w:r>
    </w:p>
    <w:p>
      <w:pPr>
        <w:spacing w:after="140" w:line="276"/>
      </w:pPr>
      <w:r>
        <w:rPr>
          <w:rFonts w:ascii="Calibri" w:cs="Calibri" w:eastAsia="Calibri" w:hAnsi="Calibri"/>
          <w:sz w:val="21"/>
          <w:szCs w:val="21"/>
        </w:rPr>
        <w:t xml:space="preserve">Tres supuestos que son mayoría en el volumen de expedientes de un ayuntamiento y para los que el catálogo, sin estas reglas, no serviría.</w:t>
      </w:r>
    </w:p>
    <w:p>
      <w:pPr>
        <w:spacing w:after="140" w:line="276"/>
      </w:pPr>
      <w:r>
        <w:rPr>
          <w:rFonts w:ascii="Calibri" w:cs="Calibri" w:eastAsia="Calibri" w:hAnsi="Calibri"/>
          <w:b/>
          <w:bCs/>
          <w:sz w:val="21"/>
          <w:szCs w:val="21"/>
        </w:rPr>
        <w:t xml:space="preserve">a) Contratos menores (art. 118 LCSP).</w:t>
      </w:r>
      <w:r>
        <w:rPr>
          <w:rFonts w:ascii="Calibri" w:cs="Calibri" w:eastAsia="Calibri" w:hAnsi="Calibri"/>
          <w:sz w:val="21"/>
          <w:szCs w:val="21"/>
        </w:rPr>
        <w:t xml:space="preserve">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 Lo único que cabe incorporar al encargo o a la aceptación de oferta es la relación cerrada del apartado </w:t>
      </w:r>
      <w:r>
        <w:rPr>
          <w:rFonts w:ascii="Calibri" w:cs="Calibri" w:eastAsia="Calibri" w:hAnsi="Calibri"/>
          <w:b/>
          <w:bCs/>
          <w:sz w:val="21"/>
          <w:szCs w:val="21"/>
        </w:rPr>
        <w:t xml:space="preserve">V.7.1</w:t>
      </w:r>
      <w:r>
        <w:rPr>
          <w:rFonts w:ascii="Calibri" w:cs="Calibri" w:eastAsia="Calibri" w:hAnsi="Calibri"/>
          <w:sz w:val="21"/>
          <w:szCs w:val="21"/>
        </w:rPr>
        <w:t xml:space="preserve">, que es su </w:t>
      </w:r>
      <w:r>
        <w:rPr>
          <w:rFonts w:ascii="Calibri" w:cs="Calibri" w:eastAsia="Calibri" w:hAnsi="Calibri"/>
          <w:b/>
          <w:bCs/>
          <w:sz w:val="21"/>
          <w:szCs w:val="21"/>
        </w:rPr>
        <w:t xml:space="preserve">fuente única</w:t>
      </w:r>
      <w:r>
        <w:rPr>
          <w:rFonts w:ascii="Calibri" w:cs="Calibri" w:eastAsia="Calibri" w:hAnsi="Calibri"/>
          <w:sz w:val="21"/>
          <w:szCs w:val="21"/>
        </w:rPr>
        <w:t xml:space="preserve"> y no se reproduce aquí para que las dos no puedan divergir: son exigencias que no derivan del catálogo sino de la norma —señaladamente, la conformidad con el ENS del artículo 2.3 del Real Decreto 311/2022 y el encargo de tratamiento del artículo 28 del RGPD—. Al no haber pliego, </w:t>
      </w:r>
      <w:r>
        <w:rPr>
          <w:rFonts w:ascii="Calibri" w:cs="Calibri" w:eastAsia="Calibri" w:hAnsi="Calibri"/>
          <w:b/>
          <w:bCs/>
          <w:sz w:val="21"/>
          <w:szCs w:val="21"/>
        </w:rPr>
        <w:t xml:space="preserve">no caben condiciones especiales de ejecución, penalidades tipificadas, obligaciones esenciales con efecto resolutorio ni criterios de adjudicación</w:t>
      </w:r>
      <w:r>
        <w:rPr>
          <w:rFonts w:ascii="Calibri" w:cs="Calibri" w:eastAsia="Calibri" w:hAnsi="Calibri"/>
          <w:sz w:val="21"/>
          <w:szCs w:val="21"/>
        </w:rPr>
        <w:t xml:space="preserve">: son instrumentos que presuponen pliegos. Queda prohibido fraccionar el objeto para situar un contrato por debajo del umbral del menor y eludir el catálogo; si se detecta, la ficha se deniega.</w:t>
      </w:r>
    </w:p>
    <w:p>
      <w:pPr>
        <w:spacing w:after="140" w:line="276"/>
      </w:pPr>
      <w:r>
        <w:rPr>
          <w:rFonts w:ascii="Calibri" w:cs="Calibri" w:eastAsia="Calibri" w:hAnsi="Calibri"/>
          <w:b/>
          <w:bCs/>
          <w:sz w:val="21"/>
          <w:szCs w:val="21"/>
        </w:rPr>
        <w:t xml:space="preserve">b) Contratos basados en un acuerdo marco y adhesiones a sistemas de adquisición centralizada.</w:t>
      </w:r>
      <w:r>
        <w:rPr>
          <w:rFonts w:ascii="Calibri" w:cs="Calibri" w:eastAsia="Calibri" w:hAnsi="Calibri"/>
          <w:sz w:val="21"/>
          <w:szCs w:val="21"/>
        </w:rPr>
        <w:t xml:space="preserve"> El pliego regulador del acuerdo marco o del sistema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no admite que el poder adjudicador adherido añada obligaciones nuevas en el contrato basado. Regla:</w:t>
      </w:r>
    </w:p>
    <w:p>
      <w:pPr>
        <w:pStyle w:val="ListParagraph"/>
        <w:numPr>
          <w:ilvl w:val="0"/>
          <w:numId w:val="2"/>
        </w:numPr>
        <w:spacing w:after="70" w:line="268"/>
      </w:pPr>
      <w:r>
        <w:rPr>
          <w:rFonts w:ascii="Calibri" w:cs="Calibri" w:eastAsia="Calibri" w:hAnsi="Calibri"/>
          <w:sz w:val="21"/>
          <w:szCs w:val="21"/>
        </w:rPr>
        <w:t xml:space="preserve">Si el Ayuntamiento es quien licita el acuerdo marco, el catálogo se aplica </w:t>
      </w:r>
      <w:r>
        <w:rPr>
          <w:rFonts w:ascii="Calibri" w:cs="Calibri" w:eastAsia="Calibri" w:hAnsi="Calibri"/>
          <w:b/>
          <w:bCs/>
          <w:sz w:val="21"/>
          <w:szCs w:val="21"/>
        </w:rPr>
        <w:t xml:space="preserve">en esa licitación</w:t>
      </w:r>
      <w:r>
        <w:rPr>
          <w:rFonts w:ascii="Calibri" w:cs="Calibri" w:eastAsia="Calibri" w:hAnsi="Calibri"/>
          <w:sz w:val="21"/>
          <w:szCs w:val="21"/>
        </w:rPr>
        <w:t xml:space="preserve">, no en los basados.</w:t>
      </w:r>
    </w:p>
    <w:p>
      <w:pPr>
        <w:pStyle w:val="ListParagraph"/>
        <w:numPr>
          <w:ilvl w:val="0"/>
          <w:numId w:val="2"/>
        </w:numPr>
        <w:spacing w:after="70" w:line="268"/>
      </w:pPr>
      <w:r>
        <w:rPr>
          <w:rFonts w:ascii="Calibri" w:cs="Calibri" w:eastAsia="Calibri" w:hAnsi="Calibri"/>
          <w:sz w:val="21"/>
          <w:szCs w:val="21"/>
        </w:rPr>
        <w:t xml:space="preserve">Si el Ayuntamiento es adherido, sólo cabe utilizar los elementos que el propio acuerdo marco deje abiertos: los términos de la nueva licitación o segunda vuelta, cuando exista, y las condiciones de ejecución que el acuerdo marco remita al contrato basado.</w:t>
      </w:r>
    </w:p>
    <w:p>
      <w:pPr>
        <w:pStyle w:val="ListParagraph"/>
        <w:numPr>
          <w:ilvl w:val="0"/>
          <w:numId w:val="2"/>
        </w:numPr>
        <w:spacing w:after="70" w:line="268"/>
      </w:pPr>
      <w:r>
        <w:rPr>
          <w:rFonts w:ascii="Calibri" w:cs="Calibri" w:eastAsia="Calibri" w:hAnsi="Calibri"/>
          <w:sz w:val="21"/>
          <w:szCs w:val="21"/>
        </w:rPr>
        <w:t xml:space="preserve">En ambos casos, el informe de necesidad hará constar </w:t>
      </w:r>
      <w:r>
        <w:rPr>
          <w:rFonts w:ascii="Calibri" w:cs="Calibri" w:eastAsia="Calibri" w:hAnsi="Calibri"/>
          <w:b/>
          <w:bCs/>
          <w:sz w:val="21"/>
          <w:szCs w:val="21"/>
        </w:rPr>
        <w:t xml:space="preserve">qué exigencias del catálogo no han podido incorporarse y qué consecuencia asume el Ayuntamiento</w:t>
      </w:r>
      <w:r>
        <w:rPr>
          <w:rFonts w:ascii="Calibri" w:cs="Calibri" w:eastAsia="Calibri" w:hAnsi="Calibri"/>
          <w:sz w:val="21"/>
          <w:szCs w:val="21"/>
        </w:rPr>
        <w:t xml:space="preserve"> (típicamente: ausencia de reversibilidad pactada, ausencia de acceso de los órganos de control, ausencia de titularidad sobre desarrollos específicos). Esa constancia es la que permite, en la licitación siguiente, justificar la necesidad con datos y no con adjetivos.</w:t>
      </w:r>
    </w:p>
    <w:p>
      <w:pPr>
        <w:pStyle w:val="ListParagraph"/>
        <w:numPr>
          <w:ilvl w:val="0"/>
          <w:numId w:val="2"/>
        </w:numPr>
        <w:spacing w:after="70" w:line="268"/>
      </w:pPr>
      <w:r>
        <w:rPr>
          <w:rFonts w:ascii="Calibri" w:cs="Calibri" w:eastAsia="Calibri" w:hAnsi="Calibri"/>
          <w:sz w:val="21"/>
          <w:szCs w:val="21"/>
        </w:rPr>
        <w:t xml:space="preserve">Cuando la carencia sea relevante, el órgano de contratación trasladará la propuesta de incorporación al órgano que gestione el acuerdo marco o la central de compras. Es el único cauce eficaz.</w:t>
      </w:r>
    </w:p>
    <w:p>
      <w:pPr>
        <w:spacing w:after="140" w:line="276"/>
      </w:pPr>
      <w:r>
        <w:rPr>
          <w:rFonts w:ascii="Calibri" w:cs="Calibri" w:eastAsia="Calibri" w:hAnsi="Calibri"/>
          <w:b/>
          <w:bCs/>
          <w:sz w:val="21"/>
          <w:szCs w:val="21"/>
        </w:rPr>
        <w:t xml:space="preserve">c) Prórrogas.</w:t>
      </w:r>
      <w:r>
        <w:rPr>
          <w:rFonts w:ascii="Calibri" w:cs="Calibri" w:eastAsia="Calibri" w:hAnsi="Calibri"/>
          <w:sz w:val="21"/>
          <w:szCs w:val="21"/>
        </w:rPr>
        <w:t xml:space="preserve"> La prórroga ejecuta el contrato existente; </w:t>
      </w:r>
      <w:r>
        <w:rPr>
          <w:rFonts w:ascii="Calibri" w:cs="Calibri" w:eastAsia="Calibri" w:hAnsi="Calibri"/>
          <w:b/>
          <w:bCs/>
          <w:sz w:val="21"/>
          <w:szCs w:val="21"/>
        </w:rPr>
        <w:t xml:space="preserve">no introduce obligaciones nuevas</w:t>
      </w:r>
      <w:r>
        <w:rPr>
          <w:rFonts w:ascii="Calibri" w:cs="Calibri" w:eastAsia="Calibri" w:hAnsi="Calibri"/>
          <w:sz w:val="21"/>
          <w:szCs w:val="21"/>
        </w:rPr>
        <w:t xml:space="preserve"> ni altera su contenido. Regla:</w:t>
      </w:r>
    </w:p>
    <w:p>
      <w:pPr>
        <w:pStyle w:val="ListParagraph"/>
        <w:numPr>
          <w:ilvl w:val="0"/>
          <w:numId w:val="2"/>
        </w:numPr>
        <w:spacing w:after="70" w:line="268"/>
      </w:pPr>
      <w:r>
        <w:rPr>
          <w:rFonts w:ascii="Calibri" w:cs="Calibri" w:eastAsia="Calibri" w:hAnsi="Calibri"/>
          <w:sz w:val="21"/>
          <w:szCs w:val="21"/>
        </w:rPr>
        <w:t xml:space="preserve">En la prórroga </w:t>
      </w:r>
      <w:r>
        <w:rPr>
          <w:rFonts w:ascii="Calibri" w:cs="Calibri" w:eastAsia="Calibri" w:hAnsi="Calibri"/>
          <w:b/>
          <w:bCs/>
          <w:sz w:val="21"/>
          <w:szCs w:val="21"/>
        </w:rPr>
        <w:t xml:space="preserve">no se incorporan cláusulas del catálogo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Antes de acordarla se verifica el cumplimiento de las obligaciones tecnológicas ya vigentes y se documenta el resultado; una prórroga acordada sin esa verificación consolida el incumplimiento.</w:t>
      </w:r>
    </w:p>
    <w:p>
      <w:pPr>
        <w:pStyle w:val="ListParagraph"/>
        <w:numPr>
          <w:ilvl w:val="0"/>
          <w:numId w:val="2"/>
        </w:numPr>
        <w:spacing w:after="70" w:line="268"/>
      </w:pPr>
      <w:r>
        <w:rPr>
          <w:rFonts w:ascii="Calibri" w:cs="Calibri" w:eastAsia="Calibri" w:hAnsi="Calibri"/>
          <w:sz w:val="21"/>
          <w:szCs w:val="21"/>
        </w:rPr>
        <w:t xml:space="preserve">El Anexo V vigente durante la prórroga sigue siendo </w:t>
      </w:r>
      <w:r>
        <w:rPr>
          <w:rFonts w:ascii="Calibri" w:cs="Calibri" w:eastAsia="Calibri" w:hAnsi="Calibri"/>
          <w:b/>
          <w:bCs/>
          <w:sz w:val="21"/>
          <w:szCs w:val="21"/>
        </w:rPr>
        <w:t xml:space="preserve">el de la licitación</w:t>
      </w:r>
      <w:r>
        <w:rPr>
          <w:rFonts w:ascii="Calibri" w:cs="Calibri" w:eastAsia="Calibri" w:hAnsi="Calibri"/>
          <w:sz w:val="21"/>
          <w:szCs w:val="21"/>
        </w:rPr>
        <w:t xml:space="preserve">, por aplicación de la regla de invariabilidad (DT-9·v3). Las revisiones anuales posteriores no afectan a los contratos en vigor.</w:t>
      </w:r>
    </w:p>
    <w:p>
      <w:pPr>
        <w:pStyle w:val="ListParagraph"/>
        <w:numPr>
          <w:ilvl w:val="0"/>
          <w:numId w:val="2"/>
        </w:numPr>
        <w:spacing w:after="70" w:line="268"/>
      </w:pPr>
      <w:r>
        <w:rPr>
          <w:rFonts w:ascii="Calibri" w:cs="Calibri" w:eastAsia="Calibri" w:hAnsi="Calibri"/>
          <w:sz w:val="21"/>
          <w:szCs w:val="21"/>
        </w:rPr>
        <w:t xml:space="preserve">Las exigencias que se hayan echado en falta se recogen en el informe de prórroga y alimentan el expediente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§3. Armazón normativo de la necesidad</w:t>
      </w:r>
    </w:p>
    <w:p>
      <w:pPr>
        <w:spacing w:after="140" w:line="276"/>
      </w:pPr>
      <w:r>
        <w:rPr>
          <w:rFonts w:ascii="Calibri" w:cs="Calibri" w:eastAsia="Calibri" w:hAnsi="Calibri"/>
          <w:sz w:val="21"/>
          <w:szCs w:val="21"/>
        </w:rPr>
        <w:t xml:space="preserve">Esta es la sección más importante del documento. Responde a la única objeción que bloquea la aprobación: </w:t>
      </w:r>
      <w:r>
        <w:rPr>
          <w:rFonts w:ascii="Calibri" w:cs="Calibri" w:eastAsia="Calibri" w:hAnsi="Calibri"/>
          <w:i/>
          <w:iCs/>
          <w:sz w:val="21"/>
          <w:szCs w:val="21"/>
        </w:rPr>
        <w:t xml:space="preserve">«[las cláusulas] nacen a partir de unas necesidades que no se demandan por ninguno de los gestores y si no es así no dejan de ser algo artificioso al contrato»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 objeción es correcta en el estándar y equivocada en el sujeto, y además </w:t>
      </w:r>
      <w:r>
        <w:rPr>
          <w:rFonts w:ascii="Calibri" w:cs="Calibri" w:eastAsia="Calibri" w:hAnsi="Calibri"/>
          <w:b/>
          <w:bCs/>
          <w:sz w:val="21"/>
          <w:szCs w:val="21"/>
        </w:rPr>
        <w:t xml:space="preserve">sólo cubre una parte del catálogo</w:t>
      </w:r>
      <w:r>
        <w:rPr>
          <w:rFonts w:ascii="Calibri" w:cs="Calibri" w:eastAsia="Calibri" w:hAnsi="Calibri"/>
          <w:sz w:val="21"/>
          <w:szCs w:val="21"/>
        </w:rPr>
        <w:t xml:space="preserve">. Las tres cosas se resuelven aquí.</w:t>
      </w:r>
    </w:p>
    <w:p>
      <w:pPr>
        <w:pStyle w:val="Heading3"/>
        <w:keepNext/>
        <w:spacing w:after="140" w:before="320"/>
      </w:pPr>
      <w:r>
        <w:rPr>
          <w:rFonts w:ascii="Georgia" w:cs="Georgia" w:eastAsia="Georgia" w:hAnsi="Georgia"/>
          <w:b/>
          <w:bCs/>
          <w:color w:val="2F5496"/>
          <w:sz w:val="22"/>
          <w:szCs w:val="22"/>
        </w:rPr>
        <w:t xml:space="preserve">3.1 El estándar legal: qué exige exactamente la ley</w:t>
      </w:r>
    </w:p>
    <w:p>
      <w:pPr>
        <w:spacing w:after="140" w:line="276"/>
      </w:pPr>
      <w:r>
        <w:rPr>
          <w:rFonts w:ascii="Calibri" w:cs="Calibri" w:eastAsia="Calibri" w:hAnsi="Calibri"/>
          <w:sz w:val="21"/>
          <w:szCs w:val="21"/>
        </w:rPr>
        <w:t xml:space="preserve">El artículo 28.1 LCSP no dice que la necesidad la formule un gestor. Dice que la naturaleza y extensión de las necesidades y la idoneidad del objeto para satisfacerlas «deben ser determinadas con precisión, dejando constancia de ello en la documentación preparatoria, antes de iniciar el procedimiento encaminado a su adjudicación». El artículo 116.1 obliga a motivar la necesidad en el expediente, y su párrafo segundo obliga además a especificar la finalidad del tratamiento cuando se traten datos personales. Y el artículo 116.4.e) fija el test que aplicará un tribunal: relación entre la necesidad y el objeto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estándar es documental, no de origen de la petición. Quien determina la necesidad es el órgano de contratación; de dónde le llega es indiferente para la ley y decisivo para la calidad de la motivación.</w:t>
      </w:r>
    </w:p>
    <w:p>
      <w:pPr>
        <w:pStyle w:val="Heading3"/>
        <w:keepNext/>
        <w:spacing w:after="140" w:before="320"/>
      </w:pPr>
      <w:r>
        <w:rPr>
          <w:rFonts w:ascii="Georgia" w:cs="Georgia" w:eastAsia="Georgia" w:hAnsi="Georgia"/>
          <w:b/>
          <w:bCs/>
          <w:color w:val="2F5496"/>
          <w:sz w:val="22"/>
          <w:szCs w:val="22"/>
        </w:rPr>
        <w:t xml:space="preserve">3.2 Por qué hacen falta tres orígenes y no uno</w:t>
      </w:r>
    </w:p>
    <w:p>
      <w:pPr>
        <w:spacing w:after="140" w:line="276"/>
      </w:pPr>
      <w:r>
        <w:rPr>
          <w:rFonts w:ascii="Calibri" w:cs="Calibri" w:eastAsia="Calibri" w:hAnsi="Calibri"/>
          <w:sz w:val="21"/>
          <w:szCs w:val="21"/>
        </w:rPr>
        <w:t xml:space="preserve">Una parte del catálogo nace de normas que obligan al Ayuntamiento entero y que ningún gestor pedirá nunca: la conformidad con el ENS, la condición especial de protección de datos, la titularidad suficiente para ceder la aplicación a otra Administración, el acceso de los órganos de control interno. Ahí la objeción no opera: la necesidad la formula la ley.</w:t>
      </w:r>
    </w:p>
    <w:p>
      <w:pPr>
        <w:spacing w:after="140" w:line="276"/>
      </w:pPr>
      <w:r>
        <w:rPr>
          <w:rFonts w:ascii="Calibri" w:cs="Calibri" w:eastAsia="Calibri" w:hAnsi="Calibri"/>
          <w:sz w:val="21"/>
          <w:szCs w:val="21"/>
        </w:rPr>
        <w:t xml:space="preserve">Otra parte nace del servicio: continuidad, poder cambiar de proveedor, reducir la carga de un procedimiento con volumen. Ahí la objeción opera plenamente y la respuesta es sencilla: si el gestor no la declara, no entra.</w:t>
      </w:r>
    </w:p>
    <w:p>
      <w:pPr>
        <w:spacing w:after="140" w:line="276"/>
      </w:pPr>
      <w:r>
        <w:rPr>
          <w:rFonts w:ascii="Calibri" w:cs="Calibri" w:eastAsia="Calibri" w:hAnsi="Calibri"/>
          <w:sz w:val="21"/>
          <w:szCs w:val="21"/>
        </w:rPr>
        <w:t xml:space="preserve">Y queda un tercer bloque —el núcleo tecnológico del catálogo: la interfaz normalizada de acceso para agentes, la operación autónoma supervisada, la trazabilidad de agentes— para el que </w:t>
      </w:r>
      <w:r>
        <w:rPr>
          <w:rFonts w:ascii="Calibri" w:cs="Calibri" w:eastAsia="Calibri" w:hAnsi="Calibri"/>
          <w:b/>
          <w:bCs/>
          <w:sz w:val="21"/>
          <w:szCs w:val="21"/>
        </w:rPr>
        <w:t xml:space="preserve">no hay norma que lo imponga y no habrá gestor que lo pida</w:t>
      </w:r>
      <w:r>
        <w:rPr>
          <w:rFonts w:ascii="Calibri" w:cs="Calibri" w:eastAsia="Calibri" w:hAnsi="Calibri"/>
          <w:sz w:val="21"/>
          <w:szCs w:val="21"/>
        </w:rPr>
        <w:t xml:space="preserve">. Ninguna norma obliga a un ayuntamiento a exponer su contabilidad a agentes de inteligencia artificial. Sostener que la necesidad existe porque está «desatendida» es una afirmación, no un instrumento: rellenada así, la ficha de cada expediente acabaría reproduciendo el mismo párrafo, que es la definición de justificación estereotipada.</w:t>
      </w:r>
    </w:p>
    <w:p>
      <w:pPr>
        <w:spacing w:after="140" w:line="276"/>
      </w:pPr>
      <w:r>
        <w:rPr>
          <w:rFonts w:ascii="Calibri" w:cs="Calibri" w:eastAsia="Calibri" w:hAnsi="Calibri"/>
          <w:sz w:val="21"/>
          <w:szCs w:val="21"/>
        </w:rPr>
        <w:t xml:space="preserve">Ese tercer bloque sólo tiene un fundamento válido: </w:t>
      </w:r>
      <w:r>
        <w:rPr>
          <w:rFonts w:ascii="Calibri" w:cs="Calibri" w:eastAsia="Calibri" w:hAnsi="Calibri"/>
          <w:b/>
          <w:bCs/>
          <w:sz w:val="21"/>
          <w:szCs w:val="21"/>
        </w:rPr>
        <w:t xml:space="preserve">un acto del órgano de gobierno municipal, con rango, publicado y fechado</w:t>
      </w:r>
      <w:r>
        <w:rPr>
          <w:rFonts w:ascii="Calibri" w:cs="Calibri" w:eastAsia="Calibri" w:hAnsi="Calibri"/>
          <w:sz w:val="21"/>
          <w:szCs w:val="21"/>
        </w:rPr>
        <w:t xml:space="preserve">, que apruebe el plan de digitalización y el catálogo anual de exigencias. Con él, el informe de necesidad de cada expediente no invoca un documento técnico de una concejalía: invoca un acuerdo del órgano de gobierno, y la relación con el objeto pasa a ser derivada de una política municipal aprobada. Sin él, ese bloque no entra en ningún pliego.</w:t>
      </w:r>
    </w:p>
    <w:p>
      <w:pPr>
        <w:spacing w:after="140" w:line="276"/>
      </w:pPr>
      <w:r>
        <w:rPr>
          <w:rFonts w:ascii="Calibri" w:cs="Calibri" w:eastAsia="Calibri" w:hAnsi="Calibri"/>
          <w:sz w:val="21"/>
          <w:szCs w:val="21"/>
        </w:rPr>
        <w:t xml:space="preserve">De ahí los </w:t>
      </w:r>
      <w:r>
        <w:rPr>
          <w:rFonts w:ascii="Calibri" w:cs="Calibri" w:eastAsia="Calibri" w:hAnsi="Calibri"/>
          <w:b/>
          <w:bCs/>
          <w:sz w:val="21"/>
          <w:szCs w:val="21"/>
        </w:rPr>
        <w:t xml:space="preserve">tres orígenes de necesidad</w:t>
      </w:r>
      <w:r>
        <w:rPr>
          <w:rFonts w:ascii="Calibri" w:cs="Calibri" w:eastAsia="Calibri" w:hAnsi="Calibri"/>
          <w:sz w:val="21"/>
          <w:szCs w:val="21"/>
        </w:rPr>
        <w:t xml:space="preserve">. Toda cláusula de este catálogo tiene que poder anclarse en uno de ellos, y el instrumento de motivación es distinto en cada caso.</w:t>
      </w:r>
    </w:p>
    <w:p>
      <w:pPr>
        <w:pStyle w:val="Heading3"/>
        <w:keepNext/>
        <w:spacing w:after="140" w:before="320"/>
      </w:pPr>
      <w:r>
        <w:rPr>
          <w:rFonts w:ascii="Georgia" w:cs="Georgia" w:eastAsia="Georgia" w:hAnsi="Georgia"/>
          <w:b/>
          <w:bCs/>
          <w:color w:val="2F5496"/>
          <w:sz w:val="22"/>
          <w:szCs w:val="22"/>
        </w:rPr>
        <w:t xml:space="preserve">3.3 Origen (i): necesidad normativa</w:t>
      </w:r>
    </w:p>
    <w:p>
      <w:pPr>
        <w:spacing w:after="140" w:line="276"/>
      </w:pPr>
      <w:r>
        <w:rPr>
          <w:rFonts w:ascii="Calibri" w:cs="Calibri" w:eastAsia="Calibri" w:hAnsi="Calibri"/>
          <w:sz w:val="21"/>
          <w:szCs w:val="21"/>
        </w:rPr>
        <w:t xml:space="preserve">La necesidad la impone una norma al Ayuntamiento. El expediente no la justifica: la identifica y acredita que concurre su presupuesto de hecho.</w:t>
      </w:r>
    </w:p>
    <w:p>
      <w:pPr>
        <w:spacing w:after="140" w:line="276"/>
      </w:pPr>
      <w:r>
        <w:rPr>
          <w:rFonts w:ascii="Calibri" w:cs="Calibri" w:eastAsia="Calibri" w:hAnsi="Calibri"/>
          <w:sz w:val="21"/>
          <w:szCs w:val="21"/>
        </w:rPr>
        <w:t xml:space="preserve">La columna «Exigibilidad» es de aplicación obligatoria: separa lo que hoy es obligación legal de lo que el Ayuntamiento anticipa voluntariamente. Confundir ambas cosas es, además de un error de cita, un problema de proporcionalidad —se estaría exigiendo como obligación legal vigente lo que la norma todavía no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la impone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Exigibilidad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 los sistemas en que se sustenten los servicios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 2.3; forma de acreditación, arts. 38.1 y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de protección de datos, con carácter de obligación esencial, </w:t>
            </w:r>
            <w:r>
              <w:rPr>
                <w:rFonts w:ascii="Calibri" w:cs="Calibri" w:eastAsia="Calibri" w:hAnsi="Calibri"/>
                <w:b/>
                <w:bCs/>
                <w:sz w:val="18"/>
                <w:szCs w:val="18"/>
              </w:rPr>
              <w:t xml:space="preserve">cuando el contrato implique cesión de datos por el Ayuntamiento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párr. 3.º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r>
              <w:rPr>
                <w:rFonts w:ascii="Calibri" w:cs="Calibri" w:eastAsia="Calibri" w:hAnsi="Calibri"/>
                <w:b w:val="false"/>
                <w:bCs w:val="false"/>
                <w:sz w:val="18"/>
                <w:szCs w:val="18"/>
              </w:rPr>
              <w:t xml:space="preserve">; si no concurre, la obligación no existe y no se declara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sobre ubicación de servidores y su subcontratación, calificadas como esenciales en todo caso, </w:t>
            </w:r>
            <w:r>
              <w:rPr>
                <w:rFonts w:ascii="Calibri" w:cs="Calibri" w:eastAsia="Calibri" w:hAnsi="Calibri"/>
                <w:b/>
                <w:bCs/>
                <w:sz w:val="18"/>
                <w:szCs w:val="18"/>
              </w:rPr>
              <w:t xml:space="preserve">cuando la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122.2, letras a) a e) y párrafo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de la finalidad del tratamiento de datos personales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116.1, párr. 2.º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(informe de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que acreditan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TRLRHL art. 214; RD 424/2017 arts. 4.3, 6.3, 6.4, 6.7, 20.3, 30.1 y 30.3; DA 3.ª.3 LCSP. Complementariamente, y sólo para la información sobre operaciones, saldos y costes del tercero en actuaciones de auditoría pública, RD 424/2017 art. 33.4.d)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previa de los órganos competentes para especificaciones, programación, mantenimiento, supervisión, control de calidad y auditoría del sistema </w:t>
            </w:r>
            <w:r>
              <w:rPr>
                <w:rFonts w:ascii="Calibri" w:cs="Calibri" w:eastAsia="Calibri" w:hAnsi="Calibri"/>
                <w:b/>
                <w:bCs/>
                <w:sz w:val="18"/>
                <w:szCs w:val="18"/>
              </w:rPr>
              <w:t xml:space="preserve">y de su código fuente</w:t>
            </w:r>
            <w:r>
              <w:rPr>
                <w:rFonts w:ascii="Calibri" w:cs="Calibri" w:eastAsia="Calibri" w:hAnsi="Calibri"/>
                <w:b w:val="false"/>
                <w:bCs w:val="false"/>
                <w:sz w:val="18"/>
                <w:szCs w:val="18"/>
              </w:rPr>
              <w:t xml:space="preserve">, y del órgano responsable a efectos de impugnación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cuando haya actuación administrativa automatizada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y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Garantías frente a decisiones basadas únicamente en tratamiento automatizado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RGPD art. 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derechos suficiente para poner la aplicación a disposición de cualquier otra Administración que la solicite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arts. 157.1 y 158.1; RD 4/2010 (ENI) arts. 16 y 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previa sobre soluciones ya disponibles y obligación de reutilizar, salvo justificación en términos de eficiencia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157.3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es trámite del expediente, no cláusula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del objeto en atención a funcionalidades, sin cerrarlo a una solución única, en especial cuando puedan incorporarse innovaciones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99.1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y DT-9·v3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admisión de equivalentes y prueba de la equivalencia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arts. 126.5.a), 126.6, 126.7, 126.8 y 128.2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Inclusión de al menos una condición especial de ejecución; la innovación es materia expresamente admitida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y 202.2; Directiva 2014/24/UE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(habilitación, no obligación de contenido)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personal que se ocupe del funcionamiento y uso de sistemas de IA tenga un nivel suficiente de conocimientos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 </w:t>
            </w:r>
            <w:r>
              <w:rPr>
                <w:rFonts w:ascii="Calibri" w:cs="Calibri" w:eastAsia="Calibri" w:hAnsi="Calibri"/>
                <w:b/>
                <w:bCs/>
                <w:sz w:val="18"/>
                <w:szCs w:val="18"/>
              </w:rPr>
              <w:t xml:space="preserve">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es obligación del Ayuntamiento. El contrato sólo puede aportar formación y materiales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del responsable del despliegue de sistemas de alto riesgo y evaluación de impacto relativa a los derechos fundamentales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arts. 26 y 27 (capítulo III, sección 3),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EXIGIBLE HOY.</w:t>
            </w:r>
            <w:r>
              <w:rPr>
                <w:rFonts w:ascii="Calibri" w:cs="Calibri" w:eastAsia="Calibri" w:hAnsi="Calibri"/>
                <w:b w:val="false"/>
                <w:bCs w:val="false"/>
                <w:sz w:val="18"/>
                <w:szCs w:val="18"/>
              </w:rPr>
              <w:t xml:space="preserve"> El </w:t>
            </w:r>
            <w:hyperlink w:history="1" r:id="rIdvs6pqfvmqjf3fhndip_5j">
              <w:r>
                <w:rPr>
                  <w:rFonts w:ascii="Calibri" w:cs="Calibri" w:eastAsia="Calibri" w:hAnsi="Calibri"/>
                  <w:b w:val="false"/>
                  <w:bCs w:val="false"/>
                  <w:color w:val="2F5496"/>
                  <w:sz w:val="18"/>
                  <w:szCs w:val="18"/>
                  <w:u w:val="single"/>
                </w:rPr>
                <w:t xml:space="preserve">Reglamento (UE) 2026/1744, de 8 de julio de 2026</w:t>
              </w:r>
            </w:hyperlink>
            <w:r>
              <w:rPr>
                <w:rFonts w:ascii="Calibri" w:cs="Calibri" w:eastAsia="Calibri" w:hAnsi="Calibri"/>
                <w:b w:val="false"/>
                <w:bCs w:val="false"/>
                <w:sz w:val="18"/>
                <w:szCs w:val="18"/>
              </w:rPr>
              <w:t xml:space="preserve">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 6.2 y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 6.1 y anexo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como </w:t>
            </w:r>
            <w:r>
              <w:rPr>
                <w:rFonts w:ascii="Calibri" w:cs="Calibri" w:eastAsia="Calibri" w:hAnsi="Calibri"/>
                <w:b/>
                <w:bCs/>
                <w:sz w:val="18"/>
                <w:szCs w:val="18"/>
              </w:rPr>
              <w:t xml:space="preserve">anticipación voluntaria</w:t>
            </w:r>
            <w:r>
              <w:rPr>
                <w:rFonts w:ascii="Calibri" w:cs="Calibri" w:eastAsia="Calibri" w:hAnsi="Calibri"/>
                <w:b w:val="false"/>
                <w:bCs w:val="false"/>
                <w:sz w:val="18"/>
                <w:szCs w:val="18"/>
              </w:rPr>
              <w:t xml:space="preserve">: véase §3.5 y 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en la base de datos de la 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Exigible.</w:t>
            </w:r>
            <w:r>
              <w:rPr>
                <w:rFonts w:ascii="Calibri" w:cs="Calibri" w:eastAsia="Calibri" w:hAnsi="Calibri"/>
                <w:b w:val="false"/>
                <w:bCs w:val="false"/>
                <w:sz w:val="18"/>
                <w:szCs w:val="18"/>
              </w:rPr>
              <w:t xml:space="preserve"> El artículo 49 se integra en la </w:t>
            </w:r>
            <w:r>
              <w:rPr>
                <w:rFonts w:ascii="Calibri" w:cs="Calibri" w:eastAsia="Calibri" w:hAnsi="Calibri"/>
                <w:b/>
                <w:bCs/>
                <w:sz w:val="18"/>
                <w:szCs w:val="18"/>
              </w:rPr>
              <w:t xml:space="preserve">sección 5</w:t>
            </w:r>
            <w:r>
              <w:rPr>
                <w:rFonts w:ascii="Calibri" w:cs="Calibri" w:eastAsia="Calibri" w:hAnsi="Calibri"/>
                <w:b w:val="false"/>
                <w:bCs w:val="false"/>
                <w:sz w:val="18"/>
                <w:szCs w:val="18"/>
              </w:rPr>
              <w:t xml:space="preserve"> del capítulo III y no queda comprendido en el aplazamiento del Reglamento (UE) 2026/1744, que alcanza únicamente a las secciones 1, 2 y 3 de ese capítulo. Es obligación del Ayuntamiento como responsable del despliegue; el contrato sólo puede aportar la información y la documentación necesarias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w:t>
            </w:r>
          </w:p>
        </w:tc>
      </w:tr>
    </w:tbl>
    <w:p>
      <w:pPr>
        <w:spacing w:after="200"/>
      </w:pPr>
    </w:p>
    <w:p>
      <w:pPr>
        <w:spacing w:after="140" w:line="276"/>
      </w:pPr>
      <w:r>
        <w:rPr>
          <w:rFonts w:ascii="Calibri" w:cs="Calibri" w:eastAsia="Calibri" w:hAnsi="Calibri"/>
          <w:sz w:val="21"/>
          <w:szCs w:val="21"/>
        </w:rPr>
        <w:t xml:space="preserve">Dos reglas de cierre de esta tabla:</w:t>
      </w:r>
    </w:p>
    <w:p>
      <w:pPr>
        <w:pStyle w:val="ListParagraph"/>
        <w:numPr>
          <w:ilvl w:val="0"/>
          <w:numId w:val="1"/>
        </w:numPr>
        <w:spacing w:after="70" w:line="268"/>
      </w:pPr>
      <w:r>
        <w:rPr>
          <w:rFonts w:ascii="Calibri" w:cs="Calibri" w:eastAsia="Calibri" w:hAnsi="Calibri"/>
          <w:b/>
          <w:bCs/>
          <w:sz w:val="21"/>
          <w:szCs w:val="21"/>
        </w:rPr>
        <w:t xml:space="preserve">Toda cita al Reglamento (UE) 2024/1689 se hace «en su redacción vigente».</w:t>
      </w:r>
      <w:r>
        <w:rPr>
          <w:rFonts w:ascii="Calibri" w:cs="Calibri" w:eastAsia="Calibri" w:hAnsi="Calibri"/>
          <w:sz w:val="21"/>
          <w:szCs w:val="21"/>
        </w:rPr>
        <w:t xml:space="preserve"> No se reproducen calendarios en el articulado: viven en el Anexo XI, con fecha de corte. La versión 2.0 de este clausulado y el resumen ejecutivo de la versión 1 describen el calendario original y han quedado desactualizados; así se hace constar en la tabla de correspondencias del Anexo XII.</w:t>
      </w:r>
    </w:p>
    <w:p>
      <w:pPr>
        <w:pStyle w:val="ListParagraph"/>
        <w:numPr>
          <w:ilvl w:val="0"/>
          <w:numId w:val="1"/>
        </w:numPr>
        <w:spacing w:after="70" w:line="268"/>
      </w:pPr>
      <w:r>
        <w:rPr>
          <w:rFonts w:ascii="Calibri" w:cs="Calibri" w:eastAsia="Calibri" w:hAnsi="Calibri"/>
          <w:b/>
          <w:bCs/>
          <w:sz w:val="21"/>
          <w:szCs w:val="21"/>
        </w:rPr>
        <w:t xml:space="preserve">Una fila «no exigible hoy» no es un origen normativo de necesidad.</w:t>
      </w:r>
      <w:r>
        <w:rPr>
          <w:rFonts w:ascii="Calibri" w:cs="Calibri" w:eastAsia="Calibri" w:hAnsi="Calibri"/>
          <w:sz w:val="21"/>
          <w:szCs w:val="21"/>
        </w:rPr>
        <w:t xml:space="preserve"> Si el Ayuntamiento quiere anticiparla, necesita el origen (iii). No puede escribirse en la memoria que la impone una norma.</w:t>
      </w:r>
    </w:p>
    <w:p>
      <w:pPr>
        <w:pStyle w:val="Heading3"/>
        <w:keepNext/>
        <w:spacing w:after="140" w:before="320"/>
      </w:pPr>
      <w:r>
        <w:rPr>
          <w:rFonts w:ascii="Georgia" w:cs="Georgia" w:eastAsia="Georgia" w:hAnsi="Georgia"/>
          <w:b/>
          <w:bCs/>
          <w:color w:val="2F5496"/>
          <w:sz w:val="22"/>
          <w:szCs w:val="22"/>
        </w:rPr>
        <w:t xml:space="preserve">3.4 Origen (ii): necesidad funcional del servicio gestor</w:t>
      </w:r>
    </w:p>
    <w:p>
      <w:pPr>
        <w:spacing w:after="140" w:line="276"/>
      </w:pPr>
      <w:r>
        <w:rPr>
          <w:rFonts w:ascii="Calibri" w:cs="Calibri" w:eastAsia="Calibri" w:hAnsi="Calibri"/>
          <w:sz w:val="21"/>
          <w:szCs w:val="21"/>
        </w:rPr>
        <w:t xml:space="preserve">La necesidad la declara el servicio gestor, por escrito, con datos. No hace falta norma alguna. Lo que hace falta es que la declaración sea verificable: volumen, coste, incidencias, plazo. Una necesidad funcional declarada con adjetivos no es una necesidad declarada.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 funcional típica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informe de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servicio no se interrumpa si desaparece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Criticidad del servicio, tiempo máximo de indisponibilidad tolerable, dependencia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Poder cambiar de proveedor al término del contrato sin rehacer 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cambio estimado, formatos en que hoy están los datos, dependencias conocidas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la carga de tramitación de un procedimiento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expedientes al año, tiempo medio por expediente, personas dedicadas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sobre lista cerrada de procesos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Explotar los datos de la ejecución sin pedírselos al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peticiones de información al año y plazo medio de respuesta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y 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Disponer de un entorno de pruebas para validar cambios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en producción atribuibles a cambios no 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(criterio de entorno de pruebas del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Integrarse con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afectados y estado actual de la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con la excepción de equivalencia del DT-0·v3</w:t>
            </w:r>
          </w:p>
        </w:tc>
      </w:tr>
    </w:tbl>
    <w:p>
      <w:pPr>
        <w:spacing w:after="200"/>
      </w:pPr>
    </w:p>
    <w:p>
      <w:pPr>
        <w:pStyle w:val="Heading3"/>
        <w:keepNext/>
        <w:spacing w:after="140" w:before="320"/>
      </w:pPr>
      <w:r>
        <w:rPr>
          <w:rFonts w:ascii="Georgia" w:cs="Georgia" w:eastAsia="Georgia" w:hAnsi="Georgia"/>
          <w:b/>
          <w:bCs/>
          <w:color w:val="2F5496"/>
          <w:sz w:val="22"/>
          <w:szCs w:val="22"/>
        </w:rPr>
        <w:t xml:space="preserve">3.5 Origen (iii): necesidad institucional aprobada por el órgano de gobierno</w:t>
      </w:r>
    </w:p>
    <w:p>
      <w:pPr>
        <w:spacing w:after="140" w:line="276"/>
      </w:pPr>
      <w:r>
        <w:rPr>
          <w:rFonts w:ascii="Calibri" w:cs="Calibri" w:eastAsia="Calibri" w:hAnsi="Calibri"/>
          <w:sz w:val="21"/>
          <w:szCs w:val="21"/>
        </w:rPr>
        <w:t xml:space="preserve">Es el origen que faltaba y sin el cual el núcleo tecnológico de este catálogo no puede entrar en ningún pliego.</w:t>
      </w:r>
    </w:p>
    <w:p>
      <w:pPr>
        <w:spacing w:after="140" w:line="276"/>
      </w:pPr>
      <w:r>
        <w:rPr>
          <w:rFonts w:ascii="Calibri" w:cs="Calibri" w:eastAsia="Calibri" w:hAnsi="Calibri"/>
          <w:b/>
          <w:bCs/>
          <w:sz w:val="21"/>
          <w:szCs w:val="21"/>
        </w:rPr>
        <w:t xml:space="preserve">Requisitos del acto.</w:t>
      </w:r>
      <w:r>
        <w:rPr>
          <w:rFonts w:ascii="Calibri" w:cs="Calibri" w:eastAsia="Calibri" w:hAnsi="Calibri"/>
          <w:sz w:val="21"/>
          <w:szCs w:val="21"/>
        </w:rPr>
        <w:t xml:space="preserve"> Para servir de origen de necesidad, el acuerdo debe reunir cinco condiciones acumulativas:</w:t>
      </w:r>
    </w:p>
    <w:p>
      <w:pPr>
        <w:pStyle w:val="ListParagraph"/>
        <w:numPr>
          <w:ilvl w:val="0"/>
          <w:numId w:val="2"/>
        </w:numPr>
        <w:spacing w:after="70" w:line="268"/>
      </w:pPr>
      <w:r>
        <w:rPr>
          <w:rFonts w:ascii="Calibri" w:cs="Calibri" w:eastAsia="Calibri" w:hAnsi="Calibri"/>
          <w:sz w:val="21"/>
          <w:szCs w:val="21"/>
        </w:rPr>
        <w:t xml:space="preserve">Estar adoptado por el </w:t>
      </w:r>
      <w:r>
        <w:rPr>
          <w:rFonts w:ascii="Calibri" w:cs="Calibri" w:eastAsia="Calibri" w:hAnsi="Calibri"/>
          <w:b/>
          <w:bCs/>
          <w:sz w:val="21"/>
          <w:szCs w:val="21"/>
        </w:rPr>
        <w:t xml:space="preserve">órgano de gobierno</w:t>
      </w:r>
      <w:r>
        <w:rPr>
          <w:rFonts w:ascii="Calibri" w:cs="Calibri" w:eastAsia="Calibri" w:hAnsi="Calibri"/>
          <w:sz w:val="21"/>
          <w:szCs w:val="21"/>
        </w:rPr>
        <w:t xml:space="preserve"> de la entidad (en Pozuelo, la Junta de Gobierno Local, salvo atribución distinta en sus normas de organización), no por un área ni por una concejalía.</w:t>
      </w:r>
    </w:p>
    <w:p>
      <w:pPr>
        <w:pStyle w:val="ListParagraph"/>
        <w:numPr>
          <w:ilvl w:val="0"/>
          <w:numId w:val="2"/>
        </w:numPr>
        <w:spacing w:after="70" w:line="268"/>
      </w:pPr>
      <w:r>
        <w:rPr>
          <w:rFonts w:ascii="Calibri" w:cs="Calibri" w:eastAsia="Calibri" w:hAnsi="Calibri"/>
          <w:b/>
          <w:bCs/>
          <w:sz w:val="21"/>
          <w:szCs w:val="21"/>
        </w:rPr>
        <w:t xml:space="preserve">Identificar objetivos y calendario</w:t>
      </w:r>
      <w:r>
        <w:rPr>
          <w:rFonts w:ascii="Calibri" w:cs="Calibri" w:eastAsia="Calibri" w:hAnsi="Calibri"/>
          <w:sz w:val="21"/>
          <w:szCs w:val="21"/>
        </w:rPr>
        <w:t xml:space="preserve"> verificables, no declaraciones de intenciones.</w:t>
      </w:r>
    </w:p>
    <w:p>
      <w:pPr>
        <w:pStyle w:val="ListParagraph"/>
        <w:numPr>
          <w:ilvl w:val="0"/>
          <w:numId w:val="2"/>
        </w:numPr>
        <w:spacing w:after="70" w:line="268"/>
      </w:pPr>
      <w:r>
        <w:rPr>
          <w:rFonts w:ascii="Calibri" w:cs="Calibri" w:eastAsia="Calibri" w:hAnsi="Calibri"/>
          <w:b/>
          <w:bCs/>
          <w:sz w:val="21"/>
          <w:szCs w:val="21"/>
        </w:rPr>
        <w:t xml:space="preserve">Aprobar el catálogo anual de exigencias tecnológicas determinadas</w:t>
      </w:r>
      <w:r>
        <w:rPr>
          <w:rFonts w:ascii="Calibri" w:cs="Calibri" w:eastAsia="Calibri" w:hAnsi="Calibri"/>
          <w:sz w:val="21"/>
          <w:szCs w:val="21"/>
        </w:rPr>
        <w:t xml:space="preserve"> (Anexo V del ejercicio), con número de versión y fecha, o remitir expresamente al órgano que lo apruebe y al procedimiento.</w:t>
      </w:r>
    </w:p>
    <w:p>
      <w:pPr>
        <w:pStyle w:val="ListParagraph"/>
        <w:numPr>
          <w:ilvl w:val="0"/>
          <w:numId w:val="2"/>
        </w:numPr>
        <w:spacing w:after="70" w:line="268"/>
      </w:pPr>
      <w:r>
        <w:rPr>
          <w:rFonts w:ascii="Calibri" w:cs="Calibri" w:eastAsia="Calibri" w:hAnsi="Calibri"/>
          <w:sz w:val="21"/>
          <w:szCs w:val="21"/>
        </w:rPr>
        <w:t xml:space="preserve">Fijar su </w:t>
      </w:r>
      <w:r>
        <w:rPr>
          <w:rFonts w:ascii="Calibri" w:cs="Calibri" w:eastAsia="Calibri" w:hAnsi="Calibri"/>
          <w:b/>
          <w:bCs/>
          <w:sz w:val="21"/>
          <w:szCs w:val="21"/>
        </w:rPr>
        <w:t xml:space="preserve">vigencia y revisión</w:t>
      </w:r>
      <w:r>
        <w:rPr>
          <w:rFonts w:ascii="Calibri" w:cs="Calibri" w:eastAsia="Calibri" w:hAnsi="Calibri"/>
          <w:sz w:val="21"/>
          <w:szCs w:val="21"/>
        </w:rPr>
        <w:t xml:space="preserve"> —recomendado: un ejercicio, con revisión antes del cierre del ejercicio anterior— y hacer constar el </w:t>
      </w:r>
      <w:r>
        <w:rPr>
          <w:rFonts w:ascii="Calibri" w:cs="Calibri" w:eastAsia="Calibri" w:hAnsi="Calibri"/>
          <w:b/>
          <w:bCs/>
          <w:sz w:val="21"/>
          <w:szCs w:val="21"/>
        </w:rPr>
        <w:t xml:space="preserve">contraste de mercado documentado</w:t>
      </w:r>
      <w:r>
        <w:rPr>
          <w:rFonts w:ascii="Calibri" w:cs="Calibri" w:eastAsia="Calibri" w:hAnsi="Calibri"/>
          <w:sz w:val="21"/>
          <w:szCs w:val="21"/>
        </w:rPr>
        <w:t xml:space="preserve"> que sustenta el catálogo.</w:t>
      </w:r>
    </w:p>
    <w:p>
      <w:pPr>
        <w:pStyle w:val="ListParagraph"/>
        <w:numPr>
          <w:ilvl w:val="0"/>
          <w:numId w:val="2"/>
        </w:numPr>
        <w:spacing w:after="70" w:line="268"/>
      </w:pPr>
      <w:r>
        <w:rPr>
          <w:rFonts w:ascii="Calibri" w:cs="Calibri" w:eastAsia="Calibri" w:hAnsi="Calibri"/>
          <w:b/>
          <w:bCs/>
          <w:sz w:val="21"/>
          <w:szCs w:val="21"/>
        </w:rPr>
        <w:t xml:space="preserve">Publicarse</w:t>
      </w:r>
      <w:r>
        <w:rPr>
          <w:rFonts w:ascii="Calibri" w:cs="Calibri" w:eastAsia="Calibri" w:hAnsi="Calibri"/>
          <w:sz w:val="21"/>
          <w:szCs w:val="21"/>
        </w:rPr>
        <w:t xml:space="preserve">, de modo que el informe de necesidad de cada expediente pueda remitirse a un acto identificable por cualquiera, incluido un recurrente.</w:t>
      </w:r>
    </w:p>
    <w:p>
      <w:pPr>
        <w:spacing w:after="140" w:line="276"/>
      </w:pPr>
      <w:r>
        <w:rPr>
          <w:rFonts w:ascii="Calibri" w:cs="Calibri" w:eastAsia="Calibri" w:hAnsi="Calibri"/>
          <w:b/>
          <w:bCs/>
          <w:sz w:val="21"/>
          <w:szCs w:val="21"/>
        </w:rPr>
        <w:t xml:space="preserve">Modelo de acuerdo</w:t>
      </w:r>
      <w:r>
        <w:rPr>
          <w:rFonts w:ascii="Calibri" w:cs="Calibri" w:eastAsia="Calibri" w:hAnsi="Calibri"/>
          <w:sz w:val="21"/>
          <w:szCs w:val="21"/>
        </w:rPr>
        <w:t xml:space="preserve"> </w:t>
      </w:r>
      <w:r>
        <w:rPr>
          <w:rFonts w:ascii="Calibri" w:cs="Calibri" w:eastAsia="Calibri" w:hAnsi="Calibri"/>
          <w:i/>
          <w:iCs/>
          <w:sz w:val="21"/>
          <w:szCs w:val="21"/>
        </w:rPr>
        <w:t xml:space="preserve">(documento del expediente de aprobación; no es texto de pliego y no se copia a ningún pliego)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Acuerdo de la [Junta de Gobierno Local] por el que se aprueba el Plan de Digitalización y Automatización [20XX-20XX] y el Catálogo Anual de Exigencias Tecnológicas Determinadas del ejercicio [20XX].</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Primero.</w:t>
      </w:r>
      <w:r>
        <w:rPr>
          <w:rFonts w:ascii="Georgia" w:cs="Georgia" w:eastAsia="Georgia" w:hAnsi="Georgia"/>
          <w:i/>
          <w:iCs/>
          <w:color w:val="595959"/>
          <w:sz w:val="20"/>
          <w:szCs w:val="20"/>
        </w:rPr>
        <w:t xml:space="preserve"> Aprobar el Plan de Digitalización y Automatización [20XX-20XX], que fija como objetivo que los sistemas de información municipales relacionados en su anexo [ ] puedan ser operados y consultados de forma programática, bajo control municipal, con supervisión humana y trazabilidad completa, en el calendario que el propio Plan establece.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Segundo.</w:t>
      </w:r>
      <w:r>
        <w:rPr>
          <w:rFonts w:ascii="Georgia" w:cs="Georgia" w:eastAsia="Georgia" w:hAnsi="Georgia"/>
          <w:i/>
          <w:iCs/>
          <w:color w:val="595959"/>
          <w:sz w:val="20"/>
          <w:szCs w:val="20"/>
        </w:rPr>
        <w:t xml:space="preserve"> Aprobar el Catálogo Anual de Exigencias Tecnológicas Determinadas del ejercicio [20XX], versión [ ], de fecha [ ], que se incorpora como anexo, con las capacidades, plazos y criterios de aceptación que en él se relacionan, y a la vista del contraste de mercado documentado que obra en el expediente [ ].</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Tercero.</w:t>
      </w:r>
      <w:r>
        <w:rPr>
          <w:rFonts w:ascii="Georgia" w:cs="Georgia" w:eastAsia="Georgia" w:hAnsi="Georgia"/>
          <w:i/>
          <w:iCs/>
          <w:color w:val="595959"/>
          <w:sz w:val="20"/>
          <w:szCs w:val="20"/>
        </w:rPr>
        <w:t xml:space="preserve"> Declarar que las exigencias del Catálogo responden a una necesidad de esta Administración en el sentido de los artículos 28.1 y 116.4.e) de la Ley 9/2017, de 8 de noviembre, de Contratos del Sector Público, y que su incorporación a cada pliego requerirá, en todo caso, la acreditación en el expediente correspondiente de la relación directa, clara y proporcional con el objeto de ese contrato, conforme a la ficha del Anexo II del clausulado.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Cuarto.</w:t>
      </w:r>
      <w:r>
        <w:rPr>
          <w:rFonts w:ascii="Georgia" w:cs="Georgia" w:eastAsia="Georgia" w:hAnsi="Georgia"/>
          <w:i/>
          <w:iCs/>
          <w:color w:val="595959"/>
          <w:sz w:val="20"/>
          <w:szCs w:val="20"/>
        </w:rPr>
        <w:t xml:space="preserve"> El Catálogo se revisará anualmente. Las revisiones producirán efectos únicamente sobre las licitaciones que se convoquen a partir de su aprobación, sin afectar a los contratos en vigor ni a sus prórrogas.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Quinto.</w:t>
      </w:r>
      <w:r>
        <w:rPr>
          <w:rFonts w:ascii="Georgia" w:cs="Georgia" w:eastAsia="Georgia" w:hAnsi="Georgia"/>
          <w:i/>
          <w:iCs/>
          <w:color w:val="595959"/>
          <w:sz w:val="20"/>
          <w:szCs w:val="20"/>
        </w:rPr>
        <w:t xml:space="preserve"> Publicar el presente acuerdo y sus anexos en [el portal de transparencia y el perfil de contratante], y dar traslado a [órgano de contratación, Intervención General, Asesoría Jurídica y servicios gestores].</w:t>
      </w:r>
    </w:p>
    <w:p>
      <w:pPr>
        <w:spacing w:after="140" w:line="276"/>
      </w:pPr>
      <w:r>
        <w:rPr>
          <w:rFonts w:ascii="Calibri" w:cs="Calibri" w:eastAsia="Calibri" w:hAnsi="Calibri"/>
          <w:b/>
          <w:bCs/>
          <w:sz w:val="21"/>
          <w:szCs w:val="21"/>
        </w:rPr>
        <w:t xml:space="preserve">Lo que el acuerdo no hace.</w:t>
      </w:r>
      <w:r>
        <w:rPr>
          <w:rFonts w:ascii="Calibri" w:cs="Calibri" w:eastAsia="Calibri" w:hAnsi="Calibri"/>
          <w:sz w:val="21"/>
          <w:szCs w:val="21"/>
        </w:rPr>
        <w:t xml:space="preserve"> No incorpora nada a ningún pliego, no sustituye a la memoria justificativa de ningún expediente y no releva de la ficha. La remisión al acuerdo acredita </w:t>
      </w:r>
      <w:r>
        <w:rPr>
          <w:rFonts w:ascii="Calibri" w:cs="Calibri" w:eastAsia="Calibri" w:hAnsi="Calibri"/>
          <w:b/>
          <w:bCs/>
          <w:sz w:val="21"/>
          <w:szCs w:val="21"/>
        </w:rPr>
        <w:t xml:space="preserve">de dónde nace</w:t>
      </w:r>
      <w:r>
        <w:rPr>
          <w:rFonts w:ascii="Calibri" w:cs="Calibri" w:eastAsia="Calibri" w:hAnsi="Calibri"/>
          <w:sz w:val="21"/>
          <w:szCs w:val="21"/>
        </w:rPr>
        <w:t xml:space="preserve"> la exigencia; la proporcionalidad respecto de </w:t>
      </w:r>
      <w:r>
        <w:rPr>
          <w:rFonts w:ascii="Calibri" w:cs="Calibri" w:eastAsia="Calibri" w:hAnsi="Calibri"/>
          <w:i/>
          <w:iCs/>
          <w:sz w:val="21"/>
          <w:szCs w:val="21"/>
        </w:rPr>
        <w:t xml:space="preserve">ese</w:t>
      </w:r>
      <w:r>
        <w:rPr>
          <w:rFonts w:ascii="Calibri" w:cs="Calibri" w:eastAsia="Calibri" w:hAnsi="Calibri"/>
          <w:sz w:val="21"/>
          <w:szCs w:val="21"/>
        </w:rPr>
        <w:t xml:space="preserve"> contrato hay que escribirla igualmente (§3.8).</w:t>
      </w:r>
    </w:p>
    <w:p>
      <w:pPr>
        <w:pStyle w:val="Heading3"/>
        <w:keepNext/>
        <w:spacing w:after="140" w:before="320"/>
      </w:pPr>
      <w:r>
        <w:rPr>
          <w:rFonts w:ascii="Georgia" w:cs="Georgia" w:eastAsia="Georgia" w:hAnsi="Georgia"/>
          <w:b/>
          <w:bCs/>
          <w:color w:val="2F5496"/>
          <w:sz w:val="22"/>
          <w:szCs w:val="22"/>
        </w:rPr>
        <w:t xml:space="preserve">3.6 Regla de cierre de los tres orígenes</w:t>
      </w:r>
    </w:p>
    <w:p>
      <w:pPr>
        <w:pBdr>
          <w:left w:val="single" w:color="BFBFBF" w:sz="12" w:space="8"/>
        </w:pBdr>
        <w:spacing w:after="140" w:line="264"/>
        <w:ind w:left="400"/>
      </w:pPr>
      <w:r>
        <w:rPr>
          <w:rFonts w:ascii="Georgia" w:cs="Georgia" w:eastAsia="Georgia" w:hAnsi="Georgia"/>
          <w:b/>
          <w:bCs/>
          <w:i/>
          <w:iCs/>
          <w:color w:val="595959"/>
          <w:sz w:val="20"/>
          <w:szCs w:val="20"/>
        </w:rPr>
        <w:t xml:space="preserve">Ninguna cláusula de este catálogo se incorpora a un pliego si no puede anclarse, en la ficha del Anexo II, en uno de los tres orígenes de necesidad: normativo, funcional o institucional. La que no tenga ninguno de los tres se marca NO APLICA y no entra en el pliego.</w:t>
      </w:r>
    </w:p>
    <w:p>
      <w:pPr>
        <w:spacing w:after="140" w:line="276"/>
      </w:pPr>
      <w:r>
        <w:rPr>
          <w:rFonts w:ascii="Calibri" w:cs="Calibri" w:eastAsia="Calibri" w:hAnsi="Calibri"/>
          <w:sz w:val="21"/>
          <w:szCs w:val="21"/>
        </w:rPr>
        <w:t xml:space="preserve">Corolarios:</w:t>
      </w:r>
    </w:p>
    <w:p>
      <w:pPr>
        <w:pStyle w:val="ListParagraph"/>
        <w:numPr>
          <w:ilvl w:val="0"/>
          <w:numId w:val="1"/>
        </w:numPr>
        <w:spacing w:after="70" w:line="268"/>
      </w:pPr>
      <w:r>
        <w:rPr>
          <w:rFonts w:ascii="Calibri" w:cs="Calibri" w:eastAsia="Calibri" w:hAnsi="Calibri"/>
          <w:sz w:val="21"/>
          <w:szCs w:val="21"/>
        </w:rPr>
        <w:t xml:space="preserve">Un origen se acredita, no se invoca. «Origen normativo» exige precepto; «origen funcional», datos del gestor; «origen institucional», número y fecha del acuerdo.</w:t>
      </w:r>
    </w:p>
    <w:p>
      <w:pPr>
        <w:pStyle w:val="ListParagraph"/>
        <w:numPr>
          <w:ilvl w:val="0"/>
          <w:numId w:val="1"/>
        </w:numPr>
        <w:spacing w:after="70" w:line="268"/>
      </w:pPr>
      <w:r>
        <w:rPr>
          <w:rFonts w:ascii="Calibri" w:cs="Calibri" w:eastAsia="Calibri" w:hAnsi="Calibri"/>
          <w:sz w:val="21"/>
          <w:szCs w:val="21"/>
        </w:rPr>
        <w:t xml:space="preserve">Un mismo contrato puede incorporar cláusulas de los tres orígenes; cada una lleva el suyo.</w:t>
      </w:r>
    </w:p>
    <w:p>
      <w:pPr>
        <w:pStyle w:val="ListParagraph"/>
        <w:numPr>
          <w:ilvl w:val="0"/>
          <w:numId w:val="1"/>
        </w:numPr>
        <w:spacing w:after="70" w:line="268"/>
      </w:pPr>
      <w:r>
        <w:rPr>
          <w:rFonts w:ascii="Calibri" w:cs="Calibri" w:eastAsia="Calibri" w:hAnsi="Calibri"/>
          <w:sz w:val="21"/>
          <w:szCs w:val="21"/>
        </w:rPr>
        <w:t xml:space="preserve">La ausencia de origen </w:t>
      </w:r>
      <w:r>
        <w:rPr>
          <w:rFonts w:ascii="Calibri" w:cs="Calibri" w:eastAsia="Calibri" w:hAnsi="Calibri"/>
          <w:b/>
          <w:bCs/>
          <w:sz w:val="21"/>
          <w:szCs w:val="21"/>
        </w:rPr>
        <w:t xml:space="preserve">no se subsana en sede de recurso</w:t>
      </w:r>
      <w:r>
        <w:rPr>
          <w:rFonts w:ascii="Calibri" w:cs="Calibri" w:eastAsia="Calibri" w:hAnsi="Calibri"/>
          <w:sz w:val="21"/>
          <w:szCs w:val="21"/>
        </w:rPr>
        <w:t xml:space="preserve"> (§3.8).</w:t>
      </w:r>
    </w:p>
    <w:p>
      <w:pPr>
        <w:pStyle w:val="Heading3"/>
        <w:keepNext/>
        <w:spacing w:after="140" w:before="320"/>
      </w:pPr>
      <w:r>
        <w:rPr>
          <w:rFonts w:ascii="Georgia" w:cs="Georgia" w:eastAsia="Georgia" w:hAnsi="Georgia"/>
          <w:b/>
          <w:bCs/>
          <w:color w:val="2F5496"/>
          <w:sz w:val="22"/>
          <w:szCs w:val="22"/>
        </w:rPr>
        <w:t xml:space="preserve">3.7 Doble vía de firma de la ficha</w:t>
      </w:r>
    </w:p>
    <w:p>
      <w:pPr>
        <w:spacing w:after="140" w:line="276"/>
      </w:pPr>
      <w:r>
        <w:rPr>
          <w:rFonts w:ascii="Calibri" w:cs="Calibri" w:eastAsia="Calibri" w:hAnsi="Calibri"/>
          <w:sz w:val="21"/>
          <w:szCs w:val="21"/>
        </w:rPr>
        <w:t xml:space="preserve">El §1.3 exige ficha firmada; el §3.3 acredita que hay necesidades que ningún gestor puede declarar. La contradicción se resuelve con dos vías de firma. El gestor de contabilidad no puede firmar la ficha del ENS ni la del acceso de la Intervención: no es su necesidad y no le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declara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seguridad de la información para el ENS; delegado de protección de datos para RGPD; Intervención General para el control interno; servicio de informática para titularidad, interoperabilidad y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o remisión al precepto con acreditación de que concurre su presupuesto de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servicio competente que declara la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del Anexo III, con los datos del §3.4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gobierno, mediante el acuerdo del §3.5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número y fecha, más la motivación de proporcionalidad respecto de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área impulsora del Plan, con remisión expresa al acuerdo</w:t>
            </w:r>
          </w:p>
        </w:tc>
      </w:tr>
    </w:tbl>
    <w:p>
      <w:pPr>
        <w:spacing w:after="200"/>
      </w:pPr>
    </w:p>
    <w:p>
      <w:pPr>
        <w:spacing w:after="140" w:line="276"/>
      </w:pPr>
      <w:r>
        <w:rPr>
          <w:rFonts w:ascii="Calibri" w:cs="Calibri" w:eastAsia="Calibri" w:hAnsi="Calibri"/>
          <w:sz w:val="21"/>
          <w:szCs w:val="21"/>
        </w:rPr>
        <w:t xml:space="preserve">Una ficha firmada por quien no puede declarar esa necesidad es una ficha sin motivación, y su efecto es el mismo que si no existiera. El órgano al que corresponda el informe jurídico preceptivo (Asesoría Jurídica en municipios de gran población; Secretaría en el régimen común) lo comprueba antes de informar.</w:t>
      </w:r>
    </w:p>
    <w:p>
      <w:pPr>
        <w:pStyle w:val="Heading3"/>
        <w:keepNext/>
        <w:spacing w:after="140" w:before="320"/>
      </w:pPr>
      <w:r>
        <w:rPr>
          <w:rFonts w:ascii="Georgia" w:cs="Georgia" w:eastAsia="Georgia" w:hAnsi="Georgia"/>
          <w:b/>
          <w:bCs/>
          <w:color w:val="2F5496"/>
          <w:sz w:val="22"/>
          <w:szCs w:val="22"/>
        </w:rPr>
        <w:t xml:space="preserve">3.8 Dónde se motiva: la advertencia de Parla</w:t>
      </w:r>
    </w:p>
    <w:p>
      <w:pPr>
        <w:spacing w:after="140" w:line="276"/>
      </w:pPr>
      <w:r>
        <w:rPr>
          <w:rFonts w:ascii="Calibri" w:cs="Calibri" w:eastAsia="Calibri" w:hAnsi="Calibri"/>
          <w:sz w:val="21"/>
          <w:szCs w:val="21"/>
        </w:rPr>
        <w:t xml:space="preserve">La motivación se hace en la </w:t>
      </w:r>
      <w:r>
        <w:rPr>
          <w:rFonts w:ascii="Calibri" w:cs="Calibri" w:eastAsia="Calibri" w:hAnsi="Calibri"/>
          <w:b/>
          <w:bCs/>
          <w:sz w:val="21"/>
          <w:szCs w:val="21"/>
        </w:rPr>
        <w:t xml:space="preserve">memoria justificativa del expediente</w:t>
      </w:r>
      <w:r>
        <w:rPr>
          <w:rFonts w:ascii="Calibri" w:cs="Calibri" w:eastAsia="Calibri" w:hAnsi="Calibri"/>
          <w:sz w:val="21"/>
          <w:szCs w:val="21"/>
        </w:rPr>
        <w:t xml:space="preserve">, y no se puede completar después.</w:t>
      </w:r>
    </w:p>
    <w:p>
      <w:pPr>
        <w:spacing w:after="140" w:line="276"/>
      </w:pPr>
      <w:r>
        <w:rPr>
          <w:rFonts w:ascii="Calibri" w:cs="Calibri" w:eastAsia="Calibri" w:hAnsi="Calibri"/>
          <w:b/>
          <w:bCs/>
          <w:sz w:val="21"/>
          <w:szCs w:val="21"/>
        </w:rPr>
        <w:t xml:space="preserve">Tribunal Administrativo de Contratación Pública de la Comunidad de Madrid, Resolución 383/2024, de 3 de octubre de 2024, expediente y recurso 383/2024</w:t>
      </w:r>
      <w:r>
        <w:rPr>
          <w:rFonts w:ascii="Calibri" w:cs="Calibri" w:eastAsia="Calibri" w:hAnsi="Calibri"/>
          <w:sz w:val="21"/>
          <w:szCs w:val="21"/>
        </w:rPr>
        <w:t xml:space="preserve"> (recurso de Tecnologías Viales Aplicadas TEVA, S.L. contra los pliegos del Ayuntamiento de Parla para un sistema de gestión de zona de bajas emisiones). El Tribunal </w:t>
      </w:r>
      <w:r>
        <w:rPr>
          <w:rFonts w:ascii="Calibri" w:cs="Calibri" w:eastAsia="Calibri" w:hAnsi="Calibri"/>
          <w:b/>
          <w:bCs/>
          <w:sz w:val="21"/>
          <w:szCs w:val="21"/>
        </w:rPr>
        <w:t xml:space="preserve">estimó el recurso</w:t>
      </w:r>
      <w:r>
        <w:rPr>
          <w:rFonts w:ascii="Calibri" w:cs="Calibri" w:eastAsia="Calibri" w:hAnsi="Calibri"/>
          <w:sz w:val="21"/>
          <w:szCs w:val="21"/>
        </w:rPr>
        <w:t xml:space="preserve"> por exigir certificaciones de conformidad con el Esquema Nacional de Seguridad de nivel ALTO sin justificación en la memoria. Precisión de cita, porque un lector hostil coteja el fallo: el ACUERDA se limita a decir «Estimar el recurso»; </w:t>
      </w:r>
      <w:r>
        <w:rPr>
          <w:rFonts w:ascii="Calibri" w:cs="Calibri" w:eastAsia="Calibri" w:hAnsi="Calibri"/>
          <w:b/>
          <w:bCs/>
          <w:sz w:val="21"/>
          <w:szCs w:val="21"/>
        </w:rPr>
        <w:t xml:space="preserve">la anulación de los pliegos consta en el fundamento de derecho Quinto</w:t>
      </w:r>
      <w:r>
        <w:rPr>
          <w:rFonts w:ascii="Calibri" w:cs="Calibri" w:eastAsia="Calibri" w:hAnsi="Calibri"/>
          <w:sz w:val="21"/>
          <w:szCs w:val="21"/>
        </w:rPr>
        <w:t xml:space="preserve">. El Tribunal no calificó la exigencia de desproporcionada: anuló por falta de justificación en el expediente, con arreglo al artículo 116.2 LCSP.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p>
    <w:p>
      <w:pPr>
        <w:spacing w:after="140" w:line="276"/>
      </w:pPr>
      <w:hyperlink w:history="1" r:id="rIdf_cmn82ihbr8q-8oyxflt">
        <w:r>
          <w:rPr>
            <w:rFonts w:ascii="Calibri" w:cs="Calibri" w:eastAsia="Calibri" w:hAnsi="Calibri"/>
            <w:color w:val="2F5496"/>
            <w:sz w:val="21"/>
            <w:szCs w:val="21"/>
            <w:u w:val="single"/>
          </w:rPr>
          <w:t xml:space="preserve">Resolución 383/2024 (PDF)</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 el tribunal que resolvería un recurso contra los pliegos de un ayuntamiento de la Comunidad de Madrid, sobre el supuesto exacto de la cláusula de seguridad de la versión 2.0 de este clausulado, y contra un ayuntamiento de la misma provincia. Se cita como doctrina directamente aplicable en cuanto al </w:t>
      </w:r>
      <w:r>
        <w:rPr>
          <w:rFonts w:ascii="Calibri" w:cs="Calibri" w:eastAsia="Calibri" w:hAnsi="Calibri"/>
          <w:b/>
          <w:bCs/>
          <w:sz w:val="21"/>
          <w:szCs w:val="21"/>
        </w:rPr>
        <w:t xml:space="preserve">deber de motivar en la memoria del expediente</w:t>
      </w:r>
      <w:r>
        <w:rPr>
          <w:rFonts w:ascii="Calibri" w:cs="Calibri" w:eastAsia="Calibri" w:hAnsi="Calibri"/>
          <w:sz w:val="21"/>
          <w:szCs w:val="21"/>
        </w:rPr>
        <w:t xml:space="preserve">; para el resto de exigencias de este catálogo se traslada </w:t>
      </w:r>
      <w:r>
        <w:rPr>
          <w:rFonts w:ascii="Calibri" w:cs="Calibri" w:eastAsia="Calibri" w:hAnsi="Calibri"/>
          <w:b/>
          <w:bCs/>
          <w:sz w:val="21"/>
          <w:szCs w:val="21"/>
        </w:rPr>
        <w:t xml:space="preserve">por analogía</w:t>
      </w:r>
      <w:r>
        <w:rPr>
          <w:rFonts w:ascii="Calibri" w:cs="Calibri" w:eastAsia="Calibri" w:hAnsi="Calibri"/>
          <w:sz w:val="21"/>
          <w:szCs w:val="21"/>
        </w:rPr>
        <w:t xml:space="preserve">, porque no consta doctrina específica sobre ellas (§1.4).</w:t>
      </w:r>
    </w:p>
    <w:p>
      <w:pPr>
        <w:spacing w:after="140" w:line="276"/>
      </w:pPr>
      <w:r>
        <w:rPr>
          <w:rFonts w:ascii="Calibri" w:cs="Calibri" w:eastAsia="Calibri" w:hAnsi="Calibri"/>
          <w:sz w:val="21"/>
          <w:szCs w:val="21"/>
        </w:rPr>
        <w:t xml:space="preserve">Consecuencias operativas, que hay que escribir sin adornos:</w:t>
      </w:r>
    </w:p>
    <w:p>
      <w:pPr>
        <w:pStyle w:val="ListParagraph"/>
        <w:numPr>
          <w:ilvl w:val="0"/>
          <w:numId w:val="2"/>
        </w:numPr>
        <w:spacing w:after="70" w:line="268"/>
      </w:pPr>
      <w:r>
        <w:rPr>
          <w:rFonts w:ascii="Calibri" w:cs="Calibri" w:eastAsia="Calibri" w:hAnsi="Calibri"/>
          <w:b/>
          <w:bCs/>
          <w:sz w:val="21"/>
          <w:szCs w:val="21"/>
        </w:rPr>
        <w:t xml:space="preserve">Este catálogo no es la memoria justificativa de ningún expediente.</w:t>
      </w:r>
      <w:r>
        <w:rPr>
          <w:rFonts w:ascii="Calibri" w:cs="Calibri" w:eastAsia="Calibri" w:hAnsi="Calibri"/>
          <w:sz w:val="21"/>
          <w:szCs w:val="21"/>
        </w:rPr>
        <w:t xml:space="preserve"> Ni el catálogo, ni sus anexos, ni la ficha lo son.</w:t>
      </w:r>
    </w:p>
    <w:p>
      <w:pPr>
        <w:pStyle w:val="ListParagraph"/>
        <w:numPr>
          <w:ilvl w:val="0"/>
          <w:numId w:val="2"/>
        </w:numPr>
        <w:spacing w:after="70" w:line="268"/>
      </w:pPr>
      <w:r>
        <w:rPr>
          <w:rFonts w:ascii="Calibri" w:cs="Calibri" w:eastAsia="Calibri" w:hAnsi="Calibri"/>
          <w:b/>
          <w:bCs/>
          <w:sz w:val="21"/>
          <w:szCs w:val="21"/>
        </w:rPr>
        <w:t xml:space="preserve">Una memoria que se limite a remitirse al catálogo es una justificación por remisión</w:t>
      </w:r>
      <w:r>
        <w:rPr>
          <w:rFonts w:ascii="Calibri" w:cs="Calibri" w:eastAsia="Calibri" w:hAnsi="Calibri"/>
          <w:sz w:val="21"/>
          <w:szCs w:val="21"/>
        </w:rPr>
        <w:t xml:space="preserve">, y por tanto estereotipada. La remisión sirve para acreditar el origen; la proporcionalidad respecto de este contrato hay que escribirla.</w:t>
      </w:r>
    </w:p>
    <w:p>
      <w:pPr>
        <w:pStyle w:val="ListParagraph"/>
        <w:numPr>
          <w:ilvl w:val="0"/>
          <w:numId w:val="2"/>
        </w:numPr>
        <w:spacing w:after="70" w:line="268"/>
      </w:pPr>
      <w:r>
        <w:rPr>
          <w:rFonts w:ascii="Calibri" w:cs="Calibri" w:eastAsia="Calibri" w:hAnsi="Calibri"/>
          <w:b/>
          <w:bCs/>
          <w:sz w:val="21"/>
          <w:szCs w:val="21"/>
        </w:rPr>
        <w:t xml:space="preserve">La ficha del Anexo II y el informe de necesidad del Anexo III son documento público</w:t>
      </w:r>
      <w:r>
        <w:rPr>
          <w:rFonts w:ascii="Calibri" w:cs="Calibri" w:eastAsia="Calibri" w:hAnsi="Calibri"/>
          <w:sz w:val="21"/>
          <w:szCs w:val="21"/>
        </w:rPr>
        <w:t xml:space="preserve"> desde que se publica el expediente: el artículo 116.1 obliga a publicar en el perfil de contratante la motivación de la necesidad, y el artículo 63.3.a) LCSP relaciona la documentación que acompaña al anuncio. Se redactan sabiendo que los lee un recurrente.</w:t>
      </w:r>
    </w:p>
    <w:p>
      <w:pPr>
        <w:pStyle w:val="Heading3"/>
        <w:keepNext/>
        <w:spacing w:after="140" w:before="320"/>
      </w:pPr>
      <w:r>
        <w:rPr>
          <w:rFonts w:ascii="Georgia" w:cs="Georgia" w:eastAsia="Georgia" w:hAnsi="Georgia"/>
          <w:b/>
          <w:bCs/>
          <w:color w:val="2F5496"/>
          <w:sz w:val="22"/>
          <w:szCs w:val="22"/>
        </w:rPr>
        <w:t xml:space="preserve">3.9 Párrafo de cierre</w:t>
      </w:r>
    </w:p>
    <w:p>
      <w:pPr>
        <w:spacing w:after="140" w:line="276"/>
      </w:pPr>
      <w:r>
        <w:rPr>
          <w:rFonts w:ascii="Calibri" w:cs="Calibri" w:eastAsia="Calibri" w:hAnsi="Calibri"/>
          <w:sz w:val="21"/>
          <w:szCs w:val="21"/>
        </w:rPr>
        <w:t xml:space="preserve">El artículo 28.1 LCSP no dice que la necesidad la formule un gestor: dice que el órgano de contratación la determine con precisión y deje constancia de ello en la documentación preparatoria. Que ningún gestor haya demandado una necesidad no la convierte automáticamente en artificiosa —pero tampoco la convierte automáticamente en necesidad—. La diferencia entre una cosa y otra no la marca la prosa: la marca el origen. Si viene de una norma, se cita el precepto; si viene del servicio, se aportan sus datos; si no viene de ninguno de los dos, hace falta un acuerdo del órgano de gobierno que la asuma como política municipal, con calendario y con contraste de mercado. Y si no hay ninguna de las tres cosas, la exigencia no entra en el pliego. Ese es todo el mecanismo, y es verificable línea por línea en cada expediente.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§4. Marco normativo, en tres bloques separados</w:t>
      </w:r>
    </w:p>
    <w:p>
      <w:pPr>
        <w:spacing w:after="140" w:line="276"/>
      </w:pPr>
      <w:r>
        <w:rPr>
          <w:rFonts w:ascii="Calibri" w:cs="Calibri" w:eastAsia="Calibri" w:hAnsi="Calibri"/>
          <w:sz w:val="21"/>
          <w:szCs w:val="21"/>
        </w:rPr>
        <w:t xml:space="preserve">La versión 2.0 mezclaba en una sola lista normas jurídicas, normas técnicas y una especificación privada. Esa mezcla es el primer defecto que subraya el abogado de un licitador, porque de ella se derivan efectos jurídicos que la ley no permite. Se separa en tres bloques.</w:t>
      </w:r>
    </w:p>
    <w:p>
      <w:pPr>
        <w:pStyle w:val="Heading3"/>
        <w:keepNext/>
        <w:spacing w:after="140" w:before="320"/>
      </w:pPr>
      <w:r>
        <w:rPr>
          <w:rFonts w:ascii="Georgia" w:cs="Georgia" w:eastAsia="Georgia" w:hAnsi="Georgia"/>
          <w:b/>
          <w:bCs/>
          <w:color w:val="2F5496"/>
          <w:sz w:val="22"/>
          <w:szCs w:val="22"/>
        </w:rPr>
        <w:t xml:space="preserve">4.1 Normas de aplicación obligatoria</w:t>
      </w:r>
    </w:p>
    <w:p>
      <w:pPr>
        <w:spacing w:after="140" w:line="276"/>
      </w:pPr>
      <w:r>
        <w:rPr>
          <w:rFonts w:ascii="Calibri" w:cs="Calibri" w:eastAsia="Calibri" w:hAnsi="Calibri"/>
          <w:sz w:val="21"/>
          <w:szCs w:val="21"/>
        </w:rPr>
        <w:t xml:space="preserve">Contratación pública</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(LCSP), y Directiva 2014/24/UE.</w:t>
      </w:r>
    </w:p>
    <w:p>
      <w:pPr>
        <w:pStyle w:val="ListParagraph"/>
        <w:numPr>
          <w:ilvl w:val="0"/>
          <w:numId w:val="1"/>
        </w:numPr>
        <w:spacing w:after="70" w:line="268"/>
      </w:pPr>
      <w:r>
        <w:rPr>
          <w:rFonts w:ascii="Calibri" w:cs="Calibri" w:eastAsia="Calibri" w:hAnsi="Calibri"/>
          <w:sz w:val="21"/>
          <w:szCs w:val="21"/>
        </w:rPr>
        <w:t xml:space="preserve">Real Decreto 817/2009, de 8 de mayo, de desarrollo parcial de la Ley 30/2007 (en lo aplicable a mesas y procedimiento de valoración).</w:t>
      </w:r>
    </w:p>
    <w:p>
      <w:pPr>
        <w:spacing w:after="140" w:line="276"/>
      </w:pPr>
      <w:r>
        <w:rPr>
          <w:rFonts w:ascii="Calibri" w:cs="Calibri" w:eastAsia="Calibri" w:hAnsi="Calibri"/>
          <w:sz w:val="21"/>
          <w:szCs w:val="21"/>
        </w:rPr>
        <w:t xml:space="preserve">Inteligencia artificial</w:t>
      </w:r>
    </w:p>
    <w:p>
      <w:pPr>
        <w:pStyle w:val="ListParagraph"/>
        <w:numPr>
          <w:ilvl w:val="0"/>
          <w:numId w:val="1"/>
        </w:numPr>
        <w:spacing w:after="70" w:line="268"/>
      </w:pPr>
      <w:r>
        <w:rPr>
          <w:rFonts w:ascii="Calibri" w:cs="Calibri" w:eastAsia="Calibri" w:hAnsi="Calibri"/>
          <w:sz w:val="21"/>
          <w:szCs w:val="21"/>
        </w:rPr>
        <w:t xml:space="preserve">Reglamento (UE) 2024/1689, del Parlamento Europeo y del Consejo,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hyperlink w:history="1" r:id="rId_ozxm12dzmjv2gbd-lnu2">
        <w:r>
          <w:rPr>
            <w:rFonts w:ascii="Calibri" w:cs="Calibri" w:eastAsia="Calibri" w:hAnsi="Calibri"/>
            <w:color w:val="2F5496"/>
            <w:sz w:val="21"/>
            <w:szCs w:val="21"/>
            <w:u w:val="single"/>
          </w:rPr>
          <w:t xml:space="preserve">Reglamento (UE) 2026/1744, de 8 de julio de 2026</w:t>
        </w:r>
      </w:hyperlink>
      <w:r>
        <w:rPr>
          <w:rFonts w:ascii="Calibri" w:cs="Calibri" w:eastAsia="Calibri" w:hAnsi="Calibri"/>
          <w:sz w:val="21"/>
          <w:szCs w:val="21"/>
        </w:rPr>
        <w:t xml:space="preserve">. Las fechas de exigibilidad, en el Anexo XI.</w:t>
      </w:r>
    </w:p>
    <w:p>
      <w:pPr>
        <w:pStyle w:val="ListParagraph"/>
        <w:numPr>
          <w:ilvl w:val="0"/>
          <w:numId w:val="1"/>
        </w:numPr>
        <w:spacing w:after="70" w:line="268"/>
      </w:pPr>
      <w:r>
        <w:rPr>
          <w:rFonts w:ascii="Calibri" w:cs="Calibri" w:eastAsia="Calibri" w:hAnsi="Calibri"/>
          <w:sz w:val="21"/>
          <w:szCs w:val="21"/>
        </w:rPr>
        <w:t xml:space="preserve">Agencia Española de Supervisión de la Inteligencia Artificial (AESIA), creada por el Real Decreto 729/2023, de 22 de agosto, que aprueba su Estatuto. Es un organismo, no una norma; la versión 2.0 la citaba como «normativa nacional de desarrollo».</w:t>
      </w:r>
    </w:p>
    <w:p>
      <w:pPr>
        <w:spacing w:after="140" w:line="276"/>
      </w:pPr>
      <w:r>
        <w:rPr>
          <w:rFonts w:ascii="Calibri" w:cs="Calibri" w:eastAsia="Calibri" w:hAnsi="Calibri"/>
          <w:sz w:val="21"/>
          <w:szCs w:val="21"/>
        </w:rPr>
        <w:t xml:space="preserve">Protección de datos</w:t>
      </w:r>
    </w:p>
    <w:p>
      <w:pPr>
        <w:pStyle w:val="ListParagraph"/>
        <w:numPr>
          <w:ilvl w:val="0"/>
          <w:numId w:val="1"/>
        </w:numPr>
        <w:spacing w:after="70" w:line="268"/>
      </w:pPr>
      <w:r>
        <w:rPr>
          <w:rFonts w:ascii="Calibri" w:cs="Calibri" w:eastAsia="Calibri" w:hAnsi="Calibri"/>
          <w:sz w:val="21"/>
          <w:szCs w:val="21"/>
        </w:rPr>
        <w:t xml:space="preserve">Reglamento (UE) 2016/679 (RGPD), en particular sus artículos 22 y 28.</w:t>
      </w:r>
    </w:p>
    <w:p>
      <w:pPr>
        <w:pStyle w:val="ListParagraph"/>
        <w:numPr>
          <w:ilvl w:val="0"/>
          <w:numId w:val="1"/>
        </w:numPr>
        <w:spacing w:after="70" w:line="268"/>
      </w:pPr>
      <w:r>
        <w:rPr>
          <w:rFonts w:ascii="Calibri" w:cs="Calibri" w:eastAsia="Calibri" w:hAnsi="Calibri"/>
          <w:sz w:val="21"/>
          <w:szCs w:val="21"/>
        </w:rPr>
        <w:t xml:space="preserve">Ley Orgánica 3/2018, de 5 de diciembre.</w:t>
      </w:r>
    </w:p>
    <w:p>
      <w:pPr>
        <w:spacing w:after="140" w:line="276"/>
      </w:pPr>
      <w:r>
        <w:rPr>
          <w:rFonts w:ascii="Calibri" w:cs="Calibri" w:eastAsia="Calibri" w:hAnsi="Calibri"/>
          <w:sz w:val="21"/>
          <w:szCs w:val="21"/>
        </w:rPr>
        <w:t xml:space="preserve">Administración electrónica, seguridad e interoperabilidad</w:t>
      </w:r>
    </w:p>
    <w:p>
      <w:pPr>
        <w:pStyle w:val="ListParagraph"/>
        <w:numPr>
          <w:ilvl w:val="0"/>
          <w:numId w:val="1"/>
        </w:numPr>
        <w:spacing w:after="70" w:line="268"/>
      </w:pPr>
      <w:r>
        <w:rPr>
          <w:rFonts w:ascii="Calibri" w:cs="Calibri" w:eastAsia="Calibri" w:hAnsi="Calibri"/>
          <w:sz w:val="21"/>
          <w:szCs w:val="21"/>
        </w:rPr>
        <w:t xml:space="preserve">Leyes 39/2015 y 40/2015, en particular los artículos 41, 157 y 158 de la segunda.</w:t>
      </w:r>
    </w:p>
    <w:p>
      <w:pPr>
        <w:pStyle w:val="ListParagraph"/>
        <w:numPr>
          <w:ilvl w:val="0"/>
          <w:numId w:val="1"/>
        </w:numPr>
        <w:spacing w:after="70" w:line="268"/>
      </w:pPr>
      <w:r>
        <w:rPr>
          <w:rFonts w:ascii="Calibri" w:cs="Calibri" w:eastAsia="Calibri" w:hAnsi="Calibri"/>
          <w:sz w:val="21"/>
          <w:szCs w:val="21"/>
        </w:rPr>
        <w:t xml:space="preserve">Real Decreto 311/2022, de 3 de mayo (Esquema Nacional de Seguridad), y guías CCN-STIC del Centro Criptológico Nacional.</w:t>
      </w:r>
    </w:p>
    <w:p>
      <w:pPr>
        <w:pStyle w:val="ListParagraph"/>
        <w:numPr>
          <w:ilvl w:val="0"/>
          <w:numId w:val="1"/>
        </w:numPr>
        <w:spacing w:after="70" w:line="268"/>
      </w:pPr>
      <w:r>
        <w:rPr>
          <w:rFonts w:ascii="Calibri" w:cs="Calibri" w:eastAsia="Calibri" w:hAnsi="Calibri"/>
          <w:sz w:val="21"/>
          <w:szCs w:val="21"/>
        </w:rPr>
        <w:t xml:space="preserve">Real Decreto 4/2010, de 8 de enero (Esquema Nacional de Interoperabilidad), y Normas Técnicas de Interoperabilidad; Real Decreto 203/2021, de 30 de marzo.</w:t>
      </w:r>
    </w:p>
    <w:p>
      <w:pPr>
        <w:pStyle w:val="ListParagraph"/>
        <w:numPr>
          <w:ilvl w:val="0"/>
          <w:numId w:val="1"/>
        </w:numPr>
        <w:spacing w:after="70" w:line="268"/>
      </w:pPr>
      <w:r>
        <w:rPr>
          <w:rFonts w:ascii="Calibri" w:cs="Calibri" w:eastAsia="Calibri" w:hAnsi="Calibri"/>
          <w:sz w:val="21"/>
          <w:szCs w:val="21"/>
        </w:rPr>
        <w:t xml:space="preserve">Reglamento (UE) 910/2014 y Reglamento (UE) 2024/1183 (marco europeo de identidad digital).</w:t>
      </w:r>
    </w:p>
    <w:p>
      <w:pPr>
        <w:spacing w:after="140" w:line="276"/>
      </w:pPr>
      <w:r>
        <w:rPr>
          <w:rFonts w:ascii="Calibri" w:cs="Calibri" w:eastAsia="Calibri" w:hAnsi="Calibri"/>
          <w:sz w:val="21"/>
          <w:szCs w:val="21"/>
        </w:rPr>
        <w:t xml:space="preserve">Propiedad intelectual</w:t>
      </w:r>
    </w:p>
    <w:p>
      <w:pPr>
        <w:pStyle w:val="ListParagraph"/>
        <w:numPr>
          <w:ilvl w:val="0"/>
          <w:numId w:val="1"/>
        </w:numPr>
        <w:spacing w:after="70" w:line="268"/>
      </w:pPr>
      <w:r>
        <w:rPr>
          <w:rFonts w:ascii="Calibri" w:cs="Calibri" w:eastAsia="Calibri" w:hAnsi="Calibri"/>
          <w:sz w:val="21"/>
          <w:szCs w:val="21"/>
        </w:rPr>
        <w:t xml:space="preserve">Real Decreto Legislativo 1/1996, de 12 de abril (TRLPI), en particular sus artículos 43, 97, 99 y 100.</w:t>
      </w:r>
    </w:p>
    <w:p>
      <w:pPr>
        <w:spacing w:after="140" w:line="276"/>
      </w:pPr>
      <w:r>
        <w:rPr>
          <w:rFonts w:ascii="Calibri" w:cs="Calibri" w:eastAsia="Calibri" w:hAnsi="Calibri"/>
          <w:sz w:val="21"/>
          <w:szCs w:val="21"/>
        </w:rPr>
        <w:t xml:space="preserve">Control interno y régimen local</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en especial su Título X para los municipios de gran población y su disposición adicional octava.</w:t>
      </w:r>
    </w:p>
    <w:p>
      <w:pPr>
        <w:pStyle w:val="ListParagraph"/>
        <w:numPr>
          <w:ilvl w:val="0"/>
          <w:numId w:val="1"/>
        </w:numPr>
        <w:spacing w:after="70" w:line="268"/>
      </w:pPr>
      <w:r>
        <w:rPr>
          <w:rFonts w:ascii="Calibri" w:cs="Calibri" w:eastAsia="Calibri" w:hAnsi="Calibri"/>
          <w:sz w:val="21"/>
          <w:szCs w:val="21"/>
        </w:rPr>
        <w:t xml:space="preserve">Real Decreto Legislativo 2/2004 (TRLRHL), artículos 213, 214 y 220 a 222.</w:t>
      </w:r>
    </w:p>
    <w:p>
      <w:pPr>
        <w:pStyle w:val="ListParagraph"/>
        <w:numPr>
          <w:ilvl w:val="0"/>
          <w:numId w:val="1"/>
        </w:numPr>
        <w:spacing w:after="70" w:line="268"/>
      </w:pPr>
      <w:r>
        <w:rPr>
          <w:rFonts w:ascii="Calibri" w:cs="Calibri" w:eastAsia="Calibri" w:hAnsi="Calibri"/>
          <w:sz w:val="21"/>
          <w:szCs w:val="21"/>
        </w:rPr>
        <w:t xml:space="preserve">Real Decreto 424/2017, de 28 de abril, de régimen jurídico del control interno.</w:t>
      </w:r>
    </w:p>
    <w:p>
      <w:pPr>
        <w:pStyle w:val="ListParagraph"/>
        <w:numPr>
          <w:ilvl w:val="0"/>
          <w:numId w:val="1"/>
        </w:numPr>
        <w:spacing w:after="70" w:line="268"/>
      </w:pPr>
      <w:r>
        <w:rPr>
          <w:rFonts w:ascii="Calibri" w:cs="Calibri" w:eastAsia="Calibri" w:hAnsi="Calibri"/>
          <w:sz w:val="21"/>
          <w:szCs w:val="21"/>
        </w:rPr>
        <w:t xml:space="preserve">Ley 19/2013, de 9 de diciembre, de transparencia.</w:t>
      </w:r>
    </w:p>
    <w:p>
      <w:pPr>
        <w:pStyle w:val="Heading3"/>
        <w:keepNext/>
        <w:spacing w:after="140" w:before="320"/>
      </w:pPr>
      <w:r>
        <w:rPr>
          <w:rFonts w:ascii="Georgia" w:cs="Georgia" w:eastAsia="Georgia" w:hAnsi="Georgia"/>
          <w:b/>
          <w:bCs/>
          <w:color w:val="2F5496"/>
          <w:sz w:val="22"/>
          <w:szCs w:val="22"/>
        </w:rPr>
        <w:t xml:space="preserve">4.2 Normas técnicas y referencias del estado del arte</w:t>
      </w:r>
    </w:p>
    <w:p>
      <w:pPr>
        <w:spacing w:after="140" w:line="276"/>
      </w:pPr>
      <w:r>
        <w:rPr>
          <w:rFonts w:ascii="Calibri" w:cs="Calibri" w:eastAsia="Calibri" w:hAnsi="Calibri"/>
          <w:sz w:val="21"/>
          <w:szCs w:val="21"/>
        </w:rPr>
        <w:t xml:space="preserve">Se distinguen dos categorías, porque su efecto jurídico es distinto y la confusión entre ambas es un vicio de construcción, no de motivación.</w:t>
      </w:r>
    </w:p>
    <w:p>
      <w:pPr>
        <w:spacing w:after="140" w:line="276"/>
      </w:pPr>
      <w:r>
        <w:rPr>
          <w:rFonts w:ascii="Calibri" w:cs="Calibri" w:eastAsia="Calibri" w:hAnsi="Calibri"/>
          <w:b/>
          <w:bCs/>
          <w:sz w:val="21"/>
          <w:szCs w:val="21"/>
        </w:rPr>
        <w:t xml:space="preserve">a) Normas técnicas en el sentido del artículo 125 LCSP.</w:t>
      </w:r>
      <w:r>
        <w:rPr>
          <w:rFonts w:ascii="Calibri" w:cs="Calibri" w:eastAsia="Calibri" w:hAnsi="Calibri"/>
          <w:sz w:val="21"/>
          <w:szCs w:val="21"/>
        </w:rPr>
        <w:t xml:space="preserve"> Pueden citarse en las prescripciones técnicas por la vía del artículo 126.5.b), acompañando </w:t>
      </w:r>
      <w:r>
        <w:rPr>
          <w:rFonts w:ascii="Calibri" w:cs="Calibri" w:eastAsia="Calibri" w:hAnsi="Calibri"/>
          <w:b/>
          <w:bCs/>
          <w:sz w:val="21"/>
          <w:szCs w:val="21"/>
        </w:rPr>
        <w:t xml:space="preserve">cada referencia</w:t>
      </w:r>
      <w:r>
        <w:rPr>
          <w:rFonts w:ascii="Calibri" w:cs="Calibri" w:eastAsia="Calibri" w:hAnsi="Calibri"/>
          <w:sz w:val="21"/>
          <w:szCs w:val="21"/>
        </w:rPr>
        <w:t xml:space="preserve"> de la mención «o equivalente», y operan como medio de presunción de conformidad. Son las aprobadas por un organismo de normalización reconocido:</w:t>
      </w:r>
    </w:p>
    <w:p>
      <w:pPr>
        <w:pStyle w:val="ListParagraph"/>
        <w:numPr>
          <w:ilvl w:val="0"/>
          <w:numId w:val="1"/>
        </w:numPr>
        <w:spacing w:after="70" w:line="268"/>
      </w:pPr>
      <w:r>
        <w:rPr>
          <w:rFonts w:ascii="Calibri" w:cs="Calibri" w:eastAsia="Calibri" w:hAnsi="Calibri"/>
          <w:sz w:val="21"/>
          <w:szCs w:val="21"/>
        </w:rPr>
        <w:t xml:space="preserve">UNE-EN ISO/IEC 27001 y UNE-EN ISO/IEC 27701, o normas que las sustituyan, o equivalentes.</w:t>
      </w:r>
    </w:p>
    <w:p>
      <w:pPr>
        <w:pStyle w:val="ListParagraph"/>
        <w:numPr>
          <w:ilvl w:val="0"/>
          <w:numId w:val="1"/>
        </w:numPr>
        <w:spacing w:after="70" w:line="268"/>
      </w:pP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que anula la UNE-ISO/IEC 42001:2025, o equivalente. Cuando esta norma se exija en un pliego, la designación se cita con año expreso y con la regla de referencia estática de ADM-1·v3, que excluye la fórmula «o norma que la sustituya» porque permitiría que el contenido de la obligación cambiase después de que el licitador hubiera ofertado. Su tratamiento contractual y la fundamentación de la designación están en ADM-1·v3, nota al redactor, punto Sexto.</w:t>
      </w:r>
    </w:p>
    <w:p>
      <w:pPr>
        <w:pStyle w:val="ListParagraph"/>
        <w:numPr>
          <w:ilvl w:val="0"/>
          <w:numId w:val="1"/>
        </w:numPr>
        <w:spacing w:after="70" w:line="268"/>
      </w:pPr>
      <w:r>
        <w:rPr>
          <w:rFonts w:ascii="Calibri" w:cs="Calibri" w:eastAsia="Calibri" w:hAnsi="Calibri"/>
          <w:sz w:val="21"/>
          <w:szCs w:val="21"/>
        </w:rPr>
        <w:t xml:space="preserve">Normas técnicas de interoperabilidad y guías CCN-STIC, en los términos en que sean de obligado cumplimiento.</w:t>
      </w:r>
    </w:p>
    <w:p>
      <w:pPr>
        <w:spacing w:after="140" w:line="276"/>
      </w:pPr>
      <w:r>
        <w:rPr>
          <w:rFonts w:ascii="Calibri" w:cs="Calibri" w:eastAsia="Calibri" w:hAnsi="Calibri"/>
          <w:sz w:val="21"/>
          <w:szCs w:val="21"/>
        </w:rPr>
        <w:t xml:space="preserve">Advertencia: la certificación de un sistema de gestión </w:t>
      </w:r>
      <w:r>
        <w:rPr>
          <w:rFonts w:ascii="Calibri" w:cs="Calibri" w:eastAsia="Calibri" w:hAnsi="Calibri"/>
          <w:b/>
          <w:bCs/>
          <w:sz w:val="21"/>
          <w:szCs w:val="21"/>
        </w:rPr>
        <w:t xml:space="preserve">no otorga presunción de conformidad con el Reglamento (UE) 2024/1689</w:t>
      </w:r>
      <w:r>
        <w:rPr>
          <w:rFonts w:ascii="Calibri" w:cs="Calibri" w:eastAsia="Calibri" w:hAnsi="Calibri"/>
          <w:sz w:val="21"/>
          <w:szCs w:val="21"/>
        </w:rPr>
        <w:t xml:space="preserve">. Esa presunción sólo la producen las normas armonizadas publicadas en el Diario Oficial de la Unión Europea conforme a su artículo 40. Esta advertencia se formula como criterio propio del Ayuntamiento y no se apoya en doctrina, que no consta.</w:t>
      </w:r>
    </w:p>
    <w:p>
      <w:pPr>
        <w:spacing w:after="140" w:line="276"/>
      </w:pPr>
      <w:r>
        <w:rPr>
          <w:rFonts w:ascii="Calibri" w:cs="Calibri" w:eastAsia="Calibri" w:hAnsi="Calibri"/>
          <w:b/>
          <w:bCs/>
          <w:sz w:val="21"/>
          <w:szCs w:val="21"/>
        </w:rPr>
        <w:t xml:space="preserve">b) Referencias que NO son normas y no producen presunción de conformidad.</w:t>
      </w:r>
      <w:r>
        <w:rPr>
          <w:rFonts w:ascii="Calibri" w:cs="Calibri" w:eastAsia="Calibri" w:hAnsi="Calibri"/>
          <w:sz w:val="21"/>
          <w:szCs w:val="21"/>
        </w:rPr>
        <w:t xml:space="preserve"> Se citan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a título ilustrativo del estado del arte, y no pueden fundar por sí solas ninguna obligación:</w:t>
      </w:r>
    </w:p>
    <w:p>
      <w:pPr>
        <w:pStyle w:val="ListParagraph"/>
        <w:numPr>
          <w:ilvl w:val="0"/>
          <w:numId w:val="1"/>
        </w:numPr>
        <w:spacing w:after="70" w:line="268"/>
      </w:pPr>
      <w:r>
        <w:rPr>
          <w:rFonts w:ascii="Calibri" w:cs="Calibri" w:eastAsia="Calibri" w:hAnsi="Calibri"/>
          <w:b/>
          <w:bCs/>
          <w:sz w:val="21"/>
          <w:szCs w:val="21"/>
        </w:rPr>
        <w:t xml:space="preserve">Model Context Protocol (MCP).</w:t>
      </w:r>
      <w:r>
        <w:rPr>
          <w:rFonts w:ascii="Calibri" w:cs="Calibri" w:eastAsia="Calibri" w:hAnsi="Calibri"/>
          <w:sz w:val="21"/>
          <w:szCs w:val="21"/>
        </w:rPr>
        <w:t xml:space="preserve"> Especificación abierta bajo gobernanza de la Agentic AI Foundation (Linux Foundation) desde el </w:t>
      </w:r>
      <w:hyperlink w:history="1" r:id="rId6vftqqdsomyx-acoszndi">
        <w:r>
          <w:rPr>
            <w:rFonts w:ascii="Calibri" w:cs="Calibri" w:eastAsia="Calibri" w:hAnsi="Calibri"/>
            <w:color w:val="2F5496"/>
            <w:sz w:val="21"/>
            <w:szCs w:val="21"/>
            <w:u w:val="single"/>
          </w:rPr>
          <w:t xml:space="preserve">9 de diciembre de 2025</w:t>
        </w:r>
      </w:hyperlink>
      <w:r>
        <w:rPr>
          <w:rFonts w:ascii="Calibri" w:cs="Calibri" w:eastAsia="Calibri" w:hAnsi="Calibri"/>
          <w:sz w:val="21"/>
          <w:szCs w:val="21"/>
        </w:rPr>
        <w:t xml:space="preserve">, con participación de múltiples operadores. Ese dato acredita que no caracteriza los productos de un empresario determinado, lo que es relevante frente al artículo 126.6 LCSP. </w:t>
      </w:r>
      <w:r>
        <w:rPr>
          <w:rFonts w:ascii="Calibri" w:cs="Calibri" w:eastAsia="Calibri" w:hAnsi="Calibri"/>
          <w:b/>
          <w:bCs/>
          <w:sz w:val="21"/>
          <w:szCs w:val="21"/>
        </w:rPr>
        <w:t xml:space="preserve">Pero el MCP no es «norma» en el sentido del artículo 125.2 LCSP ni «especificación técnica común» en el del artículo 125.4</w:t>
      </w:r>
      <w:r>
        <w:rPr>
          <w:rFonts w:ascii="Calibri" w:cs="Calibri" w:eastAsia="Calibri" w:hAnsi="Calibri"/>
          <w:sz w:val="21"/>
          <w:szCs w:val="21"/>
        </w:rPr>
        <w:t xml:space="preserve">, y por tanto </w:t>
      </w:r>
      <w:r>
        <w:rPr>
          <w:rFonts w:ascii="Calibri" w:cs="Calibri" w:eastAsia="Calibri" w:hAnsi="Calibri"/>
          <w:b/>
          <w:bCs/>
          <w:sz w:val="21"/>
          <w:szCs w:val="21"/>
        </w:rPr>
        <w:t xml:space="preserve">no puede citarse como medio de presunción de conformidad del artículo 126.5.c)</w:t>
      </w:r>
      <w:r>
        <w:rPr>
          <w:rFonts w:ascii="Calibri" w:cs="Calibri" w:eastAsia="Calibri" w:hAnsi="Calibri"/>
          <w:sz w:val="21"/>
          <w:szCs w:val="21"/>
        </w:rPr>
        <w:t xml:space="preserve">, cuyo efecto está reservado a las especificaciones de la letra b). La </w:t>
      </w:r>
      <w:hyperlink w:history="1" r:id="rIdj-tssryqehptzlr1kbgch">
        <w:r>
          <w:rPr>
            <w:rFonts w:ascii="Calibri" w:cs="Calibri" w:eastAsia="Calibri" w:hAnsi="Calibri"/>
            <w:color w:val="2F5496"/>
            <w:sz w:val="21"/>
            <w:szCs w:val="21"/>
            <w:u w:val="single"/>
          </w:rPr>
          <w:t xml:space="preserve">lista de especificaciones técnicas del ámbito TIC identificadas por la Comisión Europea</w:t>
        </w:r>
      </w:hyperlink>
      <w:r>
        <w:rPr>
          <w:rFonts w:ascii="Calibri" w:cs="Calibri" w:eastAsia="Calibri" w:hAnsi="Calibri"/>
          <w:sz w:val="21"/>
          <w:szCs w:val="21"/>
        </w:rPr>
        <w:t xml:space="preserve"> para poder ser referenciadas en contratación pública, conforme a los artículos 13 y 14 del Reglamento (UE) n.º 1025/2012, </w:t>
      </w:r>
      <w:r>
        <w:rPr>
          <w:rFonts w:ascii="Calibri" w:cs="Calibri" w:eastAsia="Calibri" w:hAnsi="Calibri"/>
          <w:b/>
          <w:bCs/>
          <w:sz w:val="21"/>
          <w:szCs w:val="21"/>
        </w:rPr>
        <w:t xml:space="preserve">no incluye, a 1 de septiembre de 2026, ningún protocolo de agentes</w:t>
      </w:r>
      <w:r>
        <w:rPr>
          <w:rFonts w:ascii="Calibri" w:cs="Calibri" w:eastAsia="Calibri" w:hAnsi="Calibri"/>
          <w:sz w:val="21"/>
          <w:szCs w:val="21"/>
        </w:rPr>
        <w:t xml:space="preserve">. Es una afirmación negativa sobre un catálogo vivo: se hace con esa fecha de corte y sobre la lista consultada en esa dirección, y debe recomprobarse antes de cada uso.</w:t>
      </w:r>
    </w:p>
    <w:p>
      <w:pPr>
        <w:pStyle w:val="ListParagraph"/>
        <w:numPr>
          <w:ilvl w:val="0"/>
          <w:numId w:val="1"/>
        </w:numPr>
        <w:spacing w:after="70" w:line="268"/>
      </w:pPr>
      <w:r>
        <w:rPr>
          <w:rFonts w:ascii="Calibri" w:cs="Calibri" w:eastAsia="Calibri" w:hAnsi="Calibri"/>
          <w:b/>
          <w:bCs/>
          <w:sz w:val="21"/>
          <w:szCs w:val="21"/>
        </w:rPr>
        <w:t xml:space="preserve">FIPS 203, 204 y 205 del NIST.</w:t>
      </w:r>
      <w:r>
        <w:rPr>
          <w:rFonts w:ascii="Calibri" w:cs="Calibri" w:eastAsia="Calibri" w:hAnsi="Calibri"/>
          <w:sz w:val="21"/>
          <w:szCs w:val="21"/>
        </w:rPr>
        <w:t xml:space="preserve"> Normas federales de los Estados Unidos: no son normas europeas, internacionales ni nacionales españolas a los efectos del artículo 125. Mismo tratamiento.</w:t>
      </w:r>
    </w:p>
    <w:p>
      <w:pPr>
        <w:pStyle w:val="ListParagraph"/>
        <w:numPr>
          <w:ilvl w:val="0"/>
          <w:numId w:val="1"/>
        </w:numPr>
        <w:spacing w:after="70" w:line="268"/>
      </w:pPr>
      <w:r>
        <w:rPr>
          <w:rFonts w:ascii="Calibri" w:cs="Calibri" w:eastAsia="Calibri" w:hAnsi="Calibri"/>
          <w:b/>
          <w:bCs/>
          <w:sz w:val="21"/>
          <w:szCs w:val="21"/>
        </w:rPr>
        <w:t xml:space="preserve">EBSI e infraestructuras de registro distribuido</w:t>
      </w:r>
      <w:r>
        <w:rPr>
          <w:rFonts w:ascii="Calibri" w:cs="Calibri" w:eastAsia="Calibri" w:hAnsi="Calibri"/>
          <w:sz w:val="21"/>
          <w:szCs w:val="21"/>
        </w:rPr>
        <w:t xml:space="preserve">, incluida ISBE. Mismo tratamiento, con la regla adicional del §5.3.</w:t>
      </w:r>
    </w:p>
    <w:p>
      <w:pPr>
        <w:spacing w:after="140" w:line="276"/>
      </w:pPr>
      <w:r>
        <w:rPr>
          <w:rFonts w:ascii="Calibri" w:cs="Calibri" w:eastAsia="Calibri" w:hAnsi="Calibri"/>
          <w:b/>
          <w:bCs/>
          <w:sz w:val="21"/>
          <w:szCs w:val="21"/>
        </w:rPr>
        <w:t xml:space="preserve">Consecuencia obligatoria para la redacción de los pliegos.</w:t>
      </w:r>
      <w:r>
        <w:rPr>
          <w:rFonts w:ascii="Calibri" w:cs="Calibri" w:eastAsia="Calibri" w:hAnsi="Calibri"/>
          <w:sz w:val="21"/>
          <w:szCs w:val="21"/>
        </w:rPr>
        <w:t xml:space="preserve"> La obligación se define por lo que la solución </w:t>
      </w:r>
      <w:r>
        <w:rPr>
          <w:rFonts w:ascii="Calibri" w:cs="Calibri" w:eastAsia="Calibri" w:hAnsi="Calibri"/>
          <w:b/>
          <w:bCs/>
          <w:sz w:val="21"/>
          <w:szCs w:val="21"/>
        </w:rPr>
        <w:t xml:space="preserve">debe hacer</w:t>
      </w:r>
      <w:r>
        <w:rPr>
          <w:rFonts w:ascii="Calibri" w:cs="Calibri" w:eastAsia="Calibri" w:hAnsi="Calibri"/>
          <w:sz w:val="21"/>
          <w:szCs w:val="21"/>
        </w:rPr>
        <w:t xml:space="preserve">, no por el protocolo que use. La prescripción se formula en términos de rendimiento o de exigencias funcionales al amparo del artículo 126.5.a); el nombre del protocolo, si aparece, es una ayuda a la comprensión del licitador y va siempre acompañado de «o equivalente». Está prohibido escribir en un pliego que el MCP, las FIPS del NIST o la pertenencia a una red concreta acreditan el cumplimiento.</w:t>
      </w:r>
    </w:p>
    <w:p>
      <w:pPr>
        <w:spacing w:after="140" w:line="276"/>
      </w:pPr>
      <w:r>
        <w:rPr>
          <w:rFonts w:ascii="Calibri" w:cs="Calibri" w:eastAsia="Calibri" w:hAnsi="Calibri"/>
          <w:sz w:val="21"/>
          <w:szCs w:val="21"/>
        </w:rPr>
        <w:t xml:space="preserve">Texto que se copia al PPT cuando el pliego mencione cualquiera de estas referencias: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Referencias técnicas no normativas.</w:t>
            </w:r>
            <w:r>
              <w:rPr>
                <w:rFonts w:ascii="Georgia" w:cs="Georgia" w:eastAsia="Georgia" w:hAnsi="Georgia"/>
                <w:sz w:val="20"/>
                <w:szCs w:val="20"/>
              </w:rPr>
              <w:t xml:space="preserve"> Las prescripciones técnicas de este pliego se formulan en términos de rendimiento y de exigencias funcionales, conforme al artículo 126.5.a) de la Ley 9/2017, de 8 de noviembre, de Contratos del Sector Público. Cuando este pliego mencione un protocolo, una especificación, una infraestructura o una red determinados, la mención se efectúa a título ilustrativo del estado del arte, se entiende acompañada de la expresión «o equivalente» y </w:t>
            </w:r>
            <w:r>
              <w:rPr>
                <w:rFonts w:ascii="Georgia" w:cs="Georgia" w:eastAsia="Georgia" w:hAnsi="Georgia"/>
                <w:b/>
                <w:bCs/>
                <w:sz w:val="20"/>
                <w:szCs w:val="20"/>
              </w:rPr>
              <w:t xml:space="preserve">no constituye medio de presunción de conformidad</w:t>
            </w:r>
            <w:r>
              <w:rPr>
                <w:rFonts w:ascii="Georgia" w:cs="Georgia" w:eastAsia="Georgia" w:hAnsi="Georgia"/>
                <w:sz w:val="20"/>
                <w:szCs w:val="20"/>
              </w:rPr>
              <w:t xml:space="preserve"> ni sustituye a la acreditación de las exigencias funcionales establecidas en la cláusula correspondiente. El cumplimiento se acredita respecto de dichas exigencias funcionales, cualquiera que sea la solución técnica empleada.</w:t>
            </w:r>
          </w:p>
        </w:tc>
      </w:tr>
    </w:tbl>
    <w:p>
      <w:pPr>
        <w:spacing w:after="220"/>
      </w:pPr>
    </w:p>
    <w:p>
      <w:pPr>
        <w:pStyle w:val="Heading3"/>
        <w:keepNext/>
        <w:spacing w:after="140" w:before="320"/>
      </w:pPr>
      <w:r>
        <w:rPr>
          <w:rFonts w:ascii="Georgia" w:cs="Georgia" w:eastAsia="Georgia" w:hAnsi="Georgia"/>
          <w:b/>
          <w:bCs/>
          <w:color w:val="2F5496"/>
          <w:sz w:val="22"/>
          <w:szCs w:val="22"/>
        </w:rPr>
        <w:t xml:space="preserve">4.3 Vigencia normativa y fecha de corte</w:t>
      </w:r>
    </w:p>
    <w:p>
      <w:pPr>
        <w:spacing w:after="140" w:line="276"/>
      </w:pPr>
      <w:r>
        <w:rPr>
          <w:rFonts w:ascii="Calibri" w:cs="Calibri" w:eastAsia="Calibri" w:hAnsi="Calibri"/>
          <w:sz w:val="21"/>
          <w:szCs w:val="21"/>
        </w:rPr>
        <w:t xml:space="preserve">Toda afirmación sobre exigibilidad, calendarios y umbrales de este documento se remite al </w:t>
      </w:r>
      <w:r>
        <w:rPr>
          <w:rFonts w:ascii="Calibri" w:cs="Calibri" w:eastAsia="Calibri" w:hAnsi="Calibri"/>
          <w:b/>
          <w:bCs/>
          <w:sz w:val="21"/>
          <w:szCs w:val="21"/>
        </w:rPr>
        <w:t xml:space="preserve">Anexo XI, Vigencia normativa</w:t>
      </w:r>
      <w:r>
        <w:rPr>
          <w:rFonts w:ascii="Calibri" w:cs="Calibri" w:eastAsia="Calibri" w:hAnsi="Calibri"/>
          <w:sz w:val="21"/>
          <w:szCs w:val="21"/>
        </w:rPr>
        <w:t xml:space="preserve">, que se estructura en dos columnas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frente a </w:t>
      </w:r>
      <w:r>
        <w:rPr>
          <w:rFonts w:ascii="Calibri" w:cs="Calibri" w:eastAsia="Calibri" w:hAnsi="Calibri"/>
          <w:b/>
          <w:bCs/>
          <w:sz w:val="21"/>
          <w:szCs w:val="21"/>
        </w:rPr>
        <w:t xml:space="preserve">exigencia contractual anticipada por el Ayuntamiento</w:t>
      </w:r>
      <w:r>
        <w:rPr>
          <w:rFonts w:ascii="Calibri" w:cs="Calibri" w:eastAsia="Calibri" w:hAnsi="Calibri"/>
          <w:sz w:val="21"/>
          <w:szCs w:val="21"/>
        </w:rPr>
        <w:t xml:space="preserve">— y lleva fecha de corte expresa. Antes de cada uso del catálogo debe comprobarse que el Anexo XI está actualizado; si no lo está, el catálogo se usa igualmente pero las exigencias ancladas en el bloque de exigibilidad se verifican una a una.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§5. Definiciones</w:t>
      </w:r>
    </w:p>
    <w:p>
      <w:pPr>
        <w:pStyle w:val="Heading3"/>
        <w:keepNext/>
        <w:spacing w:after="140" w:before="320"/>
      </w:pPr>
      <w:r>
        <w:rPr>
          <w:rFonts w:ascii="Georgia" w:cs="Georgia" w:eastAsia="Georgia" w:hAnsi="Georgia"/>
          <w:b/>
          <w:bCs/>
          <w:color w:val="2F5496"/>
          <w:sz w:val="22"/>
          <w:szCs w:val="22"/>
        </w:rPr>
        <w:t xml:space="preserve">5.1 Regla sobre las definiciones</w:t>
      </w:r>
    </w:p>
    <w:p>
      <w:pPr>
        <w:spacing w:after="140" w:line="276"/>
      </w:pPr>
      <w:r>
        <w:rPr>
          <w:rFonts w:ascii="Calibri" w:cs="Calibri" w:eastAsia="Calibri" w:hAnsi="Calibri"/>
          <w:sz w:val="21"/>
          <w:szCs w:val="21"/>
        </w:rPr>
        <w:t xml:space="preserve">Sólo se transcriben al pliego las definiciones que </w:t>
      </w:r>
      <w:r>
        <w:rPr>
          <w:rFonts w:ascii="Calibri" w:cs="Calibri" w:eastAsia="Calibri" w:hAnsi="Calibri"/>
          <w:b/>
          <w:bCs/>
          <w:sz w:val="21"/>
          <w:szCs w:val="21"/>
        </w:rPr>
        <w:t xml:space="preserve">generan obligación</w:t>
      </w:r>
      <w:r>
        <w:rPr>
          <w:rFonts w:ascii="Calibri" w:cs="Calibri" w:eastAsia="Calibri" w:hAnsi="Calibri"/>
          <w:sz w:val="21"/>
          <w:szCs w:val="21"/>
        </w:rPr>
        <w:t xml:space="preserve"> o que delimitan el alcance de una obligación. Las demás viven en el glosario descriptivo del Anexo XIII, que carece de efectos jurídicos y así lo hace constar.</w:t>
      </w:r>
    </w:p>
    <w:p>
      <w:pPr>
        <w:spacing w:after="140" w:line="276"/>
      </w:pPr>
      <w:r>
        <w:rPr>
          <w:rFonts w:ascii="Calibri" w:cs="Calibri" w:eastAsia="Calibri" w:hAnsi="Calibri"/>
          <w:b/>
          <w:bCs/>
          <w:sz w:val="21"/>
          <w:szCs w:val="21"/>
        </w:rPr>
        <w:t xml:space="preserve">Se eliminan como definiciones operativas</w:t>
      </w:r>
      <w:r>
        <w:rPr>
          <w:rFonts w:ascii="Calibri" w:cs="Calibri" w:eastAsia="Calibri" w:hAnsi="Calibri"/>
          <w:sz w:val="21"/>
          <w:szCs w:val="21"/>
        </w:rPr>
        <w:t xml:space="preserve"> y pasan al glosario descriptivo, sin efectos: «Loop Engineering», «Skills / harness / loops» e «hiperautomatización». No tienen definición normalizada y no son verificables en un procedimiento contradictorio; una obligación que no se puede verificar no sostiene ni una penalidad ni una resolución.</w:t>
      </w:r>
    </w:p>
    <w:p>
      <w:pPr>
        <w:pStyle w:val="Heading3"/>
        <w:keepNext/>
        <w:spacing w:after="140" w:before="320"/>
      </w:pPr>
      <w:r>
        <w:rPr>
          <w:rFonts w:ascii="Georgia" w:cs="Georgia" w:eastAsia="Georgia" w:hAnsi="Georgia"/>
          <w:b/>
          <w:bCs/>
          <w:color w:val="2F5496"/>
          <w:sz w:val="22"/>
          <w:szCs w:val="22"/>
        </w:rPr>
        <w:t xml:space="preserve">5.2 Definiciones que se transcriben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Definiciones.</w:t>
            </w:r>
            <w:r>
              <w:rPr>
                <w:rFonts w:ascii="Georgia" w:cs="Georgia" w:eastAsia="Georgia" w:hAnsi="Georgia"/>
                <w:sz w:val="20"/>
                <w:szCs w:val="20"/>
              </w:rPr>
              <w:t xml:space="preserve"> A los efectos de este pliego se entiende por:</w:t>
            </w:r>
          </w:p>
          <w:p>
            <w:pPr>
              <w:spacing w:after="100" w:line="264"/>
            </w:pPr>
            <w:r>
              <w:rPr>
                <w:rFonts w:ascii="Georgia" w:cs="Georgia" w:eastAsia="Georgia" w:hAnsi="Georgia"/>
                <w:b/>
                <w:bCs/>
                <w:sz w:val="20"/>
                <w:szCs w:val="20"/>
              </w:rPr>
              <w:t xml:space="preserve">a) Producto base o estándar.</w:t>
            </w:r>
            <w:r>
              <w:rPr>
                <w:rFonts w:ascii="Georgia" w:cs="Georgia" w:eastAsia="Georgia" w:hAnsi="Georgia"/>
                <w:sz w:val="20"/>
                <w:szCs w:val="20"/>
              </w:rPr>
              <w:t xml:space="preserve"> El programa de ordenador, propiedad del adjudicatario o de un tercero licenciante, que se comercializa con anterioridad e independencia de este contrato, con sus actualizaciones y versiones sucesoras. No forma parte del producto base la parametrización, configuración o desarrollo realizados para el Ayuntamiento.</w:t>
            </w:r>
          </w:p>
          <w:p>
            <w:pPr>
              <w:spacing w:after="100" w:line="264"/>
            </w:pPr>
            <w:r>
              <w:rPr>
                <w:rFonts w:ascii="Georgia" w:cs="Georgia" w:eastAsia="Georgia" w:hAnsi="Georgia"/>
                <w:b/>
                <w:bCs/>
                <w:sz w:val="20"/>
                <w:szCs w:val="20"/>
              </w:rPr>
              <w:t xml:space="preserve">b) Desarrollo específico.</w:t>
            </w:r>
            <w:r>
              <w:rPr>
                <w:rFonts w:ascii="Georgia" w:cs="Georgia" w:eastAsia="Georgia" w:hAnsi="Georgia"/>
                <w:sz w:val="20"/>
                <w:szCs w:val="20"/>
              </w:rPr>
              <w:t xml:space="preserve"> El código, las reglas de negocio, los algoritmos de cálculo o de decisión, los flujos, las integraciones, las plantillas, los modelos ajustados con datos municipales y la documentación técnica correspondiente, diseñados o realizados específicamente para el Ayuntamiento en ejecución de este contrato, cualquiera que sea el soporte y comprendidos tanto el código fuente como el código objeto.</w:t>
            </w:r>
          </w:p>
          <w:p>
            <w:pPr>
              <w:spacing w:after="100" w:line="264"/>
            </w:pPr>
            <w:r>
              <w:rPr>
                <w:rFonts w:ascii="Georgia" w:cs="Georgia" w:eastAsia="Georgia" w:hAnsi="Georgia"/>
                <w:b/>
                <w:bCs/>
                <w:sz w:val="20"/>
                <w:szCs w:val="20"/>
              </w:rPr>
              <w:t xml:space="preserve">c) Inventario de Componentes.</w:t>
            </w:r>
            <w:r>
              <w:rPr>
                <w:rFonts w:ascii="Georgia" w:cs="Georgia" w:eastAsia="Georgia" w:hAnsi="Georgia"/>
                <w:sz w:val="20"/>
                <w:szCs w:val="20"/>
              </w:rPr>
              <w:t xml:space="preserve"> Relación, mantenida y actualizada por el adjudicatario desde el inicio de la ejecución y entregada al Ayuntamiento con la periodicidad que este pliego establece, que identifica y separa: el producto base; los desarrollos específicos; los componentes de terceros integrados, con su licencia y versión; y las configuraciones y parametrizaciones. Su función es delimitar, en cualquier momento de la ejecución, el objeto de la obligación de reversibilidad.</w:t>
            </w:r>
          </w:p>
          <w:p>
            <w:pPr>
              <w:spacing w:after="100" w:line="264"/>
            </w:pPr>
            <w:r>
              <w:rPr>
                <w:rFonts w:ascii="Georgia" w:cs="Georgia" w:eastAsia="Georgia" w:hAnsi="Georgia"/>
                <w:b/>
                <w:bCs/>
                <w:sz w:val="20"/>
                <w:szCs w:val="20"/>
              </w:rPr>
              <w:t xml:space="preserve">d) Reversibilidad.</w:t>
            </w:r>
            <w:r>
              <w:rPr>
                <w:rFonts w:ascii="Georgia" w:cs="Georgia" w:eastAsia="Georgia" w:hAnsi="Georgia"/>
                <w:sz w:val="20"/>
                <w:szCs w:val="20"/>
              </w:rPr>
              <w:t xml:space="preserve"> Conjunto de obligaciones del adjudicatario dirigidas a que el Ayuntamiento pueda continuar prestando el servicio por sí o por medio de otro contratista al término del contrato. Comprende la entrega ordenada, sin coste adicional y en formato abierto, reutilizable y documentado, de los datos y del material de titularidad municipal; la asistencia durante el período de transición; y, cuando el sistema no pueda operarse sin el producto base, una licencia de uso transitoria de éste, limitada a la finalidad de continuidad y migración, por plazo de </w:t>
            </w:r>
            <w:r>
              <w:rPr>
                <w:rFonts w:ascii="Georgia" w:cs="Georgia" w:eastAsia="Georgia" w:hAnsi="Georgia"/>
                <w:b/>
                <w:bCs/>
                <w:sz w:val="20"/>
                <w:szCs w:val="20"/>
              </w:rPr>
              <w:t xml:space="preserve">[X; se recomienda 6] meses</w:t>
            </w:r>
            <w:r>
              <w:rPr>
                <w:rFonts w:ascii="Georgia" w:cs="Georgia" w:eastAsia="Georgia" w:hAnsi="Georgia"/>
                <w:sz w:val="20"/>
                <w:szCs w:val="20"/>
              </w:rPr>
              <w:t xml:space="preserve"> a contar desde la extinción del contrato. El contenido concreto de la entrega, su alcance y sus plazos son los que establece la cláusula </w:t>
            </w:r>
            <w:r>
              <w:rPr>
                <w:rFonts w:ascii="Georgia" w:cs="Georgia" w:eastAsia="Georgia" w:hAnsi="Georgia"/>
                <w:b/>
                <w:bCs/>
                <w:sz w:val="20"/>
                <w:szCs w:val="20"/>
              </w:rPr>
              <w:t xml:space="preserve">[DT-8·v3], apartado 1</w:t>
            </w:r>
            <w:r>
              <w:rPr>
                <w:rFonts w:ascii="Georgia" w:cs="Georgia" w:eastAsia="Georgia" w:hAnsi="Georgia"/>
                <w:sz w:val="20"/>
                <w:szCs w:val="20"/>
              </w:rPr>
              <w:t xml:space="preserve">; los límites de la obligación en materia de derechos de propiedad intelectual, y en particular sobre el código fuente del producto base y el de terceros licenciantes, son los que establece la cláusula </w:t>
            </w:r>
            <w:r>
              <w:rPr>
                <w:rFonts w:ascii="Georgia" w:cs="Georgia" w:eastAsia="Georgia" w:hAnsi="Georgia"/>
                <w:b/>
                <w:bCs/>
                <w:sz w:val="20"/>
                <w:szCs w:val="20"/>
              </w:rPr>
              <w:t xml:space="preserve">[ADM-8·v3], apartado 4</w:t>
            </w:r>
            <w:r>
              <w:rPr>
                <w:rFonts w:ascii="Georgia" w:cs="Georgia" w:eastAsia="Georgia" w:hAnsi="Georgia"/>
                <w:sz w:val="20"/>
                <w:szCs w:val="20"/>
              </w:rPr>
              <w:t xml:space="preserve">. La devolución o supresión de los datos personales se regirá por lo previsto en el artículo 28.3.g) del Reglamento (UE) 2016/679.</w:t>
            </w:r>
          </w:p>
          <w:p>
            <w:pPr>
              <w:spacing w:after="100" w:line="264"/>
            </w:pPr>
            <w:r>
              <w:rPr>
                <w:rFonts w:ascii="Georgia" w:cs="Georgia" w:eastAsia="Georgia" w:hAnsi="Georgia"/>
                <w:b/>
                <w:bCs/>
                <w:sz w:val="20"/>
                <w:szCs w:val="20"/>
              </w:rPr>
              <w:t xml:space="preserve">e) Versión sucesora.</w:t>
            </w:r>
            <w:r>
              <w:rPr>
                <w:rFonts w:ascii="Georgia" w:cs="Georgia" w:eastAsia="Georgia" w:hAnsi="Georgia"/>
                <w:sz w:val="20"/>
                <w:szCs w:val="20"/>
              </w:rPr>
              <w:t xml:space="preserve"> La versión del producto base que, con independencia de su denominación comercial, presente continuidad funcional con el producto contratado, lo sustituya en el catálogo del fabricante o cuente con una ruta de migración ofrecida por el propio fabricante. La concurrencia de cualquiera de estas tres circunstancias se acredita mediante documentación del fabricante.</w:t>
            </w:r>
          </w:p>
          <w:p>
            <w:pPr>
              <w:spacing w:after="100" w:line="264"/>
            </w:pPr>
            <w:r>
              <w:rPr>
                <w:rFonts w:ascii="Georgia" w:cs="Georgia" w:eastAsia="Georgia" w:hAnsi="Georgia"/>
                <w:b/>
                <w:bCs/>
                <w:sz w:val="20"/>
                <w:szCs w:val="20"/>
              </w:rPr>
              <w:t xml:space="preserve">f) Obsolescencia tecnológica.</w:t>
            </w:r>
            <w:r>
              <w:rPr>
                <w:rFonts w:ascii="Georgia" w:cs="Georgia" w:eastAsia="Georgia" w:hAnsi="Georgia"/>
                <w:sz w:val="20"/>
                <w:szCs w:val="20"/>
              </w:rPr>
              <w:t xml:space="preserve"> A los efectos de este contrato, se entiende producida cuando concurra alguna de estas dos circunstancias, y sólo ellas: (i) que el adjudicatario no haya implantado, en el plazo establecido, una exigencia de las relacionadas en el Anexo [V] de este pliego; o (ii) que no haya puesto a disposición del Ayuntamiento, en el plazo comprometido, una versión sucesora del producto contratado. Fuera de estos dos supuestos no existe obligación de evolución exigible al amparo de este pliego. La calificación de estos incumplimientos y sus consecuencias son las que expresamente establece la cláusula [ADM-6·v3].</w:t>
            </w:r>
          </w:p>
          <w:p>
            <w:pPr>
              <w:spacing w:after="100" w:line="264"/>
            </w:pPr>
            <w:r>
              <w:rPr>
                <w:rFonts w:ascii="Georgia" w:cs="Georgia" w:eastAsia="Georgia" w:hAnsi="Georgia"/>
                <w:b/>
                <w:bCs/>
                <w:sz w:val="20"/>
                <w:szCs w:val="20"/>
              </w:rPr>
              <w:t xml:space="preserve">g) Solución equivalente.</w:t>
            </w:r>
            <w:r>
              <w:rPr>
                <w:rFonts w:ascii="Georgia" w:cs="Georgia" w:eastAsia="Georgia" w:hAnsi="Georgia"/>
                <w:sz w:val="20"/>
                <w:szCs w:val="20"/>
              </w:rPr>
              <w:t xml:space="preserve"> La que cumple de forma equivalente los requisitos funcionales exigidos en este pliego, conforme a los artículos 126.7 y 126.8 de la Ley 9/2017. La equivalencia se aprecia respecto de las exigencias funcionales expresadas en la cláusula correspondiente, y no respecto de un producto, marca, protocolo o infraestructura determinados. Corresponde al licitador acreditarla en su oferta, por cualquier medio adecuado, incluidos los medios de prueba supletorios admitidos por el artículo 128.2. El régimen y el trámite de acreditación son los de la cláusula [DT-0·v3].</w:t>
            </w:r>
          </w:p>
          <w:p>
            <w:pPr>
              <w:spacing w:after="100" w:line="264"/>
            </w:pPr>
            <w:r>
              <w:rPr>
                <w:rFonts w:ascii="Georgia" w:cs="Georgia" w:eastAsia="Georgia" w:hAnsi="Georgia"/>
                <w:b/>
                <w:bCs/>
                <w:sz w:val="20"/>
                <w:szCs w:val="20"/>
              </w:rPr>
              <w:t xml:space="preserve">h) Interfaz normalizada de acceso programático.</w:t>
            </w:r>
            <w:r>
              <w:rPr>
                <w:rFonts w:ascii="Georgia" w:cs="Georgia" w:eastAsia="Georgia" w:hAnsi="Georgia"/>
                <w:sz w:val="20"/>
                <w:szCs w:val="20"/>
              </w:rPr>
              <w:t xml:space="preserve"> Interfaz documentada, versionada, autenticada y auditable que expone de forma segura, para su consulta y, cuando el pliego lo prevea, para su operación, los datos y funciones de los módulos identificados en este pliego, con control de acceso diferenciado por módulo, por operación y por ámbito de datos, y con registro de auditoría de las consultas y acciones realizadas. La obligación se define por estas capacidades funcionales, cualquiera que sea el protocolo empleado para prestarlas.</w:t>
            </w:r>
          </w:p>
          <w:p>
            <w:pPr>
              <w:spacing w:after="100" w:line="264"/>
            </w:pPr>
            <w:r>
              <w:rPr>
                <w:rFonts w:ascii="Georgia" w:cs="Georgia" w:eastAsia="Georgia" w:hAnsi="Georgia"/>
                <w:b/>
                <w:bCs/>
                <w:sz w:val="20"/>
                <w:szCs w:val="20"/>
              </w:rPr>
              <w:t xml:space="preserve">i) Sistema de IA</w:t>
            </w:r>
            <w:r>
              <w:rPr>
                <w:rFonts w:ascii="Georgia" w:cs="Georgia" w:eastAsia="Georgia" w:hAnsi="Georgia"/>
                <w:sz w:val="20"/>
                <w:szCs w:val="20"/>
              </w:rPr>
              <w:t xml:space="preserve"> y </w:t>
            </w:r>
            <w:r>
              <w:rPr>
                <w:rFonts w:ascii="Georgia" w:cs="Georgia" w:eastAsia="Georgia" w:hAnsi="Georgia"/>
                <w:b/>
                <w:bCs/>
                <w:sz w:val="20"/>
                <w:szCs w:val="20"/>
              </w:rPr>
              <w:t xml:space="preserve">sistema de IA de alto riesgo.</w:t>
            </w:r>
            <w:r>
              <w:rPr>
                <w:rFonts w:ascii="Georgia" w:cs="Georgia" w:eastAsia="Georgia" w:hAnsi="Georgia"/>
                <w:sz w:val="20"/>
                <w:szCs w:val="20"/>
              </w:rPr>
              <w:t xml:space="preserve"> Los así definidos y clasificados por el Reglamento (UE) 2024/1689, en su redacción vigente.</w:t>
            </w:r>
          </w:p>
          <w:p>
            <w:pPr>
              <w:spacing w:after="100" w:line="264"/>
            </w:pPr>
            <w:r>
              <w:rPr>
                <w:rFonts w:ascii="Georgia" w:cs="Georgia" w:eastAsia="Georgia" w:hAnsi="Georgia"/>
                <w:b/>
                <w:bCs/>
                <w:sz w:val="20"/>
                <w:szCs w:val="20"/>
              </w:rPr>
              <w:t xml:space="preserve">j) Agente de IA.</w:t>
            </w:r>
            <w:r>
              <w:rPr>
                <w:rFonts w:ascii="Georgia" w:cs="Georgia" w:eastAsia="Georgia" w:hAnsi="Georgia"/>
                <w:sz w:val="20"/>
                <w:szCs w:val="20"/>
              </w:rPr>
              <w:t xml:space="preserve"> Sistema de IA que, sobre la base de instrucciones u objetivos, encadena y ejecuta operaciones sobre otros sistemas mediante interfaces, dentro de los límites configurados por el Ayuntamiento, con trazabilidad completa de sus actuaciones, con posibilidad de intervención y parada humana y con capacidad de revertir las actuaciones realizadas.</w:t>
            </w:r>
          </w:p>
          <w:p>
            <w:pPr>
              <w:spacing w:after="100" w:line="264"/>
            </w:pPr>
            <w:r>
              <w:rPr>
                <w:rFonts w:ascii="Georgia" w:cs="Georgia" w:eastAsia="Georgia" w:hAnsi="Georgia"/>
                <w:b/>
                <w:bCs/>
                <w:sz w:val="20"/>
                <w:szCs w:val="20"/>
              </w:rPr>
              <w:t xml:space="preserve">k) Información municipal no pública.</w:t>
            </w:r>
            <w:r>
              <w:rPr>
                <w:rFonts w:ascii="Georgia" w:cs="Georgia" w:eastAsia="Georgia" w:hAnsi="Georgia"/>
                <w:sz w:val="20"/>
                <w:szCs w:val="20"/>
              </w:rPr>
              <w:t xml:space="preserve"> Cualquier información de la que el Ayuntamiento sea responsable y que no haya sido objeto de publicación oficial, incluidos los datos personales, la información sometida a confidencialidad, la relativa a procedimientos en tramitación y la de seguridad de los sistemas.</w:t>
            </w:r>
          </w:p>
          <w:p>
            <w:pPr>
              <w:spacing w:after="100" w:line="264"/>
            </w:pPr>
            <w:r>
              <w:rPr>
                <w:rFonts w:ascii="Georgia" w:cs="Georgia" w:eastAsia="Georgia" w:hAnsi="Georgia"/>
                <w:b/>
                <w:bCs/>
                <w:sz w:val="20"/>
                <w:szCs w:val="20"/>
              </w:rPr>
              <w:t xml:space="preserve">l) Exigencias Tecnológicas Determinadas.</w:t>
            </w:r>
            <w:r>
              <w:rPr>
                <w:rFonts w:ascii="Georgia" w:cs="Georgia" w:eastAsia="Georgia" w:hAnsi="Georgia"/>
                <w:sz w:val="20"/>
                <w:szCs w:val="20"/>
              </w:rPr>
              <w:t xml:space="preserve"> Las capacidades concretas, con plazo y criterios de aceptación verificables, relacionadas en el Anexo [V] de este pliego, que forman parte del alcance ordinario del contrato y se entienden retribuidas con el precio ofertado. El régimen de incorporación física de dicho anexo y su invariabilidad durante la vigencia del contrato y de sus prórrogas son los de la cláusula </w:t>
            </w:r>
            <w:r>
              <w:rPr>
                <w:rFonts w:ascii="Georgia" w:cs="Georgia" w:eastAsia="Georgia" w:hAnsi="Georgia"/>
                <w:b/>
                <w:bCs/>
                <w:sz w:val="20"/>
                <w:szCs w:val="20"/>
              </w:rPr>
              <w:t xml:space="preserve">[DT-9·v3], apartado 2</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5.3 Comentario a las cuatro definiciones reescritas</w:t>
      </w:r>
    </w:p>
    <w:p>
      <w:pPr>
        <w:spacing w:after="140" w:line="276"/>
      </w:pPr>
      <w:r>
        <w:rPr>
          <w:rFonts w:ascii="Calibri" w:cs="Calibri" w:eastAsia="Calibri" w:hAnsi="Calibri"/>
          <w:b/>
          <w:bCs/>
          <w:sz w:val="21"/>
          <w:szCs w:val="21"/>
        </w:rPr>
        <w:t xml:space="preserve">Reversibilidad.</w:t>
      </w:r>
      <w:r>
        <w:rPr>
          <w:rFonts w:ascii="Calibri" w:cs="Calibri" w:eastAsia="Calibri" w:hAnsi="Calibri"/>
          <w:sz w:val="21"/>
          <w:szCs w:val="21"/>
        </w:rPr>
        <w:t xml:space="preserve"> La definición de la versión 2.0 —«portabilidad de datos, código, configuraciones y modelos»— exigía literalmente, leída sin matiz, el código fuente del producto estándar del adjudicatario. Ningún fabricante de software de mercado lo acepta, de modo que la cláusula operaba como barrera de concurrencia sin dar al Ayuntamiento nada que no le diera una redacción delimitada. La nueva definición incorpora la delimitación propuesta en la revisión de modificaciones (modificación 2). El contenido de la entrega no se repite aquí: vive en DT-8·v3, apartado 1, al que la definición remite, y añade tres piezas que la propuesta de modificación no contemplaba y sin las cuales la delimitación se vuelve en contra del Ayuntamiento: el Inventario de Componentes —sin él, la frontera entre producto base y desarrollo específico se discute al final del contrato, que es cuando ya no hay palanca—, la licencia de uso transitoria del producto base —sin ella se devuelve un código que no arranca— y el diccionario de datos.</w:t>
      </w:r>
    </w:p>
    <w:p>
      <w:pPr>
        <w:spacing w:after="140" w:line="276"/>
      </w:pPr>
      <w:r>
        <w:rPr>
          <w:rFonts w:ascii="Calibri" w:cs="Calibri" w:eastAsia="Calibri" w:hAnsi="Calibri"/>
          <w:b/>
          <w:bCs/>
          <w:sz w:val="21"/>
          <w:szCs w:val="21"/>
        </w:rPr>
        <w:t xml:space="preserve">Obsolescencia tecnológica.</w:t>
      </w:r>
      <w:r>
        <w:rPr>
          <w:rFonts w:ascii="Calibri" w:cs="Calibri" w:eastAsia="Calibri" w:hAnsi="Calibri"/>
          <w:sz w:val="21"/>
          <w:szCs w:val="21"/>
        </w:rPr>
        <w:t xml:space="preserve"> La definición de la versión 2.0 remitía a «las tecnologías y mejoras que mantienen su vigencia funcional» y se autocalificaba como incumplimiento esencial. Tenía dos defectos acumulados: obligaba a probar, en un procedimiento contradictorio, qué tecnología del mercado era necesaria —cuestión de apreciación técnica—, y anudaba a esa apreciación el efecto resolutorio. El artículo 211.1.f).2.º LCSP exige que las obligaciones esenciales figuren «enumeradas de manera precisa, clara e inequívoca en los pliegos […] no siendo admisibles cláusulas de tipo general». La doctrina es tajante sobre el punto: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 de este, cuyo incumplimiento habilite a la resolución»</w:t>
      </w:r>
      <w:r>
        <w:rPr>
          <w:rFonts w:ascii="Calibri" w:cs="Calibri" w:eastAsia="Calibri" w:hAnsi="Calibri"/>
          <w:sz w:val="21"/>
          <w:szCs w:val="21"/>
        </w:rPr>
        <w:t xml:space="preserve"> (Tribunal Administrativo Central de Recursos Contractuales, </w:t>
      </w:r>
      <w:hyperlink w:history="1" r:id="rIdzm1glkj1wrc6kh4gfkab9">
        <w:r>
          <w:rPr>
            <w:rFonts w:ascii="Calibri" w:cs="Calibri" w:eastAsia="Calibri" w:hAnsi="Calibri"/>
            <w:color w:val="2F5496"/>
            <w:sz w:val="21"/>
            <w:szCs w:val="21"/>
            <w:u w:val="single"/>
          </w:rPr>
          <w:t xml:space="preserve">Resolución 1113/2022, de 27 de septiembre de 2022, recurso 998/2022</w:t>
        </w:r>
      </w:hyperlink>
      <w:r>
        <w:rPr>
          <w:rFonts w:ascii="Calibri" w:cs="Calibri" w:eastAsia="Calibri" w:hAnsi="Calibri"/>
          <w:sz w:val="21"/>
          <w:szCs w:val="21"/>
        </w:rPr>
        <w:t xml:space="preserve">%2027-9-2022.pdf), fundamento de derecho séptimo; el Tribunal declaró la nulidad de las cláusulas 29 y 39 del pliego y acordó la retroacción). Se cita como doctrina general sobre condiciones especiales de ejecución, trasladada por analogía: no consta doctrina sobre cláusulas de contenido tecnológico-evolutivo. La traslación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y así se advierte: la Resolución 1113/2022 resuelve una reclamación en sectores excluidos (ADIF Alta Velocidad) al amparo del Real Decreto-ley 3/2020, no un recurso especial de la LCSP; lo que se traslada es el estándar de precisión, no el precepto aplicado. La nueva definición sustituye la apreciación por dos hechos comprobables y remite la calificación a la lista cerrada de ADM-6·v3.</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versión 2.0 la definía como la que «acredite niveles equivalentes» respecto de lo citado «como referencia», es decir, respecto del producto nombrado. Ese es exactamente el punto por el que una cláusula de equivalencia deja de proteger: si la equivalencia se mide contra un producto, el producto nombrado gana siempre. La nueva definición fija la referencia en las </w:t>
      </w:r>
      <w:r>
        <w:rPr>
          <w:rFonts w:ascii="Calibri" w:cs="Calibri" w:eastAsia="Calibri" w:hAnsi="Calibri"/>
          <w:b/>
          <w:bCs/>
          <w:sz w:val="21"/>
          <w:szCs w:val="21"/>
        </w:rPr>
        <w:t xml:space="preserve">exigencias funcionales</w:t>
      </w:r>
      <w:r>
        <w:rPr>
          <w:rFonts w:ascii="Calibri" w:cs="Calibri" w:eastAsia="Calibri" w:hAnsi="Calibri"/>
          <w:sz w:val="21"/>
          <w:szCs w:val="21"/>
        </w:rPr>
        <w:t xml:space="preserve"> y traslada expresamente la carga de la prueba al licitador, que es donde la sitúa la ley y donde la sitúa también la práctica del tribunal competente: en su </w:t>
      </w:r>
      <w:hyperlink w:history="1" r:id="rIdilrfaosyr1-4ntuq_t6mc">
        <w:r>
          <w:rPr>
            <w:rFonts w:ascii="Calibri" w:cs="Calibri" w:eastAsia="Calibri" w:hAnsi="Calibri"/>
            <w:color w:val="2F5496"/>
            <w:sz w:val="21"/>
            <w:szCs w:val="21"/>
            <w:u w:val="single"/>
          </w:rPr>
          <w:t xml:space="preserve">Resolución 535/2025, de 18 de diciembre de 2025, recurso 526/2025</w:t>
        </w:r>
      </w:hyperlink>
      <w:r>
        <w:rPr>
          <w:rFonts w:ascii="Calibri" w:cs="Calibri" w:eastAsia="Calibri" w:hAnsi="Calibri"/>
          <w:sz w:val="21"/>
          <w:szCs w:val="21"/>
        </w:rPr>
        <w:t xml:space="preserve"> —</w:t>
      </w:r>
      <w:r>
        <w:rPr>
          <w:rFonts w:ascii="Calibri" w:cs="Calibri" w:eastAsia="Calibri" w:hAnsi="Calibri"/>
          <w:b/>
          <w:bCs/>
          <w:sz w:val="21"/>
          <w:szCs w:val="21"/>
        </w:rPr>
        <w:t xml:space="preserve">desestimatoria</w:t>
      </w:r>
      <w:r>
        <w:rPr>
          <w:rFonts w:ascii="Calibri" w:cs="Calibri" w:eastAsia="Calibri" w:hAnsi="Calibri"/>
          <w:sz w:val="21"/>
          <w:szCs w:val="21"/>
        </w:rPr>
        <w:t xml:space="preserve">, resuelta por discrecionalidad técnica—, el Tribunal Administrativo de Contratación Pública de la Comunidad de Madrid confirmó que corresponde al licitador demostrar la equivalencia y al órgano de contratación apreciarla. Se cita por lo que resuelve. </w:t>
      </w:r>
      <w:r>
        <w:rPr>
          <w:rFonts w:ascii="Calibri" w:cs="Calibri" w:eastAsia="Calibri" w:hAnsi="Calibri"/>
          <w:b/>
          <w:bCs/>
          <w:sz w:val="21"/>
          <w:szCs w:val="21"/>
        </w:rPr>
        <w:t xml:space="preserve">No consta que esa resolución declare conforme a Derecho ninguna definición de equivalencia</w:t>
      </w:r>
      <w:r>
        <w:rPr>
          <w:rFonts w:ascii="Calibri" w:cs="Calibri" w:eastAsia="Calibri" w:hAnsi="Calibri"/>
          <w:sz w:val="21"/>
          <w:szCs w:val="21"/>
        </w:rPr>
        <w:t xml:space="preserve">: la definición en tres condiciones acumulativas que allí aparece es una cláusula de un pliego autonómico, aplicada y no impugnada en ese recurso, y así se cita en DT-0·v3. El régimen completo y el trámite están en DT-0·v3.</w:t>
      </w:r>
    </w:p>
    <w:p>
      <w:pPr>
        <w:spacing w:after="140" w:line="276"/>
      </w:pPr>
      <w:r>
        <w:rPr>
          <w:rFonts w:ascii="Calibri" w:cs="Calibri" w:eastAsia="Calibri" w:hAnsi="Calibri"/>
          <w:b/>
          <w:bCs/>
          <w:sz w:val="21"/>
          <w:szCs w:val="21"/>
        </w:rPr>
        <w:t xml:space="preserve">ISBE.</w:t>
      </w:r>
      <w:r>
        <w:rPr>
          <w:rFonts w:ascii="Calibri" w:cs="Calibri" w:eastAsia="Calibri" w:hAnsi="Calibri"/>
          <w:sz w:val="21"/>
          <w:szCs w:val="21"/>
        </w:rPr>
        <w:t xml:space="preserve"> No se transcribe al pliego y no genera obligación alguna. Descripción, a efectos exclusivamente informativos: Infraestructura de Servicios Blockchain de España, implementada por Alastria y alineada con la infraestructura europea EBSI. Se elimina toda la carga preferencial de la definición de la versión 2.0 —el impulso institucional, la financiación y el alineamiento estratégico— porque no describía una capacidad funcional sino un arraigo, y el arraigo territorial no es criterio admisible. Regla de cierre, aplicable a cualquier infraestructura o red gestionada por un tercero:</w:t>
      </w:r>
    </w:p>
    <w:p>
      <w:pPr>
        <w:pBdr>
          <w:left w:val="single" w:color="BFBFBF" w:sz="12" w:space="8"/>
        </w:pBdr>
        <w:spacing w:after="140" w:line="264"/>
        <w:ind w:left="400"/>
      </w:pPr>
      <w:r>
        <w:rPr>
          <w:rFonts w:ascii="Georgia" w:cs="Georgia" w:eastAsia="Georgia" w:hAnsi="Georgia"/>
          <w:b/>
          <w:bCs/>
          <w:i/>
          <w:iCs/>
          <w:color w:val="595959"/>
          <w:sz w:val="20"/>
          <w:szCs w:val="20"/>
        </w:rPr>
        <w:t xml:space="preserve">La pertenencia o adhesión a una red o infraestructura nominada no puede configurarse como prescripción técnica de obligado cumplimiento, ni como requisito de solvencia, ni como criterio de adjudicación, ni como condición especial de ejecución.</w:t>
      </w:r>
      <w:r>
        <w:rPr>
          <w:rFonts w:ascii="Georgia" w:cs="Georgia" w:eastAsia="Georgia" w:hAnsi="Georgia"/>
          <w:i/>
          <w:iCs/>
          <w:color w:val="595959"/>
          <w:sz w:val="20"/>
          <w:szCs w:val="20"/>
        </w:rPr>
        <w:t xml:space="preserve"> Cuando el pliego quiera asegurar una capacidad —anclaje de evidencias verificable por un tercero sin acceso privilegiado, identidad digital verificable conforme al marco europeo, interoperabilidad acreditada—, la exigirá por su función. Un requisito cuyo cumplimiento dependa de la admisión de un tercero es un obstáculo injustificado a la apertura de la contratación a la competencia en el sentido del artículo 126.1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§6. Principios rectores</w:t>
      </w:r>
    </w:p>
    <w:p>
      <w:pPr>
        <w:spacing w:after="140" w:line="276"/>
      </w:pPr>
      <w:r>
        <w:rPr>
          <w:rFonts w:ascii="Calibri" w:cs="Calibri" w:eastAsia="Calibri" w:hAnsi="Calibri"/>
          <w:sz w:val="21"/>
          <w:szCs w:val="21"/>
        </w:rPr>
        <w:t xml:space="preserve">Los principios se conservan porque orientan correctamente la lectura del catálogo, y se les añade el noveno. Se antepone la regla que la versión 2.0 no tenía y que es imprescindible:</w:t>
      </w:r>
    </w:p>
    <w:p>
      <w:pPr>
        <w:pBdr>
          <w:left w:val="single" w:color="BFBFBF" w:sz="12" w:space="8"/>
        </w:pBdr>
        <w:spacing w:after="140" w:line="264"/>
        <w:ind w:left="400"/>
      </w:pPr>
      <w:r>
        <w:rPr>
          <w:rFonts w:ascii="Georgia" w:cs="Georgia" w:eastAsia="Georgia" w:hAnsi="Georgia"/>
          <w:b/>
          <w:bCs/>
          <w:i/>
          <w:iCs/>
          <w:color w:val="595959"/>
          <w:sz w:val="20"/>
          <w:szCs w:val="20"/>
        </w:rPr>
        <w:t xml:space="preserve">Los principios de este apartado tienen valor interpretativo. No constituyen por sí solos obligaciones exigibles ni fundan penalidad o resolución alguna: las obligaciones del contratista son, exclusivamente, las expresamente establecidas en las cláusulas de los pliegos.</w:t>
      </w:r>
    </w:p>
    <w:p>
      <w:pPr>
        <w:spacing w:after="140" w:line="276"/>
      </w:pPr>
      <w:r>
        <w:rPr>
          <w:rFonts w:ascii="Calibri" w:cs="Calibri" w:eastAsia="Calibri" w:hAnsi="Calibri"/>
          <w:sz w:val="21"/>
          <w:szCs w:val="21"/>
        </w:rPr>
        <w:t xml:space="preserve">Sin esa regla, un pliego que transcribiera los principios estaría exigiendo el cumplimiento de documentos que no son normas jurídicas —señaladamente, las directrices éticas de la Unión sobre inteligencia artificial fiable—, y creando una obligación que ningún órgano puede verificar en un procedimiento contradictorio.</w:t>
      </w:r>
    </w:p>
    <w:p>
      <w:pPr>
        <w:pStyle w:val="ListParagraph"/>
        <w:numPr>
          <w:ilvl w:val="0"/>
          <w:numId w:val="2"/>
        </w:numPr>
        <w:spacing w:after="70" w:line="268"/>
      </w:pPr>
      <w:r>
        <w:rPr>
          <w:rFonts w:ascii="Calibri" w:cs="Calibri" w:eastAsia="Calibri" w:hAnsi="Calibri"/>
          <w:b/>
          <w:bCs/>
          <w:sz w:val="21"/>
          <w:szCs w:val="21"/>
        </w:rPr>
        <w:t xml:space="preserve">Legalidad, transparencia y trazabilidad.</w:t>
      </w:r>
      <w:r>
        <w:rPr>
          <w:rFonts w:ascii="Calibri" w:cs="Calibri" w:eastAsia="Calibri" w:hAnsi="Calibri"/>
          <w:sz w:val="21"/>
          <w:szCs w:val="21"/>
        </w:rPr>
        <w:t xml:space="preserve"> Actuación conforme a Derecho, documentada y auditable de extremo a extremo.</w:t>
      </w:r>
    </w:p>
    <w:p>
      <w:pPr>
        <w:pStyle w:val="ListParagraph"/>
        <w:numPr>
          <w:ilvl w:val="0"/>
          <w:numId w:val="2"/>
        </w:numPr>
        <w:spacing w:after="70" w:line="268"/>
      </w:pPr>
      <w:r>
        <w:rPr>
          <w:rFonts w:ascii="Calibri" w:cs="Calibri" w:eastAsia="Calibri" w:hAnsi="Calibri"/>
          <w:b/>
          <w:bCs/>
          <w:sz w:val="21"/>
          <w:szCs w:val="21"/>
        </w:rPr>
        <w:t xml:space="preserve">Explicabilidad y supervisión humana.</w:t>
      </w:r>
      <w:r>
        <w:rPr>
          <w:rFonts w:ascii="Calibri" w:cs="Calibri" w:eastAsia="Calibri" w:hAnsi="Calibri"/>
          <w:sz w:val="21"/>
          <w:szCs w:val="21"/>
        </w:rPr>
        <w:t xml:space="preserve"> Capacidad de explicar las decisiones de forma suficiente y de mantener control humano efectivo en las decisiones con impacto significativo sobre las personas.</w:t>
      </w:r>
    </w:p>
    <w:p>
      <w:pPr>
        <w:pStyle w:val="ListParagraph"/>
        <w:numPr>
          <w:ilvl w:val="0"/>
          <w:numId w:val="2"/>
        </w:numPr>
        <w:spacing w:after="70" w:line="268"/>
      </w:pPr>
      <w:r>
        <w:rPr>
          <w:rFonts w:ascii="Calibri" w:cs="Calibri" w:eastAsia="Calibri" w:hAnsi="Calibri"/>
          <w:b/>
          <w:bCs/>
          <w:sz w:val="21"/>
          <w:szCs w:val="21"/>
        </w:rPr>
        <w:t xml:space="preserve">Fiabilidad de la inteligencia artificial.</w:t>
      </w:r>
      <w:r>
        <w:rPr>
          <w:rFonts w:ascii="Calibri" w:cs="Calibri" w:eastAsia="Calibri" w:hAnsi="Calibri"/>
          <w:sz w:val="21"/>
          <w:szCs w:val="21"/>
        </w:rPr>
        <w:t xml:space="preserve"> Gestión del riesgo, calidad de los datos, robustez, exactitud y ciberseguridad, en los términos de las cláusulas que los concretan.</w:t>
      </w:r>
    </w:p>
    <w:p>
      <w:pPr>
        <w:pStyle w:val="ListParagraph"/>
        <w:numPr>
          <w:ilvl w:val="0"/>
          <w:numId w:val="2"/>
        </w:numPr>
        <w:spacing w:after="70" w:line="268"/>
      </w:pPr>
      <w:r>
        <w:rPr>
          <w:rFonts w:ascii="Calibri" w:cs="Calibri" w:eastAsia="Calibri" w:hAnsi="Calibri"/>
          <w:b/>
          <w:bCs/>
          <w:sz w:val="21"/>
          <w:szCs w:val="21"/>
        </w:rPr>
        <w:t xml:space="preserve">Minimización, seguridad y privacidad desde el diseño y por defecto.</w:t>
      </w:r>
    </w:p>
    <w:p>
      <w:pPr>
        <w:pStyle w:val="ListParagraph"/>
        <w:numPr>
          <w:ilvl w:val="0"/>
          <w:numId w:val="2"/>
        </w:numPr>
        <w:spacing w:after="70" w:line="268"/>
      </w:pPr>
      <w:r>
        <w:rPr>
          <w:rFonts w:ascii="Calibri" w:cs="Calibri" w:eastAsia="Calibri" w:hAnsi="Calibri"/>
          <w:b/>
          <w:bCs/>
          <w:sz w:val="21"/>
          <w:szCs w:val="21"/>
        </w:rPr>
        <w:t xml:space="preserve">Neutralidad tecnológica, interoperabilidad y accesibilidad universal.</w:t>
      </w:r>
    </w:p>
    <w:p>
      <w:pPr>
        <w:pStyle w:val="ListParagraph"/>
        <w:numPr>
          <w:ilvl w:val="0"/>
          <w:numId w:val="2"/>
        </w:numPr>
        <w:spacing w:after="70" w:line="268"/>
      </w:pPr>
      <w:r>
        <w:rPr>
          <w:rFonts w:ascii="Calibri" w:cs="Calibri" w:eastAsia="Calibri" w:hAnsi="Calibri"/>
          <w:b/>
          <w:bCs/>
          <w:sz w:val="21"/>
          <w:szCs w:val="21"/>
        </w:rPr>
        <w:t xml:space="preserve">No discriminación, control de sesgos, auditabilidad y reversibilidad.</w:t>
      </w:r>
    </w:p>
    <w:p>
      <w:pPr>
        <w:pStyle w:val="ListParagraph"/>
        <w:numPr>
          <w:ilvl w:val="0"/>
          <w:numId w:val="2"/>
        </w:numPr>
        <w:spacing w:after="70" w:line="268"/>
      </w:pPr>
      <w:r>
        <w:rPr>
          <w:rFonts w:ascii="Calibri" w:cs="Calibri" w:eastAsia="Calibri" w:hAnsi="Calibri"/>
          <w:b/>
          <w:bCs/>
          <w:sz w:val="21"/>
          <w:szCs w:val="21"/>
        </w:rPr>
        <w:t xml:space="preserve">Libre concurrencia, igualdad de trato, proporcionalidad y eficiencia en el uso de los fondos públicos, con plena vinculación al objeto del contrato.</w:t>
      </w:r>
    </w:p>
    <w:p>
      <w:pPr>
        <w:pStyle w:val="ListParagraph"/>
        <w:numPr>
          <w:ilvl w:val="0"/>
          <w:numId w:val="2"/>
        </w:numPr>
        <w:spacing w:after="70" w:line="268"/>
      </w:pPr>
      <w:r>
        <w:rPr>
          <w:rFonts w:ascii="Calibri" w:cs="Calibri" w:eastAsia="Calibri" w:hAnsi="Calibri"/>
          <w:b/>
          <w:bCs/>
          <w:sz w:val="21"/>
          <w:szCs w:val="21"/>
        </w:rPr>
        <w:t xml:space="preserve">Soberanía del dato y sostenibilidad.</w:t>
      </w:r>
      <w:r>
        <w:rPr>
          <w:rFonts w:ascii="Calibri" w:cs="Calibri" w:eastAsia="Calibri" w:hAnsi="Calibri"/>
          <w:sz w:val="21"/>
          <w:szCs w:val="21"/>
        </w:rPr>
        <w:t xml:space="preserve"> Control público sobre la información y eficiencia en el uso de recursos.</w:t>
      </w:r>
    </w:p>
    <w:p>
      <w:pPr>
        <w:pStyle w:val="ListParagraph"/>
        <w:numPr>
          <w:ilvl w:val="0"/>
          <w:numId w:val="2"/>
        </w:numPr>
        <w:spacing w:after="70" w:line="268"/>
      </w:pPr>
      <w:r>
        <w:rPr>
          <w:rFonts w:ascii="Calibri" w:cs="Calibri" w:eastAsia="Calibri" w:hAnsi="Calibri"/>
          <w:b/>
          <w:bCs/>
          <w:sz w:val="21"/>
          <w:szCs w:val="21"/>
        </w:rPr>
        <w:t xml:space="preserve">Separación de instrumentos</w:t>
      </w:r>
      <w:r>
        <w:rPr>
          <w:rFonts w:ascii="Calibri" w:cs="Calibri" w:eastAsia="Calibri" w:hAnsi="Calibri"/>
          <w:sz w:val="21"/>
          <w:szCs w:val="21"/>
        </w:rPr>
        <w:t xml:space="preserve"> </w:t>
      </w:r>
      <w:r>
        <w:rPr>
          <w:rFonts w:ascii="Calibri" w:cs="Calibri" w:eastAsia="Calibri" w:hAnsi="Calibri"/>
          <w:i/>
          <w:iCs/>
          <w:sz w:val="21"/>
          <w:szCs w:val="21"/>
        </w:rPr>
        <w:t xml:space="preserve">(nuevo)</w:t>
      </w:r>
      <w:r>
        <w:rPr>
          <w:rFonts w:ascii="Calibri" w:cs="Calibri" w:eastAsia="Calibri" w:hAnsi="Calibri"/>
          <w:sz w:val="21"/>
          <w:szCs w:val="21"/>
        </w:rPr>
        <w:t xml:space="preserve">. Cada exigencia se canaliza por un solo instrumento contractual y no se computa dos veces. Su desarrollo es la regla §7.3 y su instrumento de control, el Cuadro Maestro del Anexo 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§7. Las reglas de integración</w:t>
      </w:r>
    </w:p>
    <w:p>
      <w:pPr>
        <w:spacing w:after="140" w:line="276"/>
      </w:pPr>
      <w:r>
        <w:rPr>
          <w:rFonts w:ascii="Calibri" w:cs="Calibri" w:eastAsia="Calibri" w:hAnsi="Calibri"/>
          <w:sz w:val="21"/>
          <w:szCs w:val="21"/>
        </w:rPr>
        <w:t xml:space="preserve">Son el régimen interno del catálogo. Gobiernan cómo se leen y cómo se usan sus cláusulas. Las reglas 1 a 9 se aplican </w:t>
      </w:r>
      <w:r>
        <w:rPr>
          <w:rFonts w:ascii="Calibri" w:cs="Calibri" w:eastAsia="Calibri" w:hAnsi="Calibri"/>
          <w:b/>
          <w:bCs/>
          <w:sz w:val="21"/>
          <w:szCs w:val="21"/>
        </w:rPr>
        <w:t xml:space="preserve">al redactar el expediente</w:t>
      </w:r>
      <w:r>
        <w:rPr>
          <w:rFonts w:ascii="Calibri" w:cs="Calibri" w:eastAsia="Calibri" w:hAnsi="Calibri"/>
          <w:sz w:val="21"/>
          <w:szCs w:val="21"/>
        </w:rPr>
        <w:t xml:space="preserve">; la regla 10 dice cuáles de ellas hay que llevarse al pliego, y con qué texto.</w:t>
      </w:r>
    </w:p>
    <w:p>
      <w:pPr>
        <w:pStyle w:val="Heading3"/>
        <w:keepNext/>
        <w:spacing w:after="140" w:before="320"/>
      </w:pPr>
      <w:r>
        <w:rPr>
          <w:rFonts w:ascii="Georgia" w:cs="Georgia" w:eastAsia="Georgia" w:hAnsi="Georgia"/>
          <w:b/>
          <w:bCs/>
          <w:color w:val="2F5496"/>
          <w:sz w:val="22"/>
          <w:szCs w:val="22"/>
        </w:rPr>
        <w:t xml:space="preserve">7.1 Regla de ubicación</w:t>
      </w:r>
    </w:p>
    <w:p>
      <w:pPr>
        <w:spacing w:after="140" w:line="276"/>
      </w:pPr>
      <w:r>
        <w:rPr>
          <w:rFonts w:ascii="Calibri" w:cs="Calibri" w:eastAsia="Calibri" w:hAnsi="Calibri"/>
          <w:sz w:val="21"/>
          <w:szCs w:val="21"/>
        </w:rPr>
        <w:t xml:space="preserve">La cláusula de modificación prevista y las condiciones especiales de ejecución van </w:t>
      </w:r>
      <w:r>
        <w:rPr>
          <w:rFonts w:ascii="Calibri" w:cs="Calibri" w:eastAsia="Calibri" w:hAnsi="Calibri"/>
          <w:b/>
          <w:bCs/>
          <w:sz w:val="21"/>
          <w:szCs w:val="21"/>
        </w:rPr>
        <w:t xml:space="preserve">siempre al PCAP</w:t>
      </w:r>
      <w:r>
        <w:rPr>
          <w:rFonts w:ascii="Calibri" w:cs="Calibri" w:eastAsia="Calibri" w:hAnsi="Calibri"/>
          <w:sz w:val="21"/>
          <w:szCs w:val="21"/>
        </w:rPr>
        <w:t xml:space="preserve">. Su reproducción en el PPT carece de efectos y genera contradicción entre pliegos. Simétricamente, las prescripciones técnicas van al PPT.</w:t>
      </w:r>
    </w:p>
    <w:p>
      <w:pPr>
        <w:spacing w:after="140" w:line="276"/>
      </w:pPr>
      <w:r>
        <w:rPr>
          <w:rFonts w:ascii="Calibri" w:cs="Calibri" w:eastAsia="Calibri" w:hAnsi="Calibri"/>
          <w:sz w:val="21"/>
          <w:szCs w:val="21"/>
        </w:rPr>
        <w:t xml:space="preserve">Aplicación inmediata: si en un expediente ya redactado el requerimiento de adaptación tecnológica ha quedado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7.2 Regla de prevalencia funcional</w:t>
      </w:r>
    </w:p>
    <w:p>
      <w:pPr>
        <w:spacing w:after="140" w:line="276"/>
      </w:pPr>
      <w:r>
        <w:rPr>
          <w:rFonts w:ascii="Calibri" w:cs="Calibri" w:eastAsia="Calibri" w:hAnsi="Calibri"/>
          <w:sz w:val="21"/>
          <w:szCs w:val="21"/>
        </w:rPr>
        <w:t xml:space="preserve">En caso de contradicción entre una prescripción que cite un producto, marca, red, infraestructura, protocolo o metodología determinados y la formulación funcional de la misma exigencia, </w:t>
      </w:r>
      <w:r>
        <w:rPr>
          <w:rFonts w:ascii="Calibri" w:cs="Calibri" w:eastAsia="Calibri" w:hAnsi="Calibri"/>
          <w:b/>
          <w:bCs/>
          <w:sz w:val="21"/>
          <w:szCs w:val="21"/>
        </w:rPr>
        <w:t xml:space="preserve">prevalece la formulación funcional</w:t>
      </w:r>
      <w:r>
        <w:rPr>
          <w:rFonts w:ascii="Calibri" w:cs="Calibri" w:eastAsia="Calibri" w:hAnsi="Calibri"/>
          <w:sz w:val="21"/>
          <w:szCs w:val="21"/>
        </w:rPr>
        <w:t xml:space="preserve"> y la admisión de equivalentes.</w:t>
      </w:r>
    </w:p>
    <w:p>
      <w:pPr>
        <w:spacing w:after="140" w:line="276"/>
      </w:pPr>
      <w:r>
        <w:rPr>
          <w:rFonts w:ascii="Calibri" w:cs="Calibri" w:eastAsia="Calibri" w:hAnsi="Calibri"/>
          <w:sz w:val="21"/>
          <w:szCs w:val="21"/>
        </w:rPr>
        <w:t xml:space="preserve">La mención «o equivalente» debe acompañar a </w:t>
      </w:r>
      <w:r>
        <w:rPr>
          <w:rFonts w:ascii="Calibri" w:cs="Calibri" w:eastAsia="Calibri" w:hAnsi="Calibri"/>
          <w:b/>
          <w:bCs/>
          <w:sz w:val="21"/>
          <w:szCs w:val="21"/>
        </w:rPr>
        <w:t xml:space="preserve">cada referencia operativa</w:t>
      </w:r>
      <w:r>
        <w:rPr>
          <w:rFonts w:ascii="Calibri" w:cs="Calibri" w:eastAsia="Calibri" w:hAnsi="Calibri"/>
          <w:sz w:val="21"/>
          <w:szCs w:val="21"/>
        </w:rPr>
        <w:t xml:space="preserve">, no figurar una sola vez en el preámbulo. Una cláusula-paraguas no cura una prescripción concreta que después obliga, penaliza y resuelve por el nombre del producto. El Tribunal de Justicia de la Unión Europea lo ha fijado con claridad: </w:t>
      </w:r>
      <w:r>
        <w:rPr>
          <w:rFonts w:ascii="Calibri" w:cs="Calibri" w:eastAsia="Calibri" w:hAnsi="Calibri"/>
          <w:i/>
          <w:iCs/>
          <w:sz w:val="21"/>
          <w:szCs w:val="21"/>
        </w:rPr>
        <w:t xml:space="preserve">«Salvo en los casos en que la utilización de un material resulta inevitablemente del objeto del contrato, el poder adjudicador no puede exigir la utilización de un material determinado sin añadir la mención “o equivalente”»</w:t>
      </w:r>
      <w:r>
        <w:rPr>
          <w:rFonts w:ascii="Calibri" w:cs="Calibri" w:eastAsia="Calibri" w:hAnsi="Calibri"/>
          <w:sz w:val="21"/>
          <w:szCs w:val="21"/>
        </w:rPr>
        <w:t xml:space="preserve"> (sentencia de 16 de enero de 2025, </w:t>
      </w:r>
      <w:hyperlink w:history="1" r:id="rId_5qkn1f618q9pkauzz-bi">
        <w:r>
          <w:rPr>
            <w:rFonts w:ascii="Calibri" w:cs="Calibri" w:eastAsia="Calibri" w:hAnsi="Calibri"/>
            <w:color w:val="2F5496"/>
            <w:sz w:val="21"/>
            <w:szCs w:val="21"/>
            <w:u w:val="single"/>
          </w:rPr>
          <w:t xml:space="preserve">asunto C-424/23, DYKA Plastics</w:t>
        </w:r>
      </w:hyperlink>
      <w:r>
        <w:rPr>
          <w:rFonts w:ascii="Calibri" w:cs="Calibri" w:eastAsia="Calibri" w:hAnsi="Calibri"/>
          <w:sz w:val="21"/>
          <w:szCs w:val="21"/>
        </w:rPr>
        <w:t xml:space="preserve">, apartado 61); y el poder adjudicador </w:t>
      </w:r>
      <w:r>
        <w:rPr>
          <w:rFonts w:ascii="Calibri" w:cs="Calibri" w:eastAsia="Calibri" w:hAnsi="Calibri"/>
          <w:b/>
          <w:bCs/>
          <w:sz w:val="21"/>
          <w:szCs w:val="21"/>
        </w:rPr>
        <w:t xml:space="preserve">debe exigir</w:t>
      </w:r>
      <w:r>
        <w:rPr>
          <w:rFonts w:ascii="Calibri" w:cs="Calibri" w:eastAsia="Calibri" w:hAnsi="Calibri"/>
          <w:sz w:val="21"/>
          <w:szCs w:val="21"/>
        </w:rPr>
        <w:t xml:space="preserve"> que el licitador aporte la prueba de la equivalencia «ya en su oferta» (sentencia de 12 de julio de 2018, </w:t>
      </w:r>
      <w:hyperlink w:history="1" r:id="rId67dg2o44i_jfvg-ojx190">
        <w:r>
          <w:rPr>
            <w:rFonts w:ascii="Calibri" w:cs="Calibri" w:eastAsia="Calibri" w:hAnsi="Calibri"/>
            <w:color w:val="2F5496"/>
            <w:sz w:val="21"/>
            <w:szCs w:val="21"/>
            <w:u w:val="single"/>
          </w:rPr>
          <w:t xml:space="preserve">asunto C-14/17, VAR y ATM / Iveco Orecchia</w:t>
        </w:r>
      </w:hyperlink>
      <w:r>
        <w:rPr>
          <w:rFonts w:ascii="Calibri" w:cs="Calibri" w:eastAsia="Calibri" w:hAnsi="Calibri"/>
          <w:sz w:val="21"/>
          <w:szCs w:val="21"/>
        </w:rPr>
        <w:t xml:space="preserve">; el literal es el fallo). De esta segunda sentencia se advierte su encuadre, porque es la primera objeción que opondrá el letrado de un licitador: interpreta el artículo 34, apartado 8, de la Directiva 2004/17, de sectores del agua, la energía y los transportes, hoy derogada, y aquí se emplea para fundar una obligación del artículo 126.6 LCSP. De ahí que el trámite de acreditación de DT-0·v3 sea obligatorio y no facultativo.</w:t>
      </w:r>
    </w:p>
    <w:p>
      <w:pPr>
        <w:pStyle w:val="Heading3"/>
        <w:keepNext/>
        <w:spacing w:after="140" w:before="320"/>
      </w:pPr>
      <w:r>
        <w:rPr>
          <w:rFonts w:ascii="Georgia" w:cs="Georgia" w:eastAsia="Georgia" w:hAnsi="Georgia"/>
          <w:b/>
          <w:bCs/>
          <w:color w:val="2F5496"/>
          <w:sz w:val="22"/>
          <w:szCs w:val="22"/>
        </w:rPr>
        <w:t xml:space="preserve">7.3 Regla de separación de instrumentos</w:t>
      </w:r>
    </w:p>
    <w:p>
      <w:pPr>
        <w:spacing w:after="140" w:line="276"/>
      </w:pPr>
      <w:r>
        <w:rPr>
          <w:rFonts w:ascii="Calibri" w:cs="Calibri" w:eastAsia="Calibri" w:hAnsi="Calibri"/>
          <w:sz w:val="21"/>
          <w:szCs w:val="21"/>
        </w:rPr>
        <w:t xml:space="preserve">Ninguna exigencia puede computarse dos veces. Quedan prohibidas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siguientes:</w:t>
      </w:r>
    </w:p>
    <w:p>
      <w:pPr>
        <w:pStyle w:val="ListParagraph"/>
        <w:numPr>
          <w:ilvl w:val="0"/>
          <w:numId w:val="2"/>
        </w:numPr>
        <w:spacing w:after="70" w:line="268"/>
      </w:pPr>
      <w:r>
        <w:rPr>
          <w:rFonts w:ascii="Calibri" w:cs="Calibri" w:eastAsia="Calibri" w:hAnsi="Calibri"/>
          <w:b/>
          <w:bCs/>
          <w:sz w:val="21"/>
          <w:szCs w:val="21"/>
        </w:rPr>
        <w:t xml:space="preserve">Solvencia + criterio de adjudicación.</w:t>
      </w:r>
      <w:r>
        <w:rPr>
          <w:rFonts w:ascii="Calibri" w:cs="Calibri" w:eastAsia="Calibri" w:hAnsi="Calibri"/>
          <w:sz w:val="21"/>
          <w:szCs w:val="21"/>
        </w:rPr>
        <w:t xml:space="preserve"> Lo que se exige para poder licitar no se puntúa. La jurisprudencia y la doctrina son constantes en separar las características de la empresa de las de la prestación: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(TACRC, </w:t>
      </w:r>
      <w:hyperlink w:history="1" r:id="rIdrh1fbdpfnyqykubnoojdp">
        <w:r>
          <w:rPr>
            <w:rFonts w:ascii="Calibri" w:cs="Calibri" w:eastAsia="Calibri" w:hAnsi="Calibri"/>
            <w:color w:val="2F5496"/>
            <w:sz w:val="21"/>
            <w:szCs w:val="21"/>
            <w:u w:val="single"/>
          </w:rPr>
          <w:t xml:space="preserve">Resolución 1727/2021, de 2 de diciembre de 2021, recurso 1372/2021</w:t>
        </w:r>
      </w:hyperlink>
      <w:r>
        <w:rPr>
          <w:rFonts w:ascii="Calibri" w:cs="Calibri" w:eastAsia="Calibri" w:hAnsi="Calibri"/>
          <w:sz w:val="21"/>
          <w:szCs w:val="21"/>
        </w:rPr>
        <w:t xml:space="preserve">%2002-12-2021.pdf), Ayuntamiento de Cofrentes; el Tribunal anuló el pliego en ese punto).</w:t>
      </w:r>
    </w:p>
    <w:p>
      <w:pPr>
        <w:pStyle w:val="ListParagraph"/>
        <w:numPr>
          <w:ilvl w:val="0"/>
          <w:numId w:val="2"/>
        </w:numPr>
        <w:spacing w:after="70" w:line="268"/>
      </w:pPr>
      <w:r>
        <w:rPr>
          <w:rFonts w:ascii="Calibri" w:cs="Calibri" w:eastAsia="Calibri" w:hAnsi="Calibri"/>
          <w:b/>
          <w:bCs/>
          <w:sz w:val="21"/>
          <w:szCs w:val="21"/>
        </w:rPr>
        <w:t xml:space="preserve">Prescripción técnica de obligado cumplimiento + criterio de adjudicación.</w:t>
      </w:r>
      <w:r>
        <w:rPr>
          <w:rFonts w:ascii="Calibri" w:cs="Calibri" w:eastAsia="Calibri" w:hAnsi="Calibri"/>
          <w:sz w:val="21"/>
          <w:szCs w:val="21"/>
        </w:rPr>
        <w:t xml:space="preserve"> No se puntúa el cumplimiento de lo que el PPT ya impone como obligación. Si lo que se quiere puntuar es algo </w:t>
      </w:r>
      <w:r>
        <w:rPr>
          <w:rFonts w:ascii="Calibri" w:cs="Calibri" w:eastAsia="Calibri" w:hAnsi="Calibri"/>
          <w:b/>
          <w:bCs/>
          <w:sz w:val="21"/>
          <w:szCs w:val="21"/>
        </w:rPr>
        <w:t xml:space="preserve">adicional</w:t>
      </w:r>
      <w:r>
        <w:rPr>
          <w:rFonts w:ascii="Calibri" w:cs="Calibri" w:eastAsia="Calibri" w:hAnsi="Calibri"/>
          <w:sz w:val="21"/>
          <w:szCs w:val="21"/>
        </w:rPr>
        <w:t xml:space="preserve"> a lo exigido, entonces es una mejora en el sentido del artículo 145.7 LCSP y queda sujeta a los límites de ese precepto; y si no lo es, el criterio retribuye el mínimo obligatorio y es indefendible.</w:t>
      </w:r>
    </w:p>
    <w:p>
      <w:pPr>
        <w:pStyle w:val="ListParagraph"/>
        <w:numPr>
          <w:ilvl w:val="0"/>
          <w:numId w:val="2"/>
        </w:numPr>
        <w:spacing w:after="70" w:line="268"/>
      </w:pPr>
      <w:r>
        <w:rPr>
          <w:rFonts w:ascii="Calibri" w:cs="Calibri" w:eastAsia="Calibri" w:hAnsi="Calibri"/>
          <w:b/>
          <w:bCs/>
          <w:sz w:val="21"/>
          <w:szCs w:val="21"/>
        </w:rPr>
        <w:t xml:space="preserve">Criterio de adjudicación + condición especial de ejecución sobre el mismo contenido.</w:t>
      </w:r>
      <w:r>
        <w:rPr>
          <w:rFonts w:ascii="Calibri" w:cs="Calibri" w:eastAsia="Calibri" w:hAnsi="Calibri"/>
          <w:sz w:val="21"/>
          <w:szCs w:val="21"/>
        </w:rPr>
        <w:t xml:space="preserve"> Lo comprometido en la oferta y valorado se convierte en obligación por la vía del artículo 145.6 y del propio compromiso; volver a configurarlo como condición especial de ejecución valorable duplica el instrumento.</w:t>
      </w:r>
    </w:p>
    <w:p>
      <w:pPr>
        <w:spacing w:after="140" w:line="276"/>
      </w:pPr>
      <w:r>
        <w:rPr>
          <w:rFonts w:ascii="Calibri" w:cs="Calibri" w:eastAsia="Calibri" w:hAnsi="Calibri"/>
          <w:sz w:val="21"/>
          <w:szCs w:val="21"/>
        </w:rPr>
        <w:t xml:space="preserve">Instrumento de control: el </w:t>
      </w:r>
      <w:r>
        <w:rPr>
          <w:rFonts w:ascii="Calibri" w:cs="Calibri" w:eastAsia="Calibri" w:hAnsi="Calibri"/>
          <w:b/>
          <w:bCs/>
          <w:sz w:val="21"/>
          <w:szCs w:val="21"/>
        </w:rPr>
        <w:t xml:space="preserve">Cuadro Maestro del Anexo I</w:t>
      </w:r>
      <w:r>
        <w:rPr>
          <w:rFonts w:ascii="Calibri" w:cs="Calibri" w:eastAsia="Calibri" w:hAnsi="Calibri"/>
          <w:sz w:val="21"/>
          <w:szCs w:val="21"/>
        </w:rPr>
        <w:t xml:space="preserve">, en el que cada exigencia aparece una sola vez con un único instrumento —prescripción técnica, solvencia, adscripción de medios, condición especial de ejecución, criterio de adjudicación o documento de expediente—. Un expediente cuyo Cuadro Maestro tenga una exigencia con dos instrumentos no se aprueba.</w:t>
      </w:r>
    </w:p>
    <w:p>
      <w:pPr>
        <w:spacing w:after="140" w:line="276"/>
      </w:pPr>
      <w:r>
        <w:rPr>
          <w:rFonts w:ascii="Calibri" w:cs="Calibri" w:eastAsia="Calibri" w:hAnsi="Calibri"/>
          <w:sz w:val="21"/>
          <w:szCs w:val="21"/>
        </w:rPr>
        <w:t xml:space="preserve">Advertencia adicional: la falta de motivación del vínculo entre un criterio y el objeto del contrato basta por sí sola para anularlo, sin necesidad de discutir el fondo (TACRC, </w:t>
      </w:r>
      <w:hyperlink w:history="1" r:id="rIdmq2fiece8ut1rwypnapzu">
        <w:r>
          <w:rPr>
            <w:rFonts w:ascii="Calibri" w:cs="Calibri" w:eastAsia="Calibri" w:hAnsi="Calibri"/>
            <w:color w:val="2F5496"/>
            <w:sz w:val="21"/>
            <w:szCs w:val="21"/>
            <w:u w:val="single"/>
          </w:rPr>
          <w:t xml:space="preserve">Resolución 549/2020, de 17 de abril de 2020, recurso 323/2020</w:t>
        </w:r>
      </w:hyperlink>
      <w:r>
        <w:rPr>
          <w:rFonts w:ascii="Calibri" w:cs="Calibri" w:eastAsia="Calibri" w:hAnsi="Calibri"/>
          <w:sz w:val="21"/>
          <w:szCs w:val="21"/>
        </w:rPr>
        <w:t xml:space="preserve">%2017-04-2020.pdf): </w:t>
      </w:r>
      <w:r>
        <w:rPr>
          <w:rFonts w:ascii="Calibri" w:cs="Calibri" w:eastAsia="Calibri" w:hAnsi="Calibri"/>
          <w:i/>
          <w:iCs/>
          <w:sz w:val="21"/>
          <w:szCs w:val="21"/>
        </w:rPr>
        <w:t xml:space="preserve">«La falta de motivación del vínculo entre los citados sistemas y el objeto del contrato, por sí sola, produce la infracción de la norma, determinando la anulación del criterio de adjudicación»</w:t>
      </w:r>
      <w:r>
        <w:rPr>
          <w:rFonts w:ascii="Calibri" w:cs="Calibri" w:eastAsia="Calibri" w:hAnsi="Calibri"/>
          <w:sz w:val="21"/>
          <w:szCs w:val="21"/>
        </w:rPr>
        <w:t xml:space="preserve">). Ambas resoluciones se citan como doctrina general sobre criterios de adjudicación, trasladada por analogía.</w:t>
      </w:r>
    </w:p>
    <w:p>
      <w:pPr>
        <w:pStyle w:val="Heading3"/>
        <w:keepNext/>
        <w:spacing w:after="140" w:before="320"/>
      </w:pPr>
      <w:r>
        <w:rPr>
          <w:rFonts w:ascii="Georgia" w:cs="Georgia" w:eastAsia="Georgia" w:hAnsi="Georgia"/>
          <w:b/>
          <w:bCs/>
          <w:color w:val="2F5496"/>
          <w:sz w:val="22"/>
          <w:szCs w:val="22"/>
        </w:rPr>
        <w:t xml:space="preserve">7.4 Regla de agotamiento</w:t>
      </w:r>
    </w:p>
    <w:p>
      <w:pPr>
        <w:spacing w:after="140" w:line="276"/>
      </w:pPr>
      <w:r>
        <w:rPr>
          <w:rFonts w:ascii="Calibri" w:cs="Calibri" w:eastAsia="Calibri" w:hAnsi="Calibri"/>
          <w:sz w:val="21"/>
          <w:szCs w:val="21"/>
        </w:rPr>
        <w:t xml:space="preserve">Fuera del Anexo V incorporado al pliego no existe obligación de evolución tecnológica exigible al amparo de este catálogo. Lo que exceda de ese anexo se tramita por la vía de los artículos 203 y 204 LCSP, si procede, o se incorpora a la licitación siguiente.</w:t>
      </w:r>
    </w:p>
    <w:p>
      <w:pPr>
        <w:spacing w:after="140" w:line="276"/>
      </w:pPr>
      <w:r>
        <w:rPr>
          <w:rFonts w:ascii="Calibri" w:cs="Calibri" w:eastAsia="Calibri" w:hAnsi="Calibri"/>
          <w:sz w:val="21"/>
          <w:szCs w:val="21"/>
        </w:rPr>
        <w:t xml:space="preserve">Se rechaza expresamente la convivencia de un régimen abierto de anti-obsolescencia con el anexo determinado. Una obligación de contenido indeterminado sigue siendo indeterminada aunque no se le anuden penalidades: el licitador tiene que valorarla económicamente, y un recurso contra el pliego ataca la cláusula, no la penalidad.</w:t>
      </w:r>
    </w:p>
    <w:p>
      <w:pPr>
        <w:pStyle w:val="Heading3"/>
        <w:keepNext/>
        <w:spacing w:after="140" w:before="320"/>
      </w:pPr>
      <w:r>
        <w:rPr>
          <w:rFonts w:ascii="Georgia" w:cs="Georgia" w:eastAsia="Georgia" w:hAnsi="Georgia"/>
          <w:b/>
          <w:bCs/>
          <w:color w:val="2F5496"/>
          <w:sz w:val="22"/>
          <w:szCs w:val="22"/>
        </w:rPr>
        <w:t xml:space="preserve">7.5 Regla de esencialidad tasada</w:t>
      </w:r>
    </w:p>
    <w:p>
      <w:pPr>
        <w:spacing w:after="140" w:line="276"/>
      </w:pPr>
      <w:r>
        <w:rPr>
          <w:rFonts w:ascii="Calibri" w:cs="Calibri" w:eastAsia="Calibri" w:hAnsi="Calibri"/>
          <w:sz w:val="21"/>
          <w:szCs w:val="21"/>
        </w:rPr>
        <w:t xml:space="preserve">Ninguna obligación incorporada en virtud de este catálogo tiene carácter de obligación contractual esencial si no figura en la lista cerrada de ADM-6·v3. El resto de incumplimientos genera, en su caso, penalidad conforme a ADM-5·v3.</w:t>
      </w:r>
    </w:p>
    <w:p>
      <w:pPr>
        <w:spacing w:after="140" w:line="276"/>
      </w:pPr>
      <w:r>
        <w:rPr>
          <w:rFonts w:ascii="Calibri" w:cs="Calibri" w:eastAsia="Calibri" w:hAnsi="Calibri"/>
          <w:sz w:val="21"/>
          <w:szCs w:val="21"/>
        </w:rPr>
        <w:t xml:space="preserve">Precaución de redacción, de aplicación obligatoria: la cláusula de cierre </w:t>
      </w:r>
      <w:r>
        <w:rPr>
          <w:rFonts w:ascii="Calibri" w:cs="Calibri" w:eastAsia="Calibri" w:hAnsi="Calibri"/>
          <w:b/>
          <w:bCs/>
          <w:sz w:val="21"/>
          <w:szCs w:val="21"/>
        </w:rPr>
        <w:t xml:space="preserve">no puede escribirse</w:t>
      </w:r>
      <w:r>
        <w:rPr>
          <w:rFonts w:ascii="Calibri" w:cs="Calibri" w:eastAsia="Calibri" w:hAnsi="Calibri"/>
          <w:sz w:val="21"/>
          <w:szCs w:val="21"/>
        </w:rPr>
        <w:t xml:space="preserve"> como «ninguna otra obligación de este clausulado tiene carácter esencial», porque copiada al PCAP deja de decir «de este clausulado» y arrastra consigo las obligaciones que ese PCAP declara esenciales por otro título —adscripción de medios, condiciones salariales, las que la ley califica como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La redacción correcta es la del §7.10, apartado 4.</w:t>
      </w:r>
    </w:p>
    <w:p>
      <w:pPr>
        <w:spacing w:after="140" w:line="276"/>
      </w:pPr>
      <w:r>
        <w:rPr>
          <w:rFonts w:ascii="Calibri" w:cs="Calibri" w:eastAsia="Calibri" w:hAnsi="Calibri"/>
          <w:sz w:val="21"/>
          <w:szCs w:val="21"/>
        </w:rPr>
        <w:t xml:space="preserve">Precaución sustantiva: el bloque de esencialidades </w:t>
      </w:r>
      <w:r>
        <w:rPr>
          <w:rFonts w:ascii="Calibri" w:cs="Calibri" w:eastAsia="Calibri" w:hAnsi="Calibri"/>
          <w:i/>
          <w:iCs/>
          <w:sz w:val="21"/>
          <w:szCs w:val="21"/>
        </w:rPr>
        <w:t xml:space="preserve">ex lege</w:t>
      </w:r>
      <w:r>
        <w:rPr>
          <w:rFonts w:ascii="Calibri" w:cs="Calibri" w:eastAsia="Calibri" w:hAnsi="Calibri"/>
          <w:sz w:val="21"/>
          <w:szCs w:val="21"/>
        </w:rPr>
        <w:t xml:space="preserve"> </w:t>
      </w:r>
      <w:r>
        <w:rPr>
          <w:rFonts w:ascii="Calibri" w:cs="Calibri" w:eastAsia="Calibri" w:hAnsi="Calibri"/>
          <w:b/>
          <w:bCs/>
          <w:sz w:val="21"/>
          <w:szCs w:val="21"/>
        </w:rPr>
        <w:t xml:space="preserve">está condicionado a su presupuesto de hecho</w:t>
      </w:r>
      <w:r>
        <w:rPr>
          <w:rFonts w:ascii="Calibri" w:cs="Calibri" w:eastAsia="Calibri" w:hAnsi="Calibri"/>
          <w:sz w:val="21"/>
          <w:szCs w:val="21"/>
        </w:rPr>
        <w:t xml:space="preserve">. El artículo 202.1, párrafo tercero, sólo opera en los contratos cuya ejecución implique la cesión de datos por las entidades del sector público al contratista; el artículo 122.2, sólo en aquellos cuya ejecución requiera el tratamiento por el contratista de datos personales por cuenta del responsable. En un contrato sin encargo de tratamiento, ese bloque no existe, y declararlo esencial es precisamente lo que el artículo 211.1.f).2.º prohíbe.</w:t>
      </w:r>
    </w:p>
    <w:p>
      <w:pPr>
        <w:pStyle w:val="Heading3"/>
        <w:keepNext/>
        <w:spacing w:after="140" w:before="320"/>
      </w:pPr>
      <w:r>
        <w:rPr>
          <w:rFonts w:ascii="Georgia" w:cs="Georgia" w:eastAsia="Georgia" w:hAnsi="Georgia"/>
          <w:b/>
          <w:bCs/>
          <w:color w:val="2F5496"/>
          <w:sz w:val="22"/>
          <w:szCs w:val="22"/>
        </w:rPr>
        <w:t xml:space="preserve">7.6 Regla de motivación e integridad de las remisiones</w:t>
      </w:r>
    </w:p>
    <w:p>
      <w:pPr>
        <w:pStyle w:val="ListParagraph"/>
        <w:numPr>
          <w:ilvl w:val="0"/>
          <w:numId w:val="2"/>
        </w:numPr>
        <w:spacing w:after="70" w:line="268"/>
      </w:pPr>
      <w:r>
        <w:rPr>
          <w:rFonts w:ascii="Calibri" w:cs="Calibri" w:eastAsia="Calibri" w:hAnsi="Calibri"/>
          <w:sz w:val="21"/>
          <w:szCs w:val="21"/>
        </w:rPr>
        <w:t xml:space="preserve">Ninguna cláusula y ningún criterio se incorporan sin su ficha (Anexos II, III y IV). Es la regla de cierre del §1.3, con la doble vía de firma del §3.7.</w:t>
      </w:r>
    </w:p>
    <w:p>
      <w:pPr>
        <w:pStyle w:val="ListParagraph"/>
        <w:numPr>
          <w:ilvl w:val="0"/>
          <w:numId w:val="2"/>
        </w:numPr>
        <w:spacing w:after="70" w:line="268"/>
      </w:pPr>
      <w:r>
        <w:rPr>
          <w:rFonts w:ascii="Calibri" w:cs="Calibri" w:eastAsia="Calibri" w:hAnsi="Calibri"/>
          <w:sz w:val="21"/>
          <w:szCs w:val="21"/>
        </w:rPr>
        <w:t xml:space="preserve">La ficha no sustituye a la memoria justificativa del expediente (§3.8).</w:t>
      </w:r>
    </w:p>
    <w:p>
      <w:pPr>
        <w:pStyle w:val="ListParagraph"/>
        <w:numPr>
          <w:ilvl w:val="0"/>
          <w:numId w:val="2"/>
        </w:numPr>
        <w:spacing w:after="70" w:line="268"/>
      </w:pPr>
      <w:r>
        <w:rPr>
          <w:rFonts w:ascii="Calibri" w:cs="Calibri" w:eastAsia="Calibri" w:hAnsi="Calibri"/>
          <w:b/>
          <w:bCs/>
          <w:sz w:val="21"/>
          <w:szCs w:val="21"/>
        </w:rPr>
        <w:t xml:space="preserve">Depuración de menciones.</w:t>
      </w:r>
      <w:r>
        <w:rPr>
          <w:rFonts w:ascii="Calibri" w:cs="Calibri" w:eastAsia="Calibri" w:hAnsi="Calibri"/>
          <w:sz w:val="21"/>
          <w:szCs w:val="21"/>
        </w:rPr>
        <w:t xml:space="preserve"> Cuando una cláusula se marque NO APLICA, el redactor eliminará del pliego </w:t>
      </w:r>
      <w:r>
        <w:rPr>
          <w:rFonts w:ascii="Calibri" w:cs="Calibri" w:eastAsia="Calibri" w:hAnsi="Calibri"/>
          <w:b/>
          <w:bCs/>
          <w:sz w:val="21"/>
          <w:szCs w:val="21"/>
        </w:rPr>
        <w:t xml:space="preserve">todas sus menciones</w:t>
      </w:r>
      <w:r>
        <w:rPr>
          <w:rFonts w:ascii="Calibri" w:cs="Calibri" w:eastAsia="Calibri" w:hAnsi="Calibri"/>
          <w:sz w:val="21"/>
          <w:szCs w:val="21"/>
        </w:rPr>
        <w:t xml:space="preserve">, en particular las del cuadro de penalidades, la lista de obligaciones esenciales, los criterios de adjudicación, la declaración responsable y los anexos. La tabla de dependencias del Anexo VI, que es la única fuente, indica para cada cláusula qué menciones arrastra. Un pliego que penalice el incumplimiento de una cláusula que no se ha incorporado es un pliego contradictorio, y la contradicción se resuelve siempre contra el órgano de contratación.</w:t>
      </w:r>
    </w:p>
    <w:p>
      <w:pPr>
        <w:pStyle w:val="Heading3"/>
        <w:keepNext/>
        <w:spacing w:after="140" w:before="320"/>
      </w:pPr>
      <w:r>
        <w:rPr>
          <w:rFonts w:ascii="Georgia" w:cs="Georgia" w:eastAsia="Georgia" w:hAnsi="Georgia"/>
          <w:b/>
          <w:bCs/>
          <w:color w:val="2F5496"/>
          <w:sz w:val="22"/>
          <w:szCs w:val="22"/>
        </w:rPr>
        <w:t xml:space="preserve">7.7 Regla de equivalencia</w:t>
      </w:r>
    </w:p>
    <w:p>
      <w:pPr>
        <w:spacing w:after="140" w:line="276"/>
      </w:pPr>
      <w:r>
        <w:rPr>
          <w:rFonts w:ascii="Calibri" w:cs="Calibri" w:eastAsia="Calibri" w:hAnsi="Calibri"/>
          <w:sz w:val="21"/>
          <w:szCs w:val="21"/>
        </w:rPr>
        <w:t xml:space="preserve">Toda referencia a producto, marca, red, infraestructura, protocolo o metodología determinados va acompañada de «o equivalente» y del trámite de acreditación de DT-0·v3, </w:t>
      </w:r>
      <w:r>
        <w:rPr>
          <w:rFonts w:ascii="Calibri" w:cs="Calibri" w:eastAsia="Calibri" w:hAnsi="Calibri"/>
          <w:b/>
          <w:bCs/>
          <w:sz w:val="21"/>
          <w:szCs w:val="21"/>
        </w:rPr>
        <w:t xml:space="preserve">con dos excepciones tasadas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Los servicios comunes de obligada utilización</w:t>
      </w:r>
      <w:r>
        <w:rPr>
          <w:rFonts w:ascii="Calibri" w:cs="Calibri" w:eastAsia="Calibri" w:hAnsi="Calibri"/>
          <w:sz w:val="21"/>
          <w:szCs w:val="21"/>
        </w:rPr>
        <w:t xml:space="preserve"> —los que el Esquema Nacional de Interoperabilidad y la Ley 39/2015 imponen— no admiten equivalente. Añadirles «o servicios equivalentes» debilita la exigencia y permite al adjudicatario ofrecer un sustitutivo propio. La excepción está en DT-0·v3, apartado 7, y </w:t>
      </w:r>
      <w:r>
        <w:rPr>
          <w:rFonts w:ascii="Calibri" w:cs="Calibri" w:eastAsia="Calibri" w:hAnsi="Calibri"/>
          <w:b/>
          <w:bCs/>
          <w:sz w:val="21"/>
          <w:szCs w:val="21"/>
        </w:rPr>
        <w:t xml:space="preserve">la relación cerrada figura en la cláusula DT-5·v3, apartado 2</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Las normas y reglamentos técnicos nacionales de obligado cumplimiento</w:t>
      </w:r>
      <w:r>
        <w:rPr>
          <w:rFonts w:ascii="Calibri" w:cs="Calibri" w:eastAsia="Calibri" w:hAnsi="Calibri"/>
          <w:sz w:val="21"/>
          <w:szCs w:val="21"/>
        </w:rPr>
        <w:t xml:space="preserve">, que se aplican por su propia fuerza.</w:t>
      </w:r>
    </w:p>
    <w:p>
      <w:pPr>
        <w:pStyle w:val="Heading3"/>
        <w:keepNext/>
        <w:spacing w:after="140" w:before="320"/>
      </w:pPr>
      <w:r>
        <w:rPr>
          <w:rFonts w:ascii="Georgia" w:cs="Georgia" w:eastAsia="Georgia" w:hAnsi="Georgia"/>
          <w:b/>
          <w:bCs/>
          <w:color w:val="2F5496"/>
          <w:sz w:val="22"/>
          <w:szCs w:val="22"/>
        </w:rPr>
        <w:t xml:space="preserve">7.8 Regla de separabilidad</w:t>
      </w:r>
    </w:p>
    <w:p>
      <w:pPr>
        <w:spacing w:after="140" w:line="276"/>
      </w:pPr>
      <w:r>
        <w:rPr>
          <w:rFonts w:ascii="Calibri" w:cs="Calibri" w:eastAsia="Calibri" w:hAnsi="Calibri"/>
          <w:sz w:val="21"/>
          <w:szCs w:val="21"/>
        </w:rPr>
        <w:t xml:space="preserve">Se separa en dos regímenes, porque la operación no es la misma sobre una obligación que sobre un criterio de adjudicación.</w:t>
      </w:r>
    </w:p>
    <w:p>
      <w:pPr>
        <w:spacing w:after="140" w:line="276"/>
      </w:pPr>
      <w:r>
        <w:rPr>
          <w:rFonts w:ascii="Calibri" w:cs="Calibri" w:eastAsia="Calibri" w:hAnsi="Calibri"/>
          <w:b/>
          <w:bCs/>
          <w:sz w:val="21"/>
          <w:szCs w:val="21"/>
        </w:rPr>
        <w:t xml:space="preserve">a) Cláusulas y obligaciones: separabilidad sí.</w:t>
      </w:r>
      <w:r>
        <w:rPr>
          <w:rFonts w:ascii="Calibri" w:cs="Calibri" w:eastAsia="Calibri" w:hAnsi="Calibri"/>
          <w:sz w:val="21"/>
          <w:szCs w:val="21"/>
        </w:rPr>
        <w:t xml:space="preserve"> La nulidad o anulación de una cláusula o de una obligación incorporada en virtud de este catálogo no afectará a la validez de las restantes, que conservarán íntegramente su eficacia, salvo que la cláusula anulada constituya presupuesto necesario de otra, en cuyo caso decaerá también ésta. La tabla de dependencias del Anexo VI identifica esos casos.</w:t>
      </w:r>
    </w:p>
    <w:p>
      <w:pPr>
        <w:spacing w:after="140" w:line="276"/>
      </w:pPr>
      <w:r>
        <w:rPr>
          <w:rFonts w:ascii="Calibri" w:cs="Calibri" w:eastAsia="Calibri" w:hAnsi="Calibri"/>
          <w:b/>
          <w:bCs/>
          <w:sz w:val="21"/>
          <w:szCs w:val="21"/>
        </w:rPr>
        <w:t xml:space="preserve">b) Criterios de adjudicación: no hay reescalado automático.</w:t>
      </w:r>
      <w:r>
        <w:rPr>
          <w:rFonts w:ascii="Calibri" w:cs="Calibri" w:eastAsia="Calibri" w:hAnsi="Calibri"/>
          <w:sz w:val="21"/>
          <w:szCs w:val="21"/>
        </w:rPr>
        <w:t xml:space="preserve"> Está </w:t>
      </w:r>
      <w:r>
        <w:rPr>
          <w:rFonts w:ascii="Calibri" w:cs="Calibri" w:eastAsia="Calibri" w:hAnsi="Calibri"/>
          <w:b/>
          <w:bCs/>
          <w:sz w:val="21"/>
          <w:szCs w:val="21"/>
        </w:rPr>
        <w:t xml:space="preserve">prohibido</w:t>
      </w:r>
      <w:r>
        <w:rPr>
          <w:rFonts w:ascii="Calibri" w:cs="Calibri" w:eastAsia="Calibri" w:hAnsi="Calibri"/>
          <w:sz w:val="21"/>
          <w:szCs w:val="21"/>
        </w:rPr>
        <w:t xml:space="preserve"> incluir en el PCAP una cláusula que reescale proporcionalmente las ponderaciones publicadas en caso de anulación de un criterio. El artículo 146 LCSP obliga a precisar en el pliego la ponderación relativa atribuida a cada criterio; valorar las ofertas con ponderaciones distintas de las publicadas altera las reglas conocidas por los licitadores al ofertar y, además, sugiere que los pesos publicados no respondían a ninguna justificación material. Regla:</w:t>
      </w:r>
    </w:p>
    <w:p>
      <w:pPr>
        <w:pStyle w:val="ListParagraph"/>
        <w:numPr>
          <w:ilvl w:val="0"/>
          <w:numId w:val="2"/>
        </w:numPr>
        <w:spacing w:after="70" w:line="268"/>
      </w:pPr>
      <w:r>
        <w:rPr>
          <w:rFonts w:ascii="Calibri" w:cs="Calibri" w:eastAsia="Calibri" w:hAnsi="Calibri"/>
          <w:sz w:val="21"/>
          <w:szCs w:val="21"/>
        </w:rPr>
        <w:t xml:space="preserve">Cada criterio se motiva individualmente en su ficha del Anexo IV (Ficha por criterio y hoja de comprobación del baremo), de modo que su eventual caída no contamine la motivación de los demás.</w:t>
      </w:r>
    </w:p>
    <w:p>
      <w:pPr>
        <w:pStyle w:val="ListParagraph"/>
        <w:numPr>
          <w:ilvl w:val="0"/>
          <w:numId w:val="2"/>
        </w:numPr>
        <w:spacing w:after="70" w:line="268"/>
      </w:pPr>
      <w:r>
        <w:rPr>
          <w:rFonts w:ascii="Calibri" w:cs="Calibri" w:eastAsia="Calibri" w:hAnsi="Calibri"/>
          <w:sz w:val="21"/>
          <w:szCs w:val="21"/>
        </w:rPr>
        <w:t xml:space="preserve">Si un criterio es anulado, la consecuencia la determina el órgano que lo anule; el pliego no la anticipa.</w:t>
      </w:r>
    </w:p>
    <w:p>
      <w:pPr>
        <w:pStyle w:val="ListParagraph"/>
        <w:numPr>
          <w:ilvl w:val="0"/>
          <w:numId w:val="2"/>
        </w:numPr>
        <w:spacing w:after="70" w:line="268"/>
      </w:pPr>
      <w:r>
        <w:rPr>
          <w:rFonts w:ascii="Calibri" w:cs="Calibri" w:eastAsia="Calibri" w:hAnsi="Calibri"/>
          <w:sz w:val="21"/>
          <w:szCs w:val="21"/>
        </w:rPr>
        <w:t xml:space="preserve">Si el órgano de contratación quisiera, pese a todo, incorporar alguna previsión sobre los efectos de la anulación de un criterio, </w:t>
      </w:r>
      <w:r>
        <w:rPr>
          <w:rFonts w:ascii="Calibri" w:cs="Calibri" w:eastAsia="Calibri" w:hAnsi="Calibri"/>
          <w:b/>
          <w:bCs/>
          <w:sz w:val="21"/>
          <w:szCs w:val="21"/>
        </w:rPr>
        <w:t xml:space="preserve">requiere informe previo, expreso y favorable del órgano al que corresponda el informe jurídico preceptivo</w:t>
      </w:r>
      <w:r>
        <w:rPr>
          <w:rFonts w:ascii="Calibri" w:cs="Calibri" w:eastAsia="Calibri" w:hAnsi="Calibri"/>
          <w:sz w:val="21"/>
          <w:szCs w:val="21"/>
        </w:rPr>
        <w:t xml:space="preserve"> (Asesoría Jurídica en municipios de gran población; Secretaría en el régimen común), emitido </w:t>
      </w:r>
      <w:r>
        <w:rPr>
          <w:rFonts w:ascii="Calibri" w:cs="Calibri" w:eastAsia="Calibri" w:hAnsi="Calibri"/>
          <w:b/>
          <w:bCs/>
          <w:sz w:val="21"/>
          <w:szCs w:val="21"/>
        </w:rPr>
        <w:t xml:space="preserve">antes de publicar</w:t>
      </w:r>
      <w:r>
        <w:rPr>
          <w:rFonts w:ascii="Calibri" w:cs="Calibri" w:eastAsia="Calibri" w:hAnsi="Calibri"/>
          <w:sz w:val="21"/>
          <w:szCs w:val="21"/>
        </w:rPr>
        <w:t xml:space="preserve"> el pliego.</w:t>
      </w:r>
    </w:p>
    <w:p>
      <w:pPr>
        <w:pStyle w:val="Heading3"/>
        <w:keepNext/>
        <w:spacing w:after="140" w:before="320"/>
      </w:pPr>
      <w:r>
        <w:rPr>
          <w:rFonts w:ascii="Georgia" w:cs="Georgia" w:eastAsia="Georgia" w:hAnsi="Georgia"/>
          <w:b/>
          <w:bCs/>
          <w:color w:val="2F5496"/>
          <w:sz w:val="22"/>
          <w:szCs w:val="22"/>
        </w:rPr>
        <w:t xml:space="preserve">7.9 Regla de verificabilidad municipal *(nueva)*</w:t>
      </w:r>
    </w:p>
    <w:p>
      <w:pPr>
        <w:pBdr>
          <w:left w:val="single" w:color="BFBFBF" w:sz="12" w:space="8"/>
        </w:pBdr>
        <w:spacing w:after="140" w:line="264"/>
        <w:ind w:left="400"/>
      </w:pPr>
      <w:r>
        <w:rPr>
          <w:rFonts w:ascii="Georgia" w:cs="Georgia" w:eastAsia="Georgia" w:hAnsi="Georgia"/>
          <w:b/>
          <w:bCs/>
          <w:i/>
          <w:iCs/>
          <w:color w:val="595959"/>
          <w:sz w:val="20"/>
          <w:szCs w:val="20"/>
        </w:rPr>
        <w:t xml:space="preserve">No se incorpora a un pliego ninguna cláusula cuya verificación no tenga actor municipal designado por su puesto, periodicidad determinada y carga anual estimada.</w:t>
      </w:r>
    </w:p>
    <w:p>
      <w:pPr>
        <w:spacing w:after="140" w:line="276"/>
      </w:pPr>
      <w:r>
        <w:rPr>
          <w:rFonts w:ascii="Calibri" w:cs="Calibri" w:eastAsia="Calibri" w:hAnsi="Calibri"/>
          <w:sz w:val="21"/>
          <w:szCs w:val="21"/>
        </w:rPr>
        <w:t xml:space="preserve">Desarrollo:</w:t>
      </w:r>
    </w:p>
    <w:p>
      <w:pPr>
        <w:pStyle w:val="ListParagraph"/>
        <w:numPr>
          <w:ilvl w:val="0"/>
          <w:numId w:val="2"/>
        </w:numPr>
        <w:spacing w:after="70" w:line="268"/>
      </w:pPr>
      <w:r>
        <w:rPr>
          <w:rFonts w:ascii="Calibri" w:cs="Calibri" w:eastAsia="Calibri" w:hAnsi="Calibri"/>
          <w:sz w:val="21"/>
          <w:szCs w:val="21"/>
        </w:rPr>
        <w:t xml:space="preserve">La ficha del Anexo II incluye, para cada cláusula marcada, </w:t>
      </w:r>
      <w:r>
        <w:rPr>
          <w:rFonts w:ascii="Calibri" w:cs="Calibri" w:eastAsia="Calibri" w:hAnsi="Calibri"/>
          <w:b/>
          <w:bCs/>
          <w:sz w:val="21"/>
          <w:szCs w:val="21"/>
        </w:rPr>
        <w:t xml:space="preserve">seis casillas obligatorias</w:t>
      </w:r>
      <w:r>
        <w:rPr>
          <w:rFonts w:ascii="Calibri" w:cs="Calibri" w:eastAsia="Calibri" w:hAnsi="Calibri"/>
          <w:sz w:val="21"/>
          <w:szCs w:val="21"/>
        </w:rPr>
        <w:t xml:space="preserve">: (a) </w:t>
      </w:r>
      <w:r>
        <w:rPr>
          <w:rFonts w:ascii="Calibri" w:cs="Calibri" w:eastAsia="Calibri" w:hAnsi="Calibri"/>
          <w:b/>
          <w:bCs/>
          <w:sz w:val="21"/>
          <w:szCs w:val="21"/>
        </w:rPr>
        <w:t xml:space="preserve">necesidad</w:t>
      </w:r>
      <w:r>
        <w:rPr>
          <w:rFonts w:ascii="Calibri" w:cs="Calibri" w:eastAsia="Calibri" w:hAnsi="Calibri"/>
          <w:sz w:val="21"/>
          <w:szCs w:val="21"/>
        </w:rPr>
        <w:t xml:space="preserve">; (b) </w:t>
      </w:r>
      <w:r>
        <w:rPr>
          <w:rFonts w:ascii="Calibri" w:cs="Calibri" w:eastAsia="Calibri" w:hAnsi="Calibri"/>
          <w:b/>
          <w:bCs/>
          <w:sz w:val="21"/>
          <w:szCs w:val="21"/>
        </w:rPr>
        <w:t xml:space="preserve">norma o acuerdo</w:t>
      </w:r>
      <w:r>
        <w:rPr>
          <w:rFonts w:ascii="Calibri" w:cs="Calibri" w:eastAsia="Calibri" w:hAnsi="Calibri"/>
          <w:sz w:val="21"/>
          <w:szCs w:val="21"/>
        </w:rPr>
        <w:t xml:space="preserve"> que la origina; (c) </w:t>
      </w:r>
      <w:r>
        <w:rPr>
          <w:rFonts w:ascii="Calibri" w:cs="Calibri" w:eastAsia="Calibri" w:hAnsi="Calibri"/>
          <w:b/>
          <w:bCs/>
          <w:sz w:val="21"/>
          <w:szCs w:val="21"/>
        </w:rPr>
        <w:t xml:space="preserve">proporcionalidad</w:t>
      </w:r>
      <w:r>
        <w:rPr>
          <w:rFonts w:ascii="Calibri" w:cs="Calibri" w:eastAsia="Calibri" w:hAnsi="Calibri"/>
          <w:sz w:val="21"/>
          <w:szCs w:val="21"/>
        </w:rPr>
        <w:t xml:space="preserve"> respecto de este contrato; (d) </w:t>
      </w:r>
      <w:r>
        <w:rPr>
          <w:rFonts w:ascii="Calibri" w:cs="Calibri" w:eastAsia="Calibri" w:hAnsi="Calibri"/>
          <w:b/>
          <w:bCs/>
          <w:sz w:val="21"/>
          <w:szCs w:val="21"/>
        </w:rPr>
        <w:t xml:space="preserve">quién verifica</w:t>
      </w:r>
      <w:r>
        <w:rPr>
          <w:rFonts w:ascii="Calibri" w:cs="Calibri" w:eastAsia="Calibri" w:hAnsi="Calibri"/>
          <w:sz w:val="21"/>
          <w:szCs w:val="21"/>
        </w:rPr>
        <w:t xml:space="preserve"> (puesto, no persona); (e) </w:t>
      </w:r>
      <w:r>
        <w:rPr>
          <w:rFonts w:ascii="Calibri" w:cs="Calibri" w:eastAsia="Calibri" w:hAnsi="Calibri"/>
          <w:b/>
          <w:bCs/>
          <w:sz w:val="21"/>
          <w:szCs w:val="21"/>
        </w:rPr>
        <w:t xml:space="preserve">cuándo</w:t>
      </w:r>
      <w:r>
        <w:rPr>
          <w:rFonts w:ascii="Calibri" w:cs="Calibri" w:eastAsia="Calibri" w:hAnsi="Calibri"/>
          <w:sz w:val="21"/>
          <w:szCs w:val="21"/>
        </w:rPr>
        <w:t xml:space="preserve"> (periodicidad o hito); y (f) </w:t>
      </w: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informe, certificado). Marcar una cláusula sin rellenar las seis es error que anula la ficha (V.4.4).</w:t>
      </w:r>
    </w:p>
    <w:p>
      <w:pPr>
        <w:pStyle w:val="ListParagraph"/>
        <w:numPr>
          <w:ilvl w:val="0"/>
          <w:numId w:val="2"/>
        </w:numPr>
        <w:spacing w:after="70" w:line="268"/>
      </w:pPr>
      <w:r>
        <w:rPr>
          <w:rFonts w:ascii="Calibri" w:cs="Calibri" w:eastAsia="Calibri" w:hAnsi="Calibri"/>
          <w:sz w:val="21"/>
          <w:szCs w:val="21"/>
        </w:rPr>
        <w:t xml:space="preserve">Se acompaña la </w:t>
      </w:r>
      <w:r>
        <w:rPr>
          <w:rFonts w:ascii="Calibri" w:cs="Calibri" w:eastAsia="Calibri" w:hAnsi="Calibri"/>
          <w:b/>
          <w:bCs/>
          <w:sz w:val="21"/>
          <w:szCs w:val="21"/>
        </w:rPr>
        <w:t xml:space="preserve">estimación de carga anual</w:t>
      </w:r>
      <w:r>
        <w:rPr>
          <w:rFonts w:ascii="Calibri" w:cs="Calibri" w:eastAsia="Calibri" w:hAnsi="Calibri"/>
          <w:sz w:val="21"/>
          <w:szCs w:val="21"/>
        </w:rPr>
        <w:t xml:space="preserve"> de verificación del contrato, en horas por año y por puesto. Valor de referencia recomendado: si la suma supera </w:t>
      </w:r>
      <w:r>
        <w:rPr>
          <w:rFonts w:ascii="Calibri" w:cs="Calibri" w:eastAsia="Calibri" w:hAnsi="Calibri"/>
          <w:b/>
          <w:bCs/>
          <w:sz w:val="21"/>
          <w:szCs w:val="21"/>
        </w:rPr>
        <w:t xml:space="preserve">[X; se recomienda 20] horas/año</w:t>
      </w:r>
      <w:r>
        <w:rPr>
          <w:rFonts w:ascii="Calibri" w:cs="Calibri" w:eastAsia="Calibri" w:hAnsi="Calibri"/>
          <w:sz w:val="21"/>
          <w:szCs w:val="21"/>
        </w:rPr>
        <w:t xml:space="preserve"> por contrato, se reduce el número de cláusulas incorporadas o se agrupa la verificación en la comisión de seguimiento; si supera </w:t>
      </w:r>
      <w:r>
        <w:rPr>
          <w:rFonts w:ascii="Calibri" w:cs="Calibri" w:eastAsia="Calibri" w:hAnsi="Calibri"/>
          <w:b/>
          <w:bCs/>
          <w:sz w:val="21"/>
          <w:szCs w:val="21"/>
        </w:rPr>
        <w:t xml:space="preserve">[Y; se recomienda 40] horas/año</w:t>
      </w:r>
      <w:r>
        <w:rPr>
          <w:rFonts w:ascii="Calibri" w:cs="Calibri" w:eastAsia="Calibri" w:hAnsi="Calibri"/>
          <w:sz w:val="21"/>
          <w:szCs w:val="21"/>
        </w:rPr>
        <w:t xml:space="preserve">, la incorporación requiere conformidad expresa del servicio que ha de verificar. Esa conformidad es un documento propio del expediente, firmado por el jefe del servicio verificador, y como tal figura en el circuito del apartado V.2.1 y en la lista de comprobación del apartado V.10.</w:t>
      </w:r>
    </w:p>
    <w:p>
      <w:pPr>
        <w:pStyle w:val="ListParagraph"/>
        <w:numPr>
          <w:ilvl w:val="0"/>
          <w:numId w:val="2"/>
        </w:numPr>
        <w:spacing w:after="70" w:line="268"/>
      </w:pPr>
      <w:r>
        <w:rPr>
          <w:rFonts w:ascii="Calibri" w:cs="Calibri" w:eastAsia="Calibri" w:hAnsi="Calibri"/>
          <w:sz w:val="21"/>
          <w:szCs w:val="21"/>
        </w:rPr>
        <w:t xml:space="preserve">Ninguna cláusula puede declararse obligación esencial si su verificación no está asignada. </w:t>
      </w:r>
      <w:r>
        <w:rPr>
          <w:rFonts w:ascii="Calibri" w:cs="Calibri" w:eastAsia="Calibri" w:hAnsi="Calibri"/>
          <w:b/>
          <w:bCs/>
          <w:sz w:val="21"/>
          <w:szCs w:val="21"/>
        </w:rPr>
        <w:t xml:space="preserve">Crear obligaciones esenciales que nadie verifica es peor que no crearlas</w:t>
      </w:r>
      <w:r>
        <w:rPr>
          <w:rFonts w:ascii="Calibri" w:cs="Calibri" w:eastAsia="Calibri" w:hAnsi="Calibri"/>
          <w:sz w:val="21"/>
          <w:szCs w:val="21"/>
        </w:rPr>
        <w:t xml:space="preserve">: produce un incumplimiento consentido que después no se puede invocar, y es un reparo previsible en fiscalización.</w:t>
      </w:r>
    </w:p>
    <w:p>
      <w:pPr>
        <w:pStyle w:val="ListParagraph"/>
        <w:numPr>
          <w:ilvl w:val="0"/>
          <w:numId w:val="2"/>
        </w:numPr>
        <w:spacing w:after="70" w:line="268"/>
      </w:pPr>
      <w:r>
        <w:rPr>
          <w:rFonts w:ascii="Calibri" w:cs="Calibri" w:eastAsia="Calibri" w:hAnsi="Calibri"/>
          <w:sz w:val="21"/>
          <w:szCs w:val="21"/>
        </w:rPr>
        <w:t xml:space="preserve">El resultado de cada verificación se documenta. Un contrato en el que la única verificación practicada sea la del gasto no acredita el cumplimiento de ninguna de estas cláusulas.</w:t>
      </w:r>
    </w:p>
    <w:p>
      <w:pPr>
        <w:pStyle w:val="Heading3"/>
        <w:keepNext/>
        <w:spacing w:after="140" w:before="320"/>
      </w:pPr>
      <w:r>
        <w:rPr>
          <w:rFonts w:ascii="Georgia" w:cs="Georgia" w:eastAsia="Georgia" w:hAnsi="Georgia"/>
          <w:b/>
          <w:bCs/>
          <w:color w:val="2F5496"/>
          <w:sz w:val="22"/>
          <w:szCs w:val="22"/>
        </w:rPr>
        <w:t xml:space="preserve">7.10 Regla de transcripción obligatoria al pliego *(nueva)*</w:t>
      </w:r>
    </w:p>
    <w:p>
      <w:pPr>
        <w:spacing w:after="140" w:line="276"/>
      </w:pPr>
      <w:r>
        <w:rPr>
          <w:rFonts w:ascii="Calibri" w:cs="Calibri" w:eastAsia="Calibri" w:hAnsi="Calibri"/>
          <w:sz w:val="21"/>
          <w:szCs w:val="21"/>
        </w:rPr>
        <w:t xml:space="preserve">Las reglas de esta Parte I no producen efectos frente al contratista si no están en el pliego: el pliego es el que define los derechos y obligaciones de las partes. Sin esta regla, el pliego recibiría las cargas del catálogo y no sus límites.</w:t>
      </w:r>
    </w:p>
    <w:p>
      <w:pPr>
        <w:spacing w:after="140" w:line="276"/>
      </w:pPr>
      <w:r>
        <w:rPr>
          <w:rFonts w:ascii="Calibri" w:cs="Calibri" w:eastAsia="Calibri" w:hAnsi="Calibri"/>
          <w:b/>
          <w:bCs/>
          <w:sz w:val="21"/>
          <w:szCs w:val="21"/>
        </w:rPr>
        <w:t xml:space="preserve">Se transcriben obligatoriamente al PCAP</w:t>
      </w:r>
      <w:r>
        <w:rPr>
          <w:rFonts w:ascii="Calibri" w:cs="Calibri" w:eastAsia="Calibri" w:hAnsi="Calibri"/>
          <w:sz w:val="21"/>
          <w:szCs w:val="21"/>
        </w:rPr>
        <w:t xml:space="preserve">, siempre que se incorpore cualquier cláusula de este catálogo: la identificación de la versión del catálogo, la prevalencia funcional y la equivalencia (§7.2 y §7.7), el agotamiento (§7.4), la esencialidad tasada (§7.5), la separación de instrumentos en su efecto sobre la valoración (§7.3), la separabilidad de cláusulas y obligaciones (§7.8.a) y el valor interpretativo de los principios (§6).</w:t>
      </w:r>
    </w:p>
    <w:p>
      <w:pPr>
        <w:spacing w:after="140" w:line="276"/>
      </w:pPr>
      <w:r>
        <w:rPr>
          <w:rFonts w:ascii="Calibri" w:cs="Calibri" w:eastAsia="Calibri" w:hAnsi="Calibri"/>
          <w:b/>
          <w:bCs/>
          <w:sz w:val="21"/>
          <w:szCs w:val="21"/>
        </w:rPr>
        <w:t xml:space="preserve">Se transcribe obligatoriamente al PPT</w:t>
      </w:r>
      <w:r>
        <w:rPr>
          <w:rFonts w:ascii="Calibri" w:cs="Calibri" w:eastAsia="Calibri" w:hAnsi="Calibri"/>
          <w:sz w:val="21"/>
          <w:szCs w:val="21"/>
        </w:rPr>
        <w:t xml:space="preserve">: el bloque de referencias técnicas no normativas del §4.2; las definiciones del §5.2 que resulten aplicables a las cláusulas incorporadas; y el </w:t>
      </w:r>
      <w:r>
        <w:rPr>
          <w:rFonts w:ascii="Calibri" w:cs="Calibri" w:eastAsia="Calibri" w:hAnsi="Calibri"/>
          <w:b/>
          <w:bCs/>
          <w:sz w:val="21"/>
          <w:szCs w:val="21"/>
        </w:rPr>
        <w:t xml:space="preserve">extracto de vigencia normativa del Anexo XIX</w:t>
      </w:r>
      <w:r>
        <w:rPr>
          <w:rFonts w:ascii="Calibri" w:cs="Calibri" w:eastAsia="Calibri" w:hAnsi="Calibri"/>
          <w:sz w:val="21"/>
          <w:szCs w:val="21"/>
        </w:rPr>
        <w:t xml:space="preserve"> que afecte a esas cláusulas, con su fecha de corte. Este último es el «anexo de vigencia normativa de este pliego» al que remite DT-1·v3: sin transcribirlo, esas remisiones apuntan a un documento que el pliego no contiene.</w:t>
      </w:r>
    </w:p>
    <w:p>
      <w:pPr>
        <w:spacing w:after="140" w:line="276"/>
      </w:pPr>
      <w:r>
        <w:rPr>
          <w:rFonts w:ascii="Calibri" w:cs="Calibri" w:eastAsia="Calibri" w:hAnsi="Calibri"/>
          <w:b/>
          <w:bCs/>
          <w:sz w:val="21"/>
          <w:szCs w:val="21"/>
        </w:rPr>
        <w:t xml:space="preserve">Composición de los apéndices técnicos del PPT.</w:t>
      </w:r>
      <w:r>
        <w:rPr>
          <w:rFonts w:ascii="Calibri" w:cs="Calibri" w:eastAsia="Calibri" w:hAnsi="Calibri"/>
          <w:sz w:val="21"/>
          <w:szCs w:val="21"/>
        </w:rPr>
        <w:t xml:space="preserve"> DT-4·v3 exige un apéndice propio del PPT, y DT-7·v3 y DT-9·v3 comparten uno solo, porque ambas versan sobre la misma interfaz. Su número, su rótulo y su orden se rigen por el </w:t>
      </w:r>
      <w:r>
        <w:rPr>
          <w:rFonts w:ascii="Calibri" w:cs="Calibri" w:eastAsia="Calibri" w:hAnsi="Calibri"/>
          <w:b/>
          <w:bCs/>
          <w:sz w:val="21"/>
          <w:szCs w:val="21"/>
        </w:rPr>
        <w:t xml:space="preserve">Anexo XXV</w:t>
      </w:r>
      <w:r>
        <w:rPr>
          <w:rFonts w:ascii="Calibri" w:cs="Calibri" w:eastAsia="Calibri" w:hAnsi="Calibri"/>
          <w:sz w:val="21"/>
          <w:szCs w:val="21"/>
        </w:rPr>
        <w:t xml:space="preserve">; el redactor no los numera a su criterio.</w:t>
      </w:r>
    </w:p>
    <w:p>
      <w:pPr>
        <w:spacing w:after="140" w:line="276"/>
      </w:pPr>
      <w:r>
        <w:rPr>
          <w:rFonts w:ascii="Calibri" w:cs="Calibri" w:eastAsia="Calibri" w:hAnsi="Calibri"/>
          <w:b/>
          <w:bCs/>
          <w:sz w:val="21"/>
          <w:szCs w:val="21"/>
        </w:rPr>
        <w:t xml:space="preserve">No se transcriben</w:t>
      </w:r>
      <w:r>
        <w:rPr>
          <w:rFonts w:ascii="Calibri" w:cs="Calibri" w:eastAsia="Calibri" w:hAnsi="Calibri"/>
          <w:sz w:val="21"/>
          <w:szCs w:val="21"/>
        </w:rPr>
        <w:t xml:space="preserve">, por ser reglas internas del expediente: la regla de ubicación (§7.1), la regla de motivación (§7.6) y la regla de verificabilidad (§7.9), cuyo reflejo en el pliego es la designación del responsable del contrato y el régimen de seguimiento de ADM-4·v3.</w:t>
      </w:r>
    </w:p>
    <w:p>
      <w:pPr>
        <w:spacing w:after="140" w:line="276"/>
      </w:pPr>
      <w:r>
        <w:rPr>
          <w:rFonts w:ascii="Calibri" w:cs="Calibri" w:eastAsia="Calibri" w:hAnsi="Calibri"/>
          <w:sz w:val="21"/>
          <w:szCs w:val="21"/>
        </w:rPr>
        <w:t xml:space="preserve">Texto para el PCAP:</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Reglas de interpretación e integración de las cláusulas de contenido tecnológico.</w:t>
            </w:r>
          </w:p>
          <w:p>
            <w:pPr>
              <w:spacing w:after="100" w:line="264"/>
            </w:pPr>
            <w:r>
              <w:rPr>
                <w:rFonts w:ascii="Georgia" w:cs="Georgia" w:eastAsia="Georgia" w:hAnsi="Georgia"/>
                <w:b/>
                <w:bCs/>
                <w:sz w:val="20"/>
                <w:szCs w:val="20"/>
              </w:rPr>
              <w:t xml:space="preserve">1. Identificación.</w:t>
            </w:r>
            <w:r>
              <w:rPr>
                <w:rFonts w:ascii="Georgia" w:cs="Georgia" w:eastAsia="Georgia" w:hAnsi="Georgia"/>
                <w:sz w:val="20"/>
                <w:szCs w:val="20"/>
              </w:rPr>
              <w:t xml:space="preserve"> Las cláusulas de contenido tecnológico y de inteligencia artificial de este pliego y del Pliego de Prescripciones Técnicas proceden del Clausulado de Inteligencia Artificial y Deep Tech, versión 3.0, aprobado por [órgano] con fecha [fecha]. Las referencias a códigos de cláusula (DT-n·v3, ADM-n·v3) se entienden hechas a dicha versión. La aprobación de versiones posteriores del clausulado no afecta a este contrato.</w:t>
            </w:r>
          </w:p>
          <w:p>
            <w:pPr>
              <w:spacing w:after="100" w:line="264"/>
            </w:pPr>
            <w:r>
              <w:rPr>
                <w:rFonts w:ascii="Georgia" w:cs="Georgia" w:eastAsia="Georgia" w:hAnsi="Georgia"/>
                <w:b/>
                <w:bCs/>
                <w:sz w:val="20"/>
                <w:szCs w:val="20"/>
              </w:rPr>
              <w:t xml:space="preserve">2. Prevalencia funcional y equivalencia.</w:t>
            </w:r>
            <w:r>
              <w:rPr>
                <w:rFonts w:ascii="Georgia" w:cs="Georgia" w:eastAsia="Georgia" w:hAnsi="Georgia"/>
                <w:sz w:val="20"/>
                <w:szCs w:val="20"/>
              </w:rPr>
              <w:t xml:space="preserve"> Las prescripciones técnicas de este contrato se formulan en términos de rendimiento y de exigencias funcionales. Cuando este pliego o el de prescripciones técnicas mencionen un producto, marca, red, infraestructura, protocolo o metodología determinados, la mención se entiende efectuada a título ilustrativo y acompañada de la expresión «o equivalente». En caso de contradicción entre esa mención y la formulación funcional de la misma exigencia, prevalece la formulación funcional. El licitador que oferte una solución equivalente deberá acreditarlo en su oferta, por cualquier medio adecuado, conforme a los artículos 126.8 y 128.2 de la Ley 9/2017, de 8 de noviembre; el órgano de contratación motivará por escrito, en su caso, el rechazo de la equivalencia. Se exceptúan de esta regla los servicios comunes de obligada utilización relacionados en la cláusula [DT-5·v3], apartado 2, del Pliego de Prescripciones Técnicas, que no admiten solución equivalente, y las normas y reglamentos técnicos de obligado cumplimiento.</w:t>
            </w:r>
          </w:p>
          <w:p>
            <w:pPr>
              <w:spacing w:after="100" w:line="264"/>
            </w:pPr>
            <w:r>
              <w:rPr>
                <w:rFonts w:ascii="Georgia" w:cs="Georgia" w:eastAsia="Georgia" w:hAnsi="Georgia"/>
                <w:b/>
                <w:bCs/>
                <w:sz w:val="20"/>
                <w:szCs w:val="20"/>
              </w:rPr>
              <w:t xml:space="preserve">3. Alcance de las obligaciones de evolución tecnológica.</w:t>
            </w:r>
            <w:r>
              <w:rPr>
                <w:rFonts w:ascii="Georgia" w:cs="Georgia" w:eastAsia="Georgia" w:hAnsi="Georgia"/>
                <w:sz w:val="20"/>
                <w:szCs w:val="20"/>
              </w:rPr>
              <w:t xml:space="preserve"> Las obligaciones de evolución tecnológica del contratista se agotan en las exigencias relacionadas en el Anexo [V] del Pliego de Prescripciones Técnicas, en los plazos y con los criterios de aceptación que en él se establecen, y en la puesta a disposición de las versiones sucesoras del producto contratado. Fuera de dichas exigencias no existe obligación de incorporar tecnologías, funcionalidades o prestaciones distintas al amparo de este contrato. Toda ampliación se tramitará conforme a los artículos 203 y 204 de la Ley 9/2017 o se incorporará a una licitación posterior.</w:t>
            </w:r>
          </w:p>
          <w:p>
            <w:pPr>
              <w:spacing w:after="100" w:line="264"/>
            </w:pPr>
            <w:r>
              <w:rPr>
                <w:rFonts w:ascii="Georgia" w:cs="Georgia" w:eastAsia="Georgia" w:hAnsi="Georgia"/>
                <w:b/>
                <w:bCs/>
                <w:sz w:val="20"/>
                <w:szCs w:val="20"/>
              </w:rPr>
              <w:t xml:space="preserve">4. Obligaciones esenciales.</w:t>
            </w:r>
            <w:r>
              <w:rPr>
                <w:rFonts w:ascii="Georgia" w:cs="Georgia" w:eastAsia="Georgia" w:hAnsi="Georgia"/>
                <w:sz w:val="20"/>
                <w:szCs w:val="20"/>
              </w:rPr>
              <w:t xml:space="preserve"> Únicamente tienen el carácter de obligación contractual esencial, a los efectos de la letra f) del apartado 1 del artículo 211 de la Ley 9/2017, los incumplimientos enumerados de manera expresa en la cláusula [ADM-6·v3] de este pliego. Ninguna otra de las obligaciones incorporadas en virtud del clausulado identificado en el apartado 1 tiene carácter esencial. Lo anterior se entiende sin perjuicio de las demás obligaciones que este pliego califique expresamente como esenciales por otro título y de las que deban ser calificadas como tales por mandato legal.</w:t>
            </w:r>
          </w:p>
          <w:p>
            <w:pPr>
              <w:spacing w:after="100" w:line="264"/>
            </w:pPr>
            <w:r>
              <w:rPr>
                <w:rFonts w:ascii="Georgia" w:cs="Georgia" w:eastAsia="Georgia" w:hAnsi="Georgia"/>
                <w:b/>
                <w:bCs/>
                <w:sz w:val="20"/>
                <w:szCs w:val="20"/>
              </w:rPr>
              <w:t xml:space="preserve">5. Separación de instrumentos.</w:t>
            </w:r>
            <w:r>
              <w:rPr>
                <w:rFonts w:ascii="Georgia" w:cs="Georgia" w:eastAsia="Georgia" w:hAnsi="Georgia"/>
                <w:sz w:val="20"/>
                <w:szCs w:val="20"/>
              </w:rPr>
              <w:t xml:space="preserve"> Las prestaciones exigidas en este contrato como prescripción técnica de obligado cumplimiento, como requisito de solvencia o como medio que el adjudicatario deba adscribir a la ejecución, no son objeto de valoración como criterio de adjudicación. Los criterios de adjudicación de este pliego valoran exclusivamente prestaciones adicionales o niveles de calidad superiores al mínimo exigido, en los términos que para cada criterio se establecen.</w:t>
            </w:r>
          </w:p>
          <w:p>
            <w:pPr>
              <w:spacing w:after="100" w:line="264"/>
            </w:pPr>
            <w:r>
              <w:rPr>
                <w:rFonts w:ascii="Georgia" w:cs="Georgia" w:eastAsia="Georgia" w:hAnsi="Georgia"/>
                <w:b/>
                <w:bCs/>
                <w:sz w:val="20"/>
                <w:szCs w:val="20"/>
              </w:rPr>
              <w:t xml:space="preserve">6. Separabilidad.</w:t>
            </w:r>
            <w:r>
              <w:rPr>
                <w:rFonts w:ascii="Georgia" w:cs="Georgia" w:eastAsia="Georgia" w:hAnsi="Georgia"/>
                <w:sz w:val="20"/>
                <w:szCs w:val="20"/>
              </w:rPr>
              <w:t xml:space="preserve"> La declaración de nulidad o la anulación de alguna de las cláusulas de contenido tecnológico de este pliego o del de prescripciones técnicas no afectará a la validez y eficacia de las restantes, salvo que la cláusula afectada constituya presupuesto necesario de otra, en cuyo caso decaerá igualmente esta última. Esta previsión no altera las ponderaciones de los criterios de adjudicación publicadas en este pliego, que no serán objeto de reescalado.</w:t>
            </w:r>
          </w:p>
          <w:p>
            <w:pPr>
              <w:spacing w:after="100" w:line="264"/>
            </w:pPr>
            <w:r>
              <w:rPr>
                <w:rFonts w:ascii="Georgia" w:cs="Georgia" w:eastAsia="Georgia" w:hAnsi="Georgia"/>
                <w:b/>
                <w:bCs/>
                <w:sz w:val="20"/>
                <w:szCs w:val="20"/>
              </w:rPr>
              <w:t xml:space="preserve">7. Valor de los principios.</w:t>
            </w:r>
            <w:r>
              <w:rPr>
                <w:rFonts w:ascii="Georgia" w:cs="Georgia" w:eastAsia="Georgia" w:hAnsi="Georgia"/>
                <w:sz w:val="20"/>
                <w:szCs w:val="20"/>
              </w:rPr>
              <w:t xml:space="preserve"> Los principios enunciados en [apartado del pliego] tienen valor interpretativo. No constituyen por sí solos obligaciones exigibles al contratista ni pueden fundar la imposición de penalidades ni la resolución del contrato. Las obligaciones del contratista son, exclusivamente, las expresamente establecidas en las cláusulas de este pliego y del Pliego de Prescripciones Técnicas.</w:t>
            </w:r>
          </w:p>
        </w:tc>
      </w:tr>
    </w:tbl>
    <w:p>
      <w:pPr>
        <w:spacing w:after="220"/>
      </w:pPr>
    </w:p>
    <w:p>
      <w:pPr>
        <w:spacing w:after="140" w:line="276"/>
      </w:pPr>
      <w:r>
        <w:rPr>
          <w:rFonts w:ascii="Calibri" w:cs="Calibri" w:eastAsia="Calibri" w:hAnsi="Calibri"/>
          <w:sz w:val="21"/>
          <w:szCs w:val="21"/>
        </w:rPr>
        <w:t xml:space="preserve">Texto para el PPT, cuando se incorpore cualquier cláusula técnica del catálogo: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Interpretación de las prescripciones técnicas de contenido tecnológico.</w:t>
            </w:r>
          </w:p>
          <w:p>
            <w:pPr>
              <w:spacing w:after="100" w:line="264"/>
            </w:pPr>
            <w:r>
              <w:rPr>
                <w:rFonts w:ascii="Georgia" w:cs="Georgia" w:eastAsia="Georgia" w:hAnsi="Georgia"/>
                <w:b/>
                <w:bCs/>
                <w:sz w:val="20"/>
                <w:szCs w:val="20"/>
              </w:rPr>
              <w:t xml:space="preserve">1.</w:t>
            </w:r>
            <w:r>
              <w:rPr>
                <w:rFonts w:ascii="Georgia" w:cs="Georgia" w:eastAsia="Georgia" w:hAnsi="Georgia"/>
                <w:sz w:val="20"/>
                <w:szCs w:val="20"/>
              </w:rPr>
              <w:t xml:space="preserve"> Las prescripciones técnicas de este pliego relativas a inteligencia artificial, automatización, interoperabilidad, seguridad, servicios de confianza y reversibilidad se formulan en términos de rendimiento y de exigencias funcionales, conforme al artículo 126.5.a) de la Ley 9/2017, de 8 de noviembre. Toda mención a un producto, marca, red, infraestructura, protocolo o metodología determinados se entiende acompañada de la expresión «o equivalente» y no constituye medio de presunción de conformidad; el cumplimiento se acredita respecto de las exigencias funcionales de la cláusula correspondiente. Se exceptúan los servicios comunes de obligada utilización relacionados en la cláusula [DT-5·v3], apartado 2, que no admiten solución equivalente.</w:t>
            </w:r>
          </w:p>
          <w:p>
            <w:pPr>
              <w:spacing w:after="100" w:line="264"/>
            </w:pPr>
            <w:r>
              <w:rPr>
                <w:rFonts w:ascii="Georgia" w:cs="Georgia" w:eastAsia="Georgia" w:hAnsi="Georgia"/>
                <w:b/>
                <w:bCs/>
                <w:sz w:val="20"/>
                <w:szCs w:val="20"/>
              </w:rPr>
              <w:t xml:space="preserve">2.</w:t>
            </w:r>
            <w:r>
              <w:rPr>
                <w:rFonts w:ascii="Georgia" w:cs="Georgia" w:eastAsia="Georgia" w:hAnsi="Georgia"/>
                <w:sz w:val="20"/>
                <w:szCs w:val="20"/>
              </w:rPr>
              <w:t xml:space="preserve"> Las definiciones aplicables a estas prescripciones son las contenidas en el apartado [ ] de este pliego. En caso de discrepancia entre una definición y el texto de una cláusula, prevalece el texto de la cláusula.</w:t>
            </w:r>
          </w:p>
          <w:p>
            <w:pPr>
              <w:spacing w:after="100" w:line="264"/>
            </w:pPr>
            <w:r>
              <w:rPr>
                <w:rFonts w:ascii="Georgia" w:cs="Georgia" w:eastAsia="Georgia" w:hAnsi="Georgia"/>
                <w:b/>
                <w:bCs/>
                <w:sz w:val="20"/>
                <w:szCs w:val="20"/>
              </w:rPr>
              <w:t xml:space="preserve">3.</w:t>
            </w:r>
            <w:r>
              <w:rPr>
                <w:rFonts w:ascii="Georgia" w:cs="Georgia" w:eastAsia="Georgia" w:hAnsi="Georgia"/>
                <w:sz w:val="20"/>
                <w:szCs w:val="20"/>
              </w:rPr>
              <w:t xml:space="preserve"> Las obligaciones de evolución tecnológica se agotan en el Anexo [V] de este pliego, que se incorpora físicamente a él con número de versión y fecha y permanece invariable durante toda la vigencia del contrato y de sus prórrogas. Las revisiones posteriores del catálogo municipal de exigencias tecnológicas no producen efectos sobre este contrato.</w:t>
            </w:r>
          </w:p>
        </w:tc>
      </w:tr>
    </w:tbl>
    <w:p>
      <w:pPr>
        <w:spacing w:after="22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§8. Parámetros de la Parte I y valores recomendados</w:t>
      </w:r>
    </w:p>
    <w:p>
      <w:pPr>
        <w:spacing w:after="140" w:line="276"/>
      </w:pPr>
      <w:r>
        <w:rPr>
          <w:rFonts w:ascii="Calibri" w:cs="Calibri" w:eastAsia="Calibri" w:hAnsi="Calibri"/>
          <w:sz w:val="21"/>
          <w:szCs w:val="21"/>
        </w:rPr>
        <w:t xml:space="preserve">Recogidos también en la tabla consolidada del Anexo X. Todos son decisión del órgano de contratación; el valor recomendado es el punto de partida, no una decisión ajena.</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En caso de discrepancia entre un valor de este cuadro y el de la cláusula correspondiente, </w:t>
      </w:r>
      <w:r>
        <w:rPr>
          <w:rFonts w:ascii="Calibri" w:cs="Calibri" w:eastAsia="Calibri" w:hAnsi="Calibri"/>
          <w:b/>
          <w:bCs/>
          <w:sz w:val="21"/>
          <w:szCs w:val="21"/>
        </w:rPr>
        <w:t xml:space="preserve">prevalece el de la cláusula</w:t>
      </w:r>
      <w:r>
        <w:rPr>
          <w:rFonts w:ascii="Calibri" w:cs="Calibri" w:eastAsia="Calibri" w:hAnsi="Calibri"/>
          <w:sz w:val="21"/>
          <w:szCs w:val="21"/>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mínimo de aplicación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Subirlo en entidades con menos capacidad de seguimiento; bajarlo si el contrato soporta un servicio crítico aunque sea de poca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vigente (216.000 € en servicios y suministros para 2026-2027, conforme al Reglamento Delegado (UE) 2025/2152, incorporado a los arts. 21.1.b) y 22.1.b) LCSP por la Orden HAC/1517/2025, de 18 de diciembre; revisar antes del 31/12/2027)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Bajarlo cuando el sistema sea de categoría ENS MEDIA o ALTA con independencia de la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acuerdo institucional y del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ejercicio, con revisión antes del cierre del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sólo si el contraste de mercado no ha variado, y haciéndolo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§5.2.d)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 desde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en sistemas cuya migración exija cierre de ejercicio o campañas periódicas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anual de verificación por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Aviso a partir de 20 horas/año; conformidad expresa del servicio verificador a partir de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Ajustarlo a la plantilla real del servicio; no al tamaño del contrato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§9. Qué cambia respecto de la versión 2.0</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Cambio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un clausulado de incorporación transversal «con independencia del área gestora» y pasa a ser catálogo de aplicación motivada, con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fórmula anterior describía el supuesto que el art. 116.4.e) LCSP no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renuncia por escrito a prometer que ningún tribunal pueda anular nada, y se declara el estado real de la doctrina con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Prometer inanulabilidad ante un órgano de control destruye la credibilidad del documento entero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intensidad con tres niveles y valores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proporcionalidad enunciada sin umbrales no es aplicable un martes por la mañana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con doce elementos a adaptar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se publica en abierto; la copia literal importa las cargas sin las defensas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Reglas para contratos menores, basados en acuerdo marco y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existían, y son la mayoría de los expedientes de un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Tres orígenes de necesidad, con la necesidad institucional aprobada por el órgano de gobierno y modelo de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tabla necesidad-norma sólo cubría un tercio del catálogo; el resto quedaba sin fundamento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Columna de exigibilidad que separa lo ya exigible de lo anticipado voluntariamente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arts. 26 y 27 del Reglamento de IA no son exigibles hoy tras el Reglamento (UE) 2026/1744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 fila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acceso de los órganos de control se reancla en el bloque de control interno; el art. 33.4.d) RD 424/2017 pasa a cita complementaria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anclaje correcto es el bloque de control interno; la explicación completa, en ADM-12·v3 y en la memoria justificativa (M1.4), que no se reproduce aquí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Doble vía de firma de la ficha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no puede firmar necesidades que no son suyas; sin esta vía, esas cláusulas no entrarían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Marco normativo separado en tres bloques; el MCP sale de la lista de normas y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presenta como medio de presunción de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126.5.c) reserva ese efecto a las especificaciones de la letra b); el MCP no pertenece a ninguna de esas categorías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Reescritas reversibilidad, obsolescencia tecnológica y solución equivalente; ISBE despojada de carga preferencial; suprimidas «Loop Engineering» y «skills / harness / loops» como definiciones operativas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Eran las cuatro definiciones que un licitador usaba como munición, y tres términos sin definición normalizada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principios pasan a tener valor expresamente interpretativo; se añade el de separación de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versión 2.0 los declaraba «exigibles y verificables», lo que convertía en obligación contractual documentos que no son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regla de separación prohíbe las tres combinaciones, no sólo solvencia +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combinación que más pliegos tumba es prescripción obligatoria +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separabilidad se parte: sí para cláusulas y obligaciones; para criterios, prohibición de reescalado automático e informe jurídico previo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Reescalar ponderaciones publicadas altera las reglas conocidas al ofertar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verificabilidad municipal, con actor, periodicidad y carga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Crear obligaciones esenciales que nadie verifica es peor que no crearlas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transcripción obligatoria, con el texto listo para copiar al PCAP y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ella, las salvaguardas se quedaban en la Parte I y el pliego recibía sólo las cargas</w:t>
            </w:r>
          </w:p>
        </w:tc>
      </w:tr>
    </w:tbl>
    <w:p>
      <w:pPr>
        <w:spacing w:after="200"/>
      </w:pP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 · CLÁUSULAS TÉCNICAS (PPT)</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Prescripciones Técnicas</w:t>
      </w:r>
      <w:r>
        <w:rPr>
          <w:rFonts w:ascii="Calibri" w:cs="Calibri" w:eastAsia="Calibri" w:hAnsi="Calibri"/>
          <w:sz w:val="21"/>
          <w:szCs w:val="21"/>
        </w:rPr>
        <w:t xml:space="preserve">. Ninguna de ellas entra en un pliego por el hecho de figurar aquí: entra cuando la Ficha de Aplicabilidad del Anexo II está cumplimentada y firmada, y cuando el Informe de Necesidad del Anexo III identifica la necesidad concreta que la cláusula satisface. En su defecto, la cláusula se marca </w:t>
      </w:r>
      <w:r>
        <w:rPr>
          <w:rFonts w:ascii="Calibri" w:cs="Calibri" w:eastAsia="Calibri" w:hAnsi="Calibri"/>
          <w:b/>
          <w:bCs/>
          <w:sz w:val="21"/>
          <w:szCs w:val="21"/>
        </w:rPr>
        <w:t xml:space="preserve">NO APLICA</w:t>
      </w:r>
      <w:r>
        <w:rPr>
          <w:rFonts w:ascii="Calibri" w:cs="Calibri" w:eastAsia="Calibri" w:hAnsi="Calibri"/>
          <w:sz w:val="21"/>
          <w:szCs w:val="21"/>
        </w:rPr>
        <w:t xml:space="preserve"> y no se copia.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II.0 · Cómo se usa esta Parte</w:t>
      </w:r>
    </w:p>
    <w:p>
      <w:pPr>
        <w:spacing w:after="140" w:line="276"/>
      </w:pPr>
      <w:r>
        <w:rPr>
          <w:rFonts w:ascii="Calibri" w:cs="Calibri" w:eastAsia="Calibri" w:hAnsi="Calibri"/>
          <w:b/>
          <w:bCs/>
          <w:sz w:val="21"/>
          <w:szCs w:val="21"/>
        </w:rPr>
        <w:t xml:space="preserve">Qué se copia y qué no.</w:t>
      </w:r>
      <w:r>
        <w:rPr>
          <w:rFonts w:ascii="Calibri" w:cs="Calibri" w:eastAsia="Calibri" w:hAnsi="Calibri"/>
          <w:sz w:val="21"/>
          <w:szCs w:val="21"/>
        </w:rPr>
        <w:t xml:space="preserve"> Cada cláusula tiene siete epígrafes fijos. Sólo el primero contiene texto de pliego, y ese texto va dentro de un bloque delimitado así:</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sz w:val="20"/>
                <w:szCs w:val="20"/>
              </w:rPr>
              <w:t xml:space="preserve">Texto literal que se copia al PPT.</w:t>
            </w:r>
          </w:p>
        </w:tc>
      </w:tr>
    </w:tbl>
    <w:p>
      <w:pPr>
        <w:spacing w:after="220"/>
      </w:pPr>
    </w:p>
    <w:p>
      <w:pPr>
        <w:spacing w:after="140" w:line="276"/>
      </w:pPr>
      <w:r>
        <w:rPr>
          <w:rFonts w:ascii="Calibri" w:cs="Calibri" w:eastAsia="Calibri" w:hAnsi="Calibri"/>
          <w:sz w:val="21"/>
          <w:szCs w:val="21"/>
        </w:rPr>
        <w:t xml:space="preserve">Todo lo que queda fuera del bloque —motivo, norma, riesgo, advertencias, carga de trabajo— es material de trabajo del redactor y de la memoria del expediente. </w:t>
      </w:r>
      <w:r>
        <w:rPr>
          <w:rFonts w:ascii="Calibri" w:cs="Calibri" w:eastAsia="Calibri" w:hAnsi="Calibri"/>
          <w:b/>
          <w:bCs/>
          <w:sz w:val="21"/>
          <w:szCs w:val="21"/>
        </w:rPr>
        <w:t xml:space="preserve">Nada de lo que está fuera del bloque puede acabar en un pliego.</w:t>
      </w:r>
      <w:r>
        <w:rPr>
          <w:rFonts w:ascii="Calibri" w:cs="Calibri" w:eastAsia="Calibri" w:hAnsi="Calibri"/>
          <w:sz w:val="21"/>
          <w:szCs w:val="21"/>
        </w:rPr>
        <w:t xml:space="preserve"> Ésta es la corrección material de la queja de que el clausulado anterior tenía «un grado de abstracción muy elevado»: el texto normativo y su justificación estaban mezclados en el mismo párrafo, y el redactor no sabía qué copiar.</w:t>
      </w:r>
    </w:p>
    <w:p>
      <w:pPr>
        <w:spacing w:after="140" w:line="276"/>
      </w:pPr>
      <w:r>
        <w:rPr>
          <w:rFonts w:ascii="Calibri" w:cs="Calibri" w:eastAsia="Calibri" w:hAnsi="Calibri"/>
          <w:b/>
          <w:bCs/>
          <w:sz w:val="21"/>
          <w:szCs w:val="21"/>
        </w:rPr>
        <w:t xml:space="preserve">Los siete epígrafes.</w:t>
      </w:r>
    </w:p>
    <w:p>
      <w:pPr>
        <w:pStyle w:val="ListParagraph"/>
        <w:numPr>
          <w:ilvl w:val="0"/>
          <w:numId w:val="2"/>
        </w:numPr>
        <w:spacing w:after="70" w:line="268"/>
      </w:pPr>
      <w:r>
        <w:rPr>
          <w:rFonts w:ascii="Calibri" w:cs="Calibri" w:eastAsia="Calibri" w:hAnsi="Calibri"/>
          <w:b/>
          <w:bCs/>
          <w:sz w:val="21"/>
          <w:szCs w:val="21"/>
        </w:rPr>
        <w:t xml:space="preserve">Texto para el pliego</w:t>
      </w:r>
      <w:r>
        <w:rPr>
          <w:rFonts w:ascii="Calibri" w:cs="Calibri" w:eastAsia="Calibri" w:hAnsi="Calibri"/>
          <w:sz w:val="21"/>
          <w:szCs w:val="21"/>
        </w:rPr>
        <w:t xml:space="preserve"> —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Dónde va</w:t>
      </w:r>
      <w:r>
        <w:rPr>
          <w:rFonts w:ascii="Calibri" w:cs="Calibri" w:eastAsia="Calibri" w:hAnsi="Calibri"/>
          <w:sz w:val="21"/>
          <w:szCs w:val="21"/>
        </w:rPr>
        <w:t xml:space="preserve"> — pliego y apartado.</w:t>
      </w:r>
    </w:p>
    <w:p>
      <w:pPr>
        <w:pStyle w:val="ListParagraph"/>
        <w:numPr>
          <w:ilvl w:val="0"/>
          <w:numId w:val="2"/>
        </w:numPr>
        <w:spacing w:after="70" w:line="268"/>
      </w:pPr>
      <w:r>
        <w:rPr>
          <w:rFonts w:ascii="Calibri" w:cs="Calibri" w:eastAsia="Calibri" w:hAnsi="Calibri"/>
          <w:b/>
          <w:bCs/>
          <w:sz w:val="21"/>
          <w:szCs w:val="21"/>
        </w:rPr>
        <w:t xml:space="preserve">Necesidad y norma que la impone</w:t>
      </w:r>
      <w:r>
        <w:rPr>
          <w:rFonts w:ascii="Calibri" w:cs="Calibri" w:eastAsia="Calibri" w:hAnsi="Calibri"/>
          <w:sz w:val="21"/>
          <w:szCs w:val="21"/>
        </w:rPr>
        <w:t xml:space="preserve"> — el precepto concreto, en una o dos líneas.</w:t>
      </w:r>
    </w:p>
    <w:p>
      <w:pPr>
        <w:pStyle w:val="ListParagraph"/>
        <w:numPr>
          <w:ilvl w:val="0"/>
          <w:numId w:val="2"/>
        </w:numPr>
        <w:spacing w:after="70" w:line="268"/>
      </w:pPr>
      <w:r>
        <w:rPr>
          <w:rFonts w:ascii="Calibri" w:cs="Calibri" w:eastAsia="Calibri" w:hAnsi="Calibri"/>
          <w:b/>
          <w:bCs/>
          <w:sz w:val="21"/>
          <w:szCs w:val="21"/>
        </w:rPr>
        <w:t xml:space="preserve">Cómo se acredita</w:t>
      </w:r>
      <w:r>
        <w:rPr>
          <w:rFonts w:ascii="Calibri" w:cs="Calibri" w:eastAsia="Calibri" w:hAnsi="Calibri"/>
          <w:sz w:val="21"/>
          <w:szCs w:val="21"/>
        </w:rPr>
        <w:t xml:space="preserve"> — medios de prueba tasados.</w:t>
      </w:r>
    </w:p>
    <w:p>
      <w:pPr>
        <w:pStyle w:val="ListParagraph"/>
        <w:numPr>
          <w:ilvl w:val="0"/>
          <w:numId w:val="2"/>
        </w:numPr>
        <w:spacing w:after="70" w:line="268"/>
      </w:pPr>
      <w:r>
        <w:rPr>
          <w:rFonts w:ascii="Calibri" w:cs="Calibri" w:eastAsia="Calibri" w:hAnsi="Calibri"/>
          <w:b/>
          <w:bCs/>
          <w:sz w:val="21"/>
          <w:szCs w:val="21"/>
        </w:rPr>
        <w:t xml:space="preserve">Cómo se verifica</w:t>
      </w:r>
      <w:r>
        <w:rPr>
          <w:rFonts w:ascii="Calibri" w:cs="Calibri" w:eastAsia="Calibri" w:hAnsi="Calibri"/>
          <w:sz w:val="21"/>
          <w:szCs w:val="21"/>
        </w:rPr>
        <w:t xml:space="preserve"> — quién, cuándo, con qué documento, y carga estimada al año.</w:t>
      </w:r>
    </w:p>
    <w:p>
      <w:pPr>
        <w:pStyle w:val="ListParagraph"/>
        <w:numPr>
          <w:ilvl w:val="0"/>
          <w:numId w:val="2"/>
        </w:numPr>
        <w:spacing w:after="70" w:line="268"/>
      </w:pPr>
      <w:r>
        <w:rPr>
          <w:rFonts w:ascii="Calibri" w:cs="Calibri" w:eastAsia="Calibri" w:hAnsi="Calibri"/>
          <w:b/>
          <w:bCs/>
          <w:sz w:val="21"/>
          <w:szCs w:val="21"/>
        </w:rPr>
        <w:t xml:space="preserve">Consecuencia del incumplimiento</w:t>
      </w:r>
      <w:r>
        <w:rPr>
          <w:rFonts w:ascii="Calibri" w:cs="Calibri" w:eastAsia="Calibri" w:hAnsi="Calibri"/>
          <w:sz w:val="21"/>
          <w:szCs w:val="21"/>
        </w:rPr>
        <w:t xml:space="preserve"> — penalidad tipificada y si es obligación esencial, SÍ o NO.</w:t>
      </w:r>
    </w:p>
    <w:p>
      <w:pPr>
        <w:pStyle w:val="ListParagraph"/>
        <w:numPr>
          <w:ilvl w:val="0"/>
          <w:numId w:val="2"/>
        </w:numPr>
        <w:spacing w:after="70" w:line="268"/>
      </w:pPr>
      <w:r>
        <w:rPr>
          <w:rFonts w:ascii="Calibri" w:cs="Calibri" w:eastAsia="Calibri" w:hAnsi="Calibri"/>
          <w:b/>
          <w:bCs/>
          <w:sz w:val="21"/>
          <w:szCs w:val="21"/>
        </w:rPr>
        <w:t xml:space="preserve">Cuándo NO se aplica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Los corchetes.</w:t>
      </w:r>
      <w:r>
        <w:rPr>
          <w:rFonts w:ascii="Calibri" w:cs="Calibri" w:eastAsia="Calibri" w:hAnsi="Calibri"/>
          <w:sz w:val="21"/>
          <w:szCs w:val="21"/>
        </w:rPr>
        <w:t xml:space="preserve"> Todo valor que fija el órgano de contratación va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12] meses</w:t>
      </w:r>
      <w:r>
        <w:rPr>
          <w:rFonts w:ascii="Calibri" w:cs="Calibri" w:eastAsia="Calibri" w:hAnsi="Calibri"/>
          <w:sz w:val="21"/>
          <w:szCs w:val="21"/>
        </w:rPr>
        <w:t xml:space="preserve">. El valor recomendado es el que debe usarse salvo que el expediente motive otro; el epígrafe correspondiente indica en qué caso conviene moverlo. Todos los corchetes de esta Parte están recogidos, con su valor por defecto, en el cuadro del apartado II.13 y en la tabla consolidada del Anexo X.</w:t>
      </w:r>
    </w:p>
    <w:p>
      <w:pPr>
        <w:spacing w:after="140" w:line="276"/>
      </w:pPr>
      <w:r>
        <w:rPr>
          <w:rFonts w:ascii="Calibri" w:cs="Calibri" w:eastAsia="Calibri" w:hAnsi="Calibri"/>
          <w:b/>
          <w:bCs/>
          <w:sz w:val="21"/>
          <w:szCs w:val="21"/>
        </w:rPr>
        <w:t xml:space="preserve">Las penalidades no las impone esta Parte.</w:t>
      </w:r>
      <w:r>
        <w:rPr>
          <w:rFonts w:ascii="Calibri" w:cs="Calibri" w:eastAsia="Calibri" w:hAnsi="Calibri"/>
          <w:sz w:val="21"/>
          <w:szCs w:val="21"/>
        </w:rPr>
        <w:t xml:space="preserve"> El epígrafe 6 de cada cláusula tipifica </w:t>
      </w:r>
      <w:r>
        <w:rPr>
          <w:rFonts w:ascii="Calibri" w:cs="Calibri" w:eastAsia="Calibri" w:hAnsi="Calibri"/>
          <w:b/>
          <w:bCs/>
          <w:sz w:val="21"/>
          <w:szCs w:val="21"/>
        </w:rPr>
        <w:t xml:space="preserve">hechos verificables</w:t>
      </w:r>
      <w:r>
        <w:rPr>
          <w:rFonts w:ascii="Calibri" w:cs="Calibri" w:eastAsia="Calibri" w:hAnsi="Calibri"/>
          <w:sz w:val="21"/>
          <w:szCs w:val="21"/>
        </w:rPr>
        <w:t xml:space="preserve">, no penalidades. La penalidad la impone el cuadro de la cláusula ADM-5·v3, que es texto del pliego de cláusulas administrativas particulares y cuyo apartado 3 enumera los incumplimientos sancionables con la palabra «exclusivamente»; la esencialidad, cuando procede, la declara la lista cerrada de ADM-6·v3. </w:t>
      </w:r>
      <w:r>
        <w:rPr>
          <w:rFonts w:ascii="Calibri" w:cs="Calibri" w:eastAsia="Calibri" w:hAnsi="Calibri"/>
          <w:b/>
          <w:bCs/>
          <w:sz w:val="21"/>
          <w:szCs w:val="21"/>
        </w:rPr>
        <w:t xml:space="preserve">Un hecho tipificado aquí y no codificado allí no genera penalidad alguna.</w:t>
      </w:r>
      <w:r>
        <w:rPr>
          <w:rFonts w:ascii="Calibri" w:cs="Calibri" w:eastAsia="Calibri" w:hAnsi="Calibri"/>
          <w:sz w:val="21"/>
          <w:szCs w:val="21"/>
        </w:rPr>
        <w:t xml:space="preserve"> Por eso cada tabla del epígrafe 6 va precedida de la advertencia correspondiente: lo que esta Parte entrega es el hecho redactado de forma verificable, para que ADM-5·v3 lo recoja con su código.</w:t>
      </w:r>
    </w:p>
    <w:p>
      <w:pPr>
        <w:spacing w:after="140" w:line="276"/>
      </w:pPr>
      <w:r>
        <w:rPr>
          <w:rFonts w:ascii="Calibri" w:cs="Calibri" w:eastAsia="Calibri" w:hAnsi="Calibri"/>
          <w:b/>
          <w:bCs/>
          <w:sz w:val="21"/>
          <w:szCs w:val="21"/>
        </w:rPr>
        <w:t xml:space="preserve">Los modelos de acta.</w:t>
      </w:r>
      <w:r>
        <w:rPr>
          <w:rFonts w:ascii="Calibri" w:cs="Calibri" w:eastAsia="Calibri" w:hAnsi="Calibri"/>
          <w:sz w:val="21"/>
          <w:szCs w:val="21"/>
        </w:rPr>
        <w:t xml:space="preserve"> Los epígrafes 4 y 5 convierten el acta en el medio de acreditación tasado de casi todas estas obligaciones. Los modelos que esta Parte emplea —aceptación, ensayo de reversibilidad, reversión y diligencia de acceso de los órganos de control y exportación— están en el </w:t>
      </w:r>
      <w:r>
        <w:rPr>
          <w:rFonts w:ascii="Calibri" w:cs="Calibri" w:eastAsia="Calibri" w:hAnsi="Calibri"/>
          <w:b/>
          <w:bCs/>
          <w:sz w:val="21"/>
          <w:szCs w:val="21"/>
        </w:rPr>
        <w:t xml:space="preserve">Anexo XVIII</w:t>
      </w:r>
      <w:r>
        <w:rPr>
          <w:rFonts w:ascii="Calibri" w:cs="Calibri" w:eastAsia="Calibri" w:hAnsi="Calibri"/>
          <w:sz w:val="21"/>
          <w:szCs w:val="21"/>
        </w:rPr>
        <w:t xml:space="preserve"> y se cumplimentan sin alterar sus columnas. Un acta que no recoja el resultado de todos los extremos comprobados no acredita nada.</w:t>
      </w:r>
    </w:p>
    <w:p>
      <w:pPr>
        <w:spacing w:after="140" w:line="276"/>
      </w:pPr>
      <w:r>
        <w:rPr>
          <w:rFonts w:ascii="Calibri" w:cs="Calibri" w:eastAsia="Calibri" w:hAnsi="Calibri"/>
          <w:b/>
          <w:bCs/>
          <w:sz w:val="21"/>
          <w:szCs w:val="21"/>
        </w:rPr>
        <w:t xml:space="preserve">Los apéndices técnicos del PPT.</w:t>
      </w:r>
      <w:r>
        <w:rPr>
          <w:rFonts w:ascii="Calibri" w:cs="Calibri" w:eastAsia="Calibri" w:hAnsi="Calibri"/>
          <w:sz w:val="21"/>
          <w:szCs w:val="21"/>
        </w:rPr>
        <w:t xml:space="preserve"> Las cláusulas DT-4·v3, DT-7·v3 y DT-9·v3 exigen apéndices que se transcriben físicamente dentro del PPT: DT-4·v3 el suyo propio, y DT-7·v3 y DT-9·v3 </w:t>
      </w:r>
      <w:r>
        <w:rPr>
          <w:rFonts w:ascii="Calibri" w:cs="Calibri" w:eastAsia="Calibri" w:hAnsi="Calibri"/>
          <w:b/>
          <w:bCs/>
          <w:sz w:val="21"/>
          <w:szCs w:val="21"/>
        </w:rPr>
        <w:t xml:space="preserve">uno común</w:t>
      </w:r>
      <w:r>
        <w:rPr>
          <w:rFonts w:ascii="Calibri" w:cs="Calibri" w:eastAsia="Calibri" w:hAnsi="Calibri"/>
          <w:sz w:val="21"/>
          <w:szCs w:val="21"/>
        </w:rPr>
        <w:t xml:space="preserve">, porque ambas versan sobre la misma interfaz y dos listas cerradas sobre el mismo elemento dejan indeterminado el criterio de adjudicación que mide el exceso. La regla de composición, rotulación y numeración de esos apéndices está en el </w:t>
      </w:r>
      <w:r>
        <w:rPr>
          <w:rFonts w:ascii="Calibri" w:cs="Calibri" w:eastAsia="Calibri" w:hAnsi="Calibri"/>
          <w:b/>
          <w:bCs/>
          <w:sz w:val="21"/>
          <w:szCs w:val="21"/>
        </w:rPr>
        <w:t xml:space="preserve">Anexo XXV</w:t>
      </w:r>
      <w:r>
        <w:rPr>
          <w:rFonts w:ascii="Calibri" w:cs="Calibri" w:eastAsia="Calibri" w:hAnsi="Calibri"/>
          <w:sz w:val="21"/>
          <w:szCs w:val="21"/>
        </w:rPr>
        <w:t xml:space="preserve">; se aplica antes de rellenar ningún corchete de numeración, para que el mismo pliego no tenga dos apéndices con el mismo número.</w:t>
      </w:r>
    </w:p>
    <w:p>
      <w:pPr>
        <w:spacing w:after="140" w:line="276"/>
      </w:pPr>
      <w:r>
        <w:rPr>
          <w:rFonts w:ascii="Calibri" w:cs="Calibri" w:eastAsia="Calibri" w:hAnsi="Calibri"/>
          <w:b/>
          <w:bCs/>
          <w:sz w:val="21"/>
          <w:szCs w:val="21"/>
        </w:rPr>
        <w:t xml:space="preserve">Reutilización por otra administración.</w:t>
      </w:r>
      <w:r>
        <w:rPr>
          <w:rFonts w:ascii="Calibri" w:cs="Calibri" w:eastAsia="Calibri" w:hAnsi="Calibri"/>
          <w:sz w:val="21"/>
          <w:szCs w:val="21"/>
        </w:rPr>
        <w:t xml:space="preserve"> Las cláusulas están escritas en regla general, y Pozuelo aparece, cuando aparece, como ejemplo entre paréntesis. Lo que otra administración debe adaptar obligatoriamente antes de usar esta Parte es: la categoría de seguridad del sistema, el órgano competente en cada trámite, los umbrales económicos, el Anexo V del ejercicio y todos los corchetes. Copiar el texto sin la ficha de necesidad no traslada la protección: traslada el vicio.</w:t>
      </w:r>
    </w:p>
    <w:p>
      <w:pPr>
        <w:spacing w:after="140" w:line="276"/>
      </w:pPr>
      <w:r>
        <w:rPr>
          <w:rFonts w:ascii="Calibri" w:cs="Calibri" w:eastAsia="Calibri" w:hAnsi="Calibri"/>
          <w:b/>
          <w:bCs/>
          <w:sz w:val="21"/>
          <w:szCs w:val="21"/>
        </w:rPr>
        <w:t xml:space="preserve">Códigos.</w:t>
      </w:r>
      <w:r>
        <w:rPr>
          <w:rFonts w:ascii="Calibri" w:cs="Calibri" w:eastAsia="Calibri" w:hAnsi="Calibri"/>
          <w:sz w:val="21"/>
          <w:szCs w:val="21"/>
        </w:rPr>
        <w:t xml:space="preserve"> Se conservan los códigos del clausulado de junio de 2026 cuando la cláusula subsiste, escritos con versión: </w:t>
      </w:r>
      <w:r>
        <w:rPr>
          <w:rFonts w:ascii="Calibri" w:cs="Calibri" w:eastAsia="Calibri" w:hAnsi="Calibri"/>
          <w:color w:val="2F5496"/>
          <w:sz w:val="21"/>
          <w:szCs w:val="21"/>
        </w:rPr>
        <w:t xml:space="preserve">DT-6·v3</w:t>
      </w:r>
      <w:r>
        <w:rPr>
          <w:rFonts w:ascii="Calibri" w:cs="Calibri" w:eastAsia="Calibri" w:hAnsi="Calibri"/>
          <w:sz w:val="21"/>
          <w:szCs w:val="21"/>
        </w:rPr>
        <w:t xml:space="preserve">. Los expedientes que ya citan </w:t>
      </w:r>
      <w:r>
        <w:rPr>
          <w:rFonts w:ascii="Calibri" w:cs="Calibri" w:eastAsia="Calibri" w:hAnsi="Calibri"/>
          <w:color w:val="2F5496"/>
          <w:sz w:val="21"/>
          <w:szCs w:val="21"/>
        </w:rPr>
        <w:t xml:space="preserve">DT-6</w:t>
      </w:r>
      <w:r>
        <w:rPr>
          <w:rFonts w:ascii="Calibri" w:cs="Calibri" w:eastAsia="Calibri" w:hAnsi="Calibri"/>
          <w:sz w:val="21"/>
          <w:szCs w:val="21"/>
        </w:rPr>
        <w:t xml:space="preserve"> sin versión se refieren al texto anterior, cuyo contenido es distinto. </w:t>
      </w:r>
      <w:r>
        <w:rPr>
          <w:rFonts w:ascii="Calibri" w:cs="Calibri" w:eastAsia="Calibri" w:hAnsi="Calibri"/>
          <w:color w:val="2F5496"/>
          <w:sz w:val="21"/>
          <w:szCs w:val="21"/>
        </w:rPr>
        <w:t xml:space="preserve">DT-0·v3</w:t>
      </w:r>
      <w:r>
        <w:rPr>
          <w:rFonts w:ascii="Calibri" w:cs="Calibri" w:eastAsia="Calibri" w:hAnsi="Calibri"/>
          <w:sz w:val="21"/>
          <w:szCs w:val="21"/>
        </w:rPr>
        <w:t xml:space="preserve">,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DT-9·v3</w:t>
      </w:r>
      <w:r>
        <w:rPr>
          <w:rFonts w:ascii="Calibri" w:cs="Calibri" w:eastAsia="Calibri" w:hAnsi="Calibri"/>
          <w:sz w:val="21"/>
          <w:szCs w:val="21"/>
        </w:rPr>
        <w:t xml:space="preserve"> no tienen correspondencia en la versión anterior. La tabla de correspondencias completa está en el Anexo XII.</w:t>
      </w:r>
    </w:p>
    <w:p>
      <w:pPr>
        <w:spacing w:after="140" w:line="276"/>
      </w:pPr>
      <w:r>
        <w:rPr>
          <w:rFonts w:ascii="Calibri" w:cs="Calibri" w:eastAsia="Calibri" w:hAnsi="Calibri"/>
          <w:b/>
          <w:bCs/>
          <w:sz w:val="21"/>
          <w:szCs w:val="21"/>
        </w:rPr>
        <w:t xml:space="preserve">Cuadro de las diez cláusulas.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ser esencial?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SIEMPRE</w:t>
            </w:r>
            <w:r>
              <w:rPr>
                <w:rFonts w:ascii="Calibri" w:cs="Calibri" w:eastAsia="Calibri" w:hAnsi="Calibri"/>
                <w:b w:val="false"/>
                <w:bCs w:val="false"/>
                <w:sz w:val="18"/>
                <w:szCs w:val="18"/>
              </w:rPr>
              <w:t xml:space="preserve"> que el PPT cite un estándar, red, protocolo, producto o metodología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interpretación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la solución incorpora o va a incorporar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el bloque de protección de datos </w:t>
            </w:r>
            <w:r>
              <w:rPr>
                <w:rFonts w:ascii="Calibri" w:cs="Calibri" w:eastAsia="Calibri" w:hAnsi="Calibri"/>
                <w:b w:val="false"/>
                <w:bCs w:val="false"/>
                <w:i/>
                <w:iCs/>
                <w:sz w:val="18"/>
                <w:szCs w:val="18"/>
              </w:rPr>
              <w:t xml:space="preserve">ex lege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lista cerrada de procesos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ubicación de servidores y su subcontratación, cuando proceda (art. 122.2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condición especial de protección de datos, cuando proceda (art. 202.1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sobre los módulos identificados en 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la negativa a entregar la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Anexo V vigente y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remisión a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 · DT-0·v3 — Régimen de equivalencia y acreditación</w:t>
      </w:r>
    </w:p>
    <w:p>
      <w:pPr>
        <w:spacing w:after="140" w:line="276"/>
      </w:pPr>
      <w:r>
        <w:rPr>
          <w:rFonts w:ascii="Calibri" w:cs="Calibri" w:eastAsia="Calibri" w:hAnsi="Calibri"/>
          <w:i/>
          <w:iCs/>
          <w:sz w:val="21"/>
          <w:szCs w:val="21"/>
        </w:rPr>
        <w:t xml:space="preserve">(NUEVA. Es la laguna más grave del clausulado anterior: citaba estándares, redes y protocolos, y no decía qué es un equivalente, ni cómo se prueba, ni cómo se rechaza.)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DT-0. Régimen de equivalencia y acreditación.</w:t>
            </w:r>
          </w:p>
          <w:p>
            <w:pPr>
              <w:spacing w:after="100" w:line="264"/>
            </w:pPr>
            <w:r>
              <w:rPr>
                <w:rFonts w:ascii="Georgia" w:cs="Georgia" w:eastAsia="Georgia" w:hAnsi="Georgia"/>
                <w:b/>
                <w:bCs/>
                <w:sz w:val="20"/>
                <w:szCs w:val="20"/>
              </w:rPr>
              <w:t xml:space="preserve">1. Formulación funcional.</w:t>
            </w:r>
            <w:r>
              <w:rPr>
                <w:rFonts w:ascii="Georgia" w:cs="Georgia" w:eastAsia="Georgia" w:hAnsi="Georgia"/>
                <w:sz w:val="20"/>
                <w:szCs w:val="20"/>
              </w:rPr>
              <w:t xml:space="preserve"> Todas las prescripciones técnicas de este pliego se formulan en términos de rendimiento y de exigencias funcionales, conforme al artículo 126.5.a) de la Ley 9/2017, de 8 de noviembre, de Contratos del Sector Público (LCSP). Cuando en alguna prescripción se cite un estándar, especificación, red, infraestructura, protocolo, marca, producto o metodología determinados, la cita se efectúa </w:t>
            </w:r>
            <w:r>
              <w:rPr>
                <w:rFonts w:ascii="Georgia" w:cs="Georgia" w:eastAsia="Georgia" w:hAnsi="Georgia"/>
                <w:b/>
                <w:bCs/>
                <w:sz w:val="20"/>
                <w:szCs w:val="20"/>
              </w:rPr>
              <w:t xml:space="preserve">a título ilustrativo y no excluyente</w:t>
            </w:r>
            <w:r>
              <w:rPr>
                <w:rFonts w:ascii="Georgia" w:cs="Georgia" w:eastAsia="Georgia" w:hAnsi="Georgia"/>
                <w:sz w:val="20"/>
                <w:szCs w:val="20"/>
              </w:rPr>
              <w:t xml:space="preserve">, irá acompañada en la propia prescripción de la mención «o equivalente», y no configura por sí sola requisito alguno.</w:t>
            </w:r>
          </w:p>
          <w:p>
            <w:pPr>
              <w:spacing w:after="100" w:line="264"/>
            </w:pPr>
            <w:r>
              <w:rPr>
                <w:rFonts w:ascii="Georgia" w:cs="Georgia" w:eastAsia="Georgia" w:hAnsi="Georgia"/>
                <w:b/>
                <w:bCs/>
                <w:sz w:val="20"/>
                <w:szCs w:val="20"/>
              </w:rPr>
              <w:t xml:space="preserve">2. Prevalencia de la formulación funcional.</w:t>
            </w:r>
            <w:r>
              <w:rPr>
                <w:rFonts w:ascii="Georgia" w:cs="Georgia" w:eastAsia="Georgia" w:hAnsi="Georgia"/>
                <w:sz w:val="20"/>
                <w:szCs w:val="20"/>
              </w:rPr>
              <w:t xml:space="preserve"> En caso de contradicción entre una prescripción que cite un producto, red, infraestructura o protocolo determinados y la formulación funcional de la exigencia, prevalecerá siempre la formulación funcional y la admisión de equivalentes.</w:t>
            </w:r>
          </w:p>
          <w:p>
            <w:pPr>
              <w:spacing w:after="100" w:line="264"/>
            </w:pPr>
            <w:r>
              <w:rPr>
                <w:rFonts w:ascii="Georgia" w:cs="Georgia" w:eastAsia="Georgia" w:hAnsi="Georgia"/>
                <w:b/>
                <w:bCs/>
                <w:sz w:val="20"/>
                <w:szCs w:val="20"/>
              </w:rPr>
              <w:t xml:space="preserve">3. Definición de equivalencia.</w:t>
            </w:r>
            <w:r>
              <w:rPr>
                <w:rFonts w:ascii="Georgia" w:cs="Georgia" w:eastAsia="Georgia" w:hAnsi="Georgia"/>
                <w:sz w:val="20"/>
                <w:szCs w:val="20"/>
              </w:rPr>
              <w:t xml:space="preserve"> Se apreciará que una solución incluida en la oferta de un licitador es equivalente a la citada en este pliego cuando concurran, de forma acumulativa, las tres condiciones siguientes:</w:t>
            </w:r>
          </w:p>
          <w:p>
            <w:pPr>
              <w:spacing w:after="100" w:line="264"/>
            </w:pPr>
            <w:r>
              <w:rPr>
                <w:rFonts w:ascii="Georgia" w:cs="Georgia" w:eastAsia="Georgia" w:hAnsi="Georgia"/>
                <w:sz w:val="20"/>
                <w:szCs w:val="20"/>
              </w:rPr>
              <w:t xml:space="preserve">a) La solución ofertada puede realizar todas las funciones exigidas en la prescripción técnica correspondiente.</w:t>
            </w:r>
          </w:p>
          <w:p>
            <w:pPr>
              <w:spacing w:after="100" w:line="264"/>
            </w:pPr>
            <w:r>
              <w:rPr>
                <w:rFonts w:ascii="Georgia" w:cs="Georgia" w:eastAsia="Georgia" w:hAnsi="Georgia"/>
                <w:sz w:val="20"/>
                <w:szCs w:val="20"/>
              </w:rPr>
              <w:t xml:space="preserve">b) La solución ofertada es interoperable con los sistemas municipales afectados que este pliego identifica, y es capaz de tratar toda la información que trataría la solución citada, sin pérdida de calidad, integridad ni trazabilidad.</w:t>
            </w:r>
          </w:p>
          <w:p>
            <w:pPr>
              <w:spacing w:after="100" w:line="264"/>
            </w:pPr>
            <w:r>
              <w:rPr>
                <w:rFonts w:ascii="Georgia" w:cs="Georgia" w:eastAsia="Georgia" w:hAnsi="Georgia"/>
                <w:sz w:val="20"/>
                <w:szCs w:val="20"/>
              </w:rPr>
              <w:t xml:space="preserve">c) Los costes y esfuerzos que la implantación, configuración, puesta en marcha y operación de la solución ofertada requieran </w:t>
            </w:r>
            <w:r>
              <w:rPr>
                <w:rFonts w:ascii="Georgia" w:cs="Georgia" w:eastAsia="Georgia" w:hAnsi="Georgia"/>
                <w:b/>
                <w:bCs/>
                <w:sz w:val="20"/>
                <w:szCs w:val="20"/>
              </w:rPr>
              <w:t xml:space="preserve">del Ayuntamiento</w:t>
            </w:r>
            <w:r>
              <w:rPr>
                <w:rFonts w:ascii="Georgia" w:cs="Georgia" w:eastAsia="Georgia" w:hAnsi="Georgia"/>
                <w:sz w:val="20"/>
                <w:szCs w:val="20"/>
              </w:rPr>
              <w:t xml:space="preserve"> no exceden de los previstos en este pliego y en su presupuesto base de licitación para la implantación de la prestación. </w:t>
            </w:r>
            <w:r>
              <w:rPr>
                <w:rFonts w:ascii="Georgia" w:cs="Georgia" w:eastAsia="Georgia" w:hAnsi="Georgia"/>
                <w:i/>
                <w:iCs/>
                <w:sz w:val="20"/>
                <w:szCs w:val="20"/>
              </w:rPr>
              <w:t xml:space="preserve">No se computarán como sobrecoste ni como sobreesfuerzo los trabajos de migración, conversión de datos, integración o formación que correspondan al adjudicatario conforme a este pliego, ni los derivados de sustituir una solución preexistente, salvo que este pliego imponga expresamente la continuidad de esa solución y lo justifique en la memoria del expediente.</w:t>
            </w:r>
          </w:p>
          <w:p>
            <w:pPr>
              <w:spacing w:after="100" w:line="264"/>
            </w:pPr>
            <w:r>
              <w:rPr>
                <w:rFonts w:ascii="Georgia" w:cs="Georgia" w:eastAsia="Georgia" w:hAnsi="Georgia"/>
                <w:b/>
                <w:bCs/>
                <w:sz w:val="20"/>
                <w:szCs w:val="20"/>
              </w:rPr>
              <w:t xml:space="preserve">4. Acreditación en la oferta.</w:t>
            </w:r>
            <w:r>
              <w:rPr>
                <w:rFonts w:ascii="Georgia" w:cs="Georgia" w:eastAsia="Georgia" w:hAnsi="Georgia"/>
                <w:sz w:val="20"/>
                <w:szCs w:val="20"/>
              </w:rPr>
              <w:t xml:space="preserve"> El licitador que oferte una solución equivalente deberá aportar </w:t>
            </w:r>
            <w:r>
              <w:rPr>
                <w:rFonts w:ascii="Georgia" w:cs="Georgia" w:eastAsia="Georgia" w:hAnsi="Georgia"/>
                <w:b/>
                <w:bCs/>
                <w:sz w:val="20"/>
                <w:szCs w:val="20"/>
              </w:rPr>
              <w:t xml:space="preserve">en su propia oferta</w:t>
            </w:r>
            <w:r>
              <w:rPr>
                <w:rFonts w:ascii="Georgia" w:cs="Georgia" w:eastAsia="Georgia" w:hAnsi="Georgia"/>
                <w:sz w:val="20"/>
                <w:szCs w:val="20"/>
              </w:rPr>
              <w:t xml:space="preserve"> la prueba de la equivalencia, conforme a los artículos 126.7 y 126.8 LCSP, por cualquier medio adecuado: informe técnico del fabricante, certificado de organismo de evaluación de la conformidad, documentación técnica de la interfaz, informes de ensayo o pruebas, o los resultados de la verificación prevista en el pliego de cláusulas administrativas particulares. Se aceptarán los certificados equivalentes expedidos por organismos establecidos en cualquier Estado miembro y, cuando el licitador no tenga acceso a ellos por causa que no le sea imputable, otros medios de prueba adecuados conforme al artículo 128.2 LCSP. La prueba deberá identificar, condición por condición, cuál de las tres del apartado 3 acredita.</w:t>
            </w:r>
          </w:p>
          <w:p>
            <w:pPr>
              <w:spacing w:after="100" w:line="264"/>
            </w:pPr>
            <w:r>
              <w:rPr>
                <w:rFonts w:ascii="Georgia" w:cs="Georgia" w:eastAsia="Georgia" w:hAnsi="Georgia"/>
                <w:b/>
                <w:bCs/>
                <w:sz w:val="20"/>
                <w:szCs w:val="20"/>
              </w:rPr>
              <w:t xml:space="preserve">5. Motivación del rechazo.</w:t>
            </w:r>
            <w:r>
              <w:rPr>
                <w:rFonts w:ascii="Georgia" w:cs="Georgia" w:eastAsia="Georgia" w:hAnsi="Georgia"/>
                <w:sz w:val="20"/>
                <w:szCs w:val="20"/>
              </w:rPr>
              <w:t xml:space="preserve"> El rechazo de una solución ofertada como equivalente deberá motivarse por escrito mediante informe técnico que identifique cuál de las tres condiciones del apartado 3 no concurre y con qué prueba se sustenta. La apreciación de la equivalencia corresponde al órgano de contratación.</w:t>
            </w:r>
          </w:p>
          <w:p>
            <w:pPr>
              <w:spacing w:after="100" w:line="264"/>
            </w:pPr>
            <w:r>
              <w:rPr>
                <w:rFonts w:ascii="Georgia" w:cs="Georgia" w:eastAsia="Georgia" w:hAnsi="Georgia"/>
                <w:b/>
                <w:bCs/>
                <w:sz w:val="20"/>
                <w:szCs w:val="20"/>
              </w:rPr>
              <w:t xml:space="preserve">6. Prohibición de exigencia nominativa.</w:t>
            </w:r>
            <w:r>
              <w:rPr>
                <w:rFonts w:ascii="Georgia" w:cs="Georgia" w:eastAsia="Georgia" w:hAnsi="Georgia"/>
                <w:sz w:val="20"/>
                <w:szCs w:val="20"/>
              </w:rPr>
              <w:t xml:space="preserve"> En ningún caso podrá configurarse la utilización de un producto, red, infraestructura o protocolo nominados como requisito de admisión, como criterio de solvencia, como condición excluyente ni como criterio de adjudicación referido a su denominación. Lo que se exige y, en su caso, se valora es la capacidad funcional acreditada.</w:t>
            </w:r>
          </w:p>
          <w:p>
            <w:pPr>
              <w:spacing w:after="100" w:line="264"/>
            </w:pPr>
            <w:r>
              <w:rPr>
                <w:rFonts w:ascii="Georgia" w:cs="Georgia" w:eastAsia="Georgia" w:hAnsi="Georgia"/>
                <w:b/>
                <w:bCs/>
                <w:sz w:val="20"/>
                <w:szCs w:val="20"/>
              </w:rPr>
              <w:t xml:space="preserve">7. Excepción: plataformas y servicios comunes de utilización obligatoria.</w:t>
            </w:r>
            <w:r>
              <w:rPr>
                <w:rFonts w:ascii="Georgia" w:cs="Georgia" w:eastAsia="Georgia" w:hAnsi="Georgia"/>
                <w:sz w:val="20"/>
                <w:szCs w:val="20"/>
              </w:rPr>
              <w:t xml:space="preserve"> El régimen de equivalencia de esta cláusula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a las plataformas y servicios comunes de administración electrónica cuya utilización venga impuesta al Ayuntamiento por norma, que este pliego relaciona de forma cerrada en la cláusula DT-5, apartado 2, con indicación de la norma que impone cada uno. Respecto de ellos la integración es obligatoria y no admite sustitución por servicio propio o de tercero.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disposiciones generales, </w:t>
      </w:r>
      <w:r>
        <w:rPr>
          <w:rFonts w:ascii="Calibri" w:cs="Calibri" w:eastAsia="Calibri" w:hAnsi="Calibri"/>
          <w:b/>
          <w:bCs/>
          <w:sz w:val="21"/>
          <w:szCs w:val="21"/>
        </w:rPr>
        <w:t xml:space="preserve">antes de cualquier prescripción técnica concreta</w:t>
      </w:r>
      <w:r>
        <w:rPr>
          <w:rFonts w:ascii="Calibri" w:cs="Calibri" w:eastAsia="Calibri" w:hAnsi="Calibri"/>
          <w:sz w:val="21"/>
          <w:szCs w:val="21"/>
        </w:rPr>
        <w:t xml:space="preserve">. Es la primera cláusula del pliego técnico porque gobierna la lectura de todas las demás.</w:t>
      </w:r>
    </w:p>
    <w:p>
      <w:pPr>
        <w:spacing w:after="140" w:line="276"/>
      </w:pPr>
      <w:r>
        <w:rPr>
          <w:rFonts w:ascii="Calibri" w:cs="Calibri" w:eastAsia="Calibri" w:hAnsi="Calibri"/>
          <w:sz w:val="21"/>
          <w:szCs w:val="21"/>
        </w:rPr>
        <w:t xml:space="preserve">Debe además reproducirse una remisión en el PCAP, en el apartado de documentación técnica de la oferta, para que el trámite de acreditación del apartado 4 tenga reflejo en el sobre correspondiente: sin esa remisión, el licitador no sabe dónde presentar la prueba.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126.5 LCSP contiene una lista de formas de formular las prescripciones técnicas, y el artículo 126.6 prohíbe la referencia a marcas, patentes o tipos salvo excepción, en cuyo caso «irá acompañada de la mención "o equivalente"». El Tribunal de Justicia de la Unión Europea ha declarado que la excepción se interpreta de manera restrictiva y sólo cubre lo que se deriva </w:t>
      </w:r>
      <w:r>
        <w:rPr>
          <w:rFonts w:ascii="Calibri" w:cs="Calibri" w:eastAsia="Calibri" w:hAnsi="Calibri"/>
          <w:b/>
          <w:bCs/>
          <w:sz w:val="21"/>
          <w:szCs w:val="21"/>
        </w:rPr>
        <w:t xml:space="preserve">inevitablemente</w:t>
      </w:r>
      <w:r>
        <w:rPr>
          <w:rFonts w:ascii="Calibri" w:cs="Calibri" w:eastAsia="Calibri" w:hAnsi="Calibri"/>
          <w:sz w:val="21"/>
          <w:szCs w:val="21"/>
        </w:rPr>
        <w:t xml:space="preserve"> del objeto (STJUE de 16 de enero de 2025, asunto C-424/23, </w:t>
      </w:r>
      <w:r>
        <w:rPr>
          <w:rFonts w:ascii="Calibri" w:cs="Calibri" w:eastAsia="Calibri" w:hAnsi="Calibri"/>
          <w:i/>
          <w:iCs/>
          <w:sz w:val="21"/>
          <w:szCs w:val="21"/>
        </w:rPr>
        <w:t xml:space="preserve">DYKA Plastics NV c. Fluvius System Operator CV</w:t>
      </w:r>
      <w:r>
        <w:rPr>
          <w:rFonts w:ascii="Calibri" w:cs="Calibri" w:eastAsia="Calibri" w:hAnsi="Calibri"/>
          <w:sz w:val="21"/>
          <w:szCs w:val="21"/>
        </w:rPr>
        <w:t xml:space="preserve">, ap. 53), y que el remedio correcto es mencionar el producto añadiendo «o equivalente», lo que da al operador «la posibilidad de demostrar la equivalencia» (ap. 61). La misma jurisprudencia convierte en </w:t>
      </w:r>
      <w:r>
        <w:rPr>
          <w:rFonts w:ascii="Calibri" w:cs="Calibri" w:eastAsia="Calibri" w:hAnsi="Calibri"/>
          <w:b/>
          <w:bCs/>
          <w:sz w:val="21"/>
          <w:szCs w:val="21"/>
        </w:rPr>
        <w:t xml:space="preserve">obligación del pliego</w:t>
      </w:r>
      <w:r>
        <w:rPr>
          <w:rFonts w:ascii="Calibri" w:cs="Calibri" w:eastAsia="Calibri" w:hAnsi="Calibri"/>
          <w:sz w:val="21"/>
          <w:szCs w:val="21"/>
        </w:rPr>
        <w:t xml:space="preserve">, y no en facultad, establecer el trámite de prueba: «el poder adjudicador debe exigir que el licitador aporte, ya en su oferta, la prueba de la equivalencia» (STJUE de 12 de julio de 2018, asunto C-14/17, </w:t>
      </w:r>
      <w:r>
        <w:rPr>
          <w:rFonts w:ascii="Calibri" w:cs="Calibri" w:eastAsia="Calibri" w:hAnsi="Calibri"/>
          <w:i/>
          <w:iCs/>
          <w:sz w:val="21"/>
          <w:szCs w:val="21"/>
        </w:rPr>
        <w:t xml:space="preserve">VAR Srl y ATM c. Iveco Orecchia</w:t>
      </w:r>
      <w:r>
        <w:rPr>
          <w:rFonts w:ascii="Calibri" w:cs="Calibri" w:eastAsia="Calibri" w:hAnsi="Calibri"/>
          <w:sz w:val="21"/>
          <w:szCs w:val="21"/>
        </w:rPr>
        <w:t xml:space="preserve">, fallo). </w:t>
      </w:r>
      <w:r>
        <w:rPr>
          <w:rFonts w:ascii="Calibri" w:cs="Calibri" w:eastAsia="Calibri" w:hAnsi="Calibri"/>
          <w:b/>
          <w:bCs/>
          <w:sz w:val="21"/>
          <w:szCs w:val="21"/>
        </w:rPr>
        <w:t xml:space="preserve">Precisión obligada sobre esta última cita:</w:t>
      </w:r>
      <w:r>
        <w:rPr>
          <w:rFonts w:ascii="Calibri" w:cs="Calibri" w:eastAsia="Calibri" w:hAnsi="Calibri"/>
          <w:sz w:val="21"/>
          <w:szCs w:val="21"/>
        </w:rPr>
        <w:t xml:space="preserve"> la sentencia interpreta el artículo 34, apartado 8, de la Directiva 2004/17/CE —sectores del agua, la energía, los transportes y los servicios postales, hoy derogada— y aquí se traslada por analogía para fundar el trámite del artículo 126.6 LCSP. Conviene escribirlo, porque es la primera objeción que formulará el letrado del licitador.</w:t>
      </w:r>
    </w:p>
    <w:p>
      <w:pPr>
        <w:spacing w:after="140" w:line="276"/>
      </w:pPr>
      <w:r>
        <w:rPr>
          <w:rFonts w:ascii="Calibri" w:cs="Calibri" w:eastAsia="Calibri" w:hAnsi="Calibri"/>
          <w:sz w:val="21"/>
          <w:szCs w:val="21"/>
        </w:rPr>
        <w:t xml:space="preserve">El riesgo que esta cláusula cubre va en las dos direcciones. Un pliego es atacable por restrictivo, pero también por dejar la equivalencia indefinida: sin parámetros, cualquier rechazo de un equivalente es arbitrario, y el órgano queda con la libertad de decisión ilimitada que el artículo 145.5.b) LCSP prohíbe.</w:t>
      </w:r>
    </w:p>
    <w:p>
      <w:pPr>
        <w:spacing w:after="140" w:line="276"/>
      </w:pPr>
      <w:r>
        <w:rPr>
          <w:rFonts w:ascii="Calibri" w:cs="Calibri" w:eastAsia="Calibri" w:hAnsi="Calibri"/>
          <w:b/>
          <w:bCs/>
          <w:sz w:val="21"/>
          <w:szCs w:val="21"/>
        </w:rPr>
        <w:t xml:space="preserve">Sobre la procedencia de la definición del apartado 3 y sobre lo que no debe afirmarse.</w:t>
      </w:r>
      <w:r>
        <w:rPr>
          <w:rFonts w:ascii="Calibri" w:cs="Calibri" w:eastAsia="Calibri" w:hAnsi="Calibri"/>
          <w:sz w:val="21"/>
          <w:szCs w:val="21"/>
        </w:rPr>
        <w:t xml:space="preserve"> La estructura de tres condiciones acumulativas procede del pliego de prescripciones técnicas del Sistema Dinámico de Adquisición 25/2022 de la Comunidad de Madrid, aplicado y no impugnado, y aparece reproducida en la </w:t>
      </w:r>
      <w:r>
        <w:rPr>
          <w:rFonts w:ascii="Calibri" w:cs="Calibri" w:eastAsia="Calibri" w:hAnsi="Calibri"/>
          <w:b/>
          <w:bCs/>
          <w:sz w:val="21"/>
          <w:szCs w:val="21"/>
        </w:rPr>
        <w:t xml:space="preserve">Resolución 535/2025, de 18 de diciembre de 2025, del Tribunal Administrativo de Contratación Pública de la Comunidad de Madrid (recurso 526/2025)</w:t>
      </w:r>
      <w:r>
        <w:rPr>
          <w:rFonts w:ascii="Calibri" w:cs="Calibri" w:eastAsia="Calibri" w:hAnsi="Calibri"/>
          <w:sz w:val="21"/>
          <w:szCs w:val="21"/>
        </w:rPr>
        <w:t xml:space="preserve"> — </w:t>
      </w:r>
      <w:hyperlink w:history="1" r:id="rIdq5vu6lwjtc_uuvu08zh1t">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Esa resolución es </w:t>
      </w:r>
      <w:r>
        <w:rPr>
          <w:rFonts w:ascii="Calibri" w:cs="Calibri" w:eastAsia="Calibri" w:hAnsi="Calibri"/>
          <w:b/>
          <w:bCs/>
          <w:sz w:val="21"/>
          <w:szCs w:val="21"/>
        </w:rPr>
        <w:t xml:space="preserve">desestimatoria</w:t>
      </w:r>
      <w:r>
        <w:rPr>
          <w:rFonts w:ascii="Calibri" w:cs="Calibri" w:eastAsia="Calibri" w:hAnsi="Calibri"/>
          <w:sz w:val="21"/>
          <w:szCs w:val="21"/>
        </w:rPr>
        <w:t xml:space="preserve"> y no contiene pronunciamiento alguno que declare conforme a Derecho la definición: resuelve por discrecionalidad técnica. </w:t>
      </w:r>
      <w:r>
        <w:rPr>
          <w:rFonts w:ascii="Calibri" w:cs="Calibri" w:eastAsia="Calibri" w:hAnsi="Calibri"/>
          <w:b/>
          <w:bCs/>
          <w:sz w:val="21"/>
          <w:szCs w:val="21"/>
        </w:rPr>
        <w:t xml:space="preserve">No debe escribirse, ni en el pliego ni en la memoria, que la definición esté convalidada o avalada por el Tribunal.</w:t>
      </w:r>
      <w:r>
        <w:rPr>
          <w:rFonts w:ascii="Calibri" w:cs="Calibri" w:eastAsia="Calibri" w:hAnsi="Calibri"/>
          <w:sz w:val="21"/>
          <w:szCs w:val="21"/>
        </w:rPr>
        <w:t xml:space="preserve"> Lo que la resolución sí resuelve, y sirve, es que la carga de probar la equivalencia recae sobre el licitador: «deberá ser el licitador quien demuestre que su producto o servicio es equivalente al solicitado». Es doctrina general trasladable por analogía, no doctrina sobre este clausulado, del que no existe ninguna.</w:t>
      </w:r>
    </w:p>
    <w:p>
      <w:pPr>
        <w:spacing w:after="140" w:line="276"/>
      </w:pPr>
      <w:r>
        <w:rPr>
          <w:rFonts w:ascii="Calibri" w:cs="Calibri" w:eastAsia="Calibri" w:hAnsi="Calibri"/>
          <w:b/>
          <w:bCs/>
          <w:sz w:val="21"/>
          <w:szCs w:val="21"/>
        </w:rPr>
        <w:t xml:space="preserve">Advertencia sobre la tercera condición, y por qué aquí está redactada de otro modo.</w:t>
      </w:r>
      <w:r>
        <w:rPr>
          <w:rFonts w:ascii="Calibri" w:cs="Calibri" w:eastAsia="Calibri" w:hAnsi="Calibri"/>
          <w:sz w:val="21"/>
          <w:szCs w:val="21"/>
        </w:rPr>
        <w:t xml:space="preserve"> En su formulación de origen, la tercera condición exige que la solución equivalente no suponga «ningún sobrecoste ni sobreesfuerzo con respecto al producto solicitado». Nació en un contrato de </w:t>
      </w:r>
      <w:r>
        <w:rPr>
          <w:rFonts w:ascii="Calibri" w:cs="Calibri" w:eastAsia="Calibri" w:hAnsi="Calibri"/>
          <w:b/>
          <w:bCs/>
          <w:sz w:val="21"/>
          <w:szCs w:val="21"/>
        </w:rPr>
        <w:t xml:space="preserve">continuidad de un sistema ya implantado</w:t>
      </w:r>
      <w:r>
        <w:rPr>
          <w:rFonts w:ascii="Calibri" w:cs="Calibri" w:eastAsia="Calibri" w:hAnsi="Calibri"/>
          <w:sz w:val="21"/>
          <w:szCs w:val="21"/>
        </w:rPr>
        <w:t xml:space="preserve">, y en ese contexto es razonable. Trasplantada sin más a una licitación abierta produce el efecto contrario al buscado: toda alternativa al producto de referencia implica algún esfuerzo de migración, de modo que la condición garantiza que gane el producto de referencia. Por eso el apartado 3.c) se redacta aquí midiendo el sobrecoste </w:t>
      </w:r>
      <w:r>
        <w:rPr>
          <w:rFonts w:ascii="Calibri" w:cs="Calibri" w:eastAsia="Calibri" w:hAnsi="Calibri"/>
          <w:b/>
          <w:bCs/>
          <w:sz w:val="21"/>
          <w:szCs w:val="21"/>
        </w:rPr>
        <w:t xml:space="preserve">respecto de lo que el propio pliego prevé y presupuesta</w:t>
      </w:r>
      <w:r>
        <w:rPr>
          <w:rFonts w:ascii="Calibri" w:cs="Calibri" w:eastAsia="Calibri" w:hAnsi="Calibri"/>
          <w:sz w:val="21"/>
          <w:szCs w:val="21"/>
        </w:rPr>
        <w:t xml:space="preserve">, y excluyendo expresamente del cómputo los trabajos que corresponden al adjudicatario. La versión de origen sólo puede utilizarse cuando el objeto sea la continuidad o ampliación de un sistema ya implantado y la memoria del expediente lo justifique; en ese caso, sustitúyase la letra c) por: «</w:t>
      </w:r>
      <w:r>
        <w:rPr>
          <w:rFonts w:ascii="Calibri" w:cs="Calibri" w:eastAsia="Calibri" w:hAnsi="Calibri"/>
          <w:i/>
          <w:iCs/>
          <w:sz w:val="21"/>
          <w:szCs w:val="21"/>
        </w:rPr>
        <w:t xml:space="preserve">la instalación, configuración y puesta en marcha de la solución ofertada no suponen sobrecoste ni sobreesfuerzo respecto de las de la solución citada</w:t>
      </w:r>
      <w:r>
        <w:rPr>
          <w:rFonts w:ascii="Calibri" w:cs="Calibri" w:eastAsia="Calibri" w:hAnsi="Calibri"/>
          <w:sz w:val="21"/>
          <w:szCs w:val="21"/>
        </w:rPr>
        <w:t xml:space="preserve">», y hágase constar en la memoria la razón de la continuidad.</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En el momento de la oferta, y sólo por el licitador que oferte un equivalente: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del fabricante o del propio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Correspondencia función a función con las exigidas en la prescripción, firmada por técnico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organismo de evaluación de la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exista norma o esquema aplicable; se admiten los de cualquier Estado miembro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interfaces y de formatos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versión y modelo de datos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Informes de ensayo o resultados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equivalencia se refiera a rendimiento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medios adecuados (art.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licitador acredite que no tiene acceso a los anteriores por causa no imputable a él</w:t>
            </w:r>
          </w:p>
        </w:tc>
      </w:tr>
    </w:tbl>
    <w:p>
      <w:pPr>
        <w:spacing w:after="200"/>
      </w:pPr>
    </w:p>
    <w:p>
      <w:pPr>
        <w:spacing w:after="140" w:line="276"/>
      </w:pPr>
      <w:r>
        <w:rPr>
          <w:rFonts w:ascii="Calibri" w:cs="Calibri" w:eastAsia="Calibri" w:hAnsi="Calibri"/>
          <w:sz w:val="21"/>
          <w:szCs w:val="21"/>
        </w:rPr>
        <w:t xml:space="preserve">La declaración responsable no acredita equivalencia. Lo que la acredita es el documento técnico.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servicio técnico municipal proponente del PPT, en informe técnico dirigido a la mesa de contratación.</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el trámite de calificación de la documentación técnica, antes de la valoración.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técnico de apreciación de la equivalencia, que se incorpora al expediente y se notifica motivadamente al licitador si es de rechazo.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 a ajustar por el servicio municipal)</w:t>
      </w:r>
      <w:r>
        <w:rPr>
          <w:rFonts w:ascii="Calibri" w:cs="Calibri" w:eastAsia="Calibri" w:hAnsi="Calibri"/>
          <w:sz w:val="21"/>
          <w:szCs w:val="21"/>
        </w:rPr>
        <w:t xml:space="preserve">: no genera carga en ejecución. En licitación, entre 1 y 3 horas por oferta que invoque equivalencia. En un servicio con [X; se recomienda 6] licitaciones tecnológicas al año y una media de una oferta con equivalente por licitación, entre </w:t>
      </w:r>
      <w:r>
        <w:rPr>
          <w:rFonts w:ascii="Calibri" w:cs="Calibri" w:eastAsia="Calibri" w:hAnsi="Calibri"/>
          <w:b/>
          <w:bCs/>
          <w:sz w:val="21"/>
          <w:szCs w:val="21"/>
        </w:rPr>
        <w:t xml:space="preserve">6 y 18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procede: DT-0·v3 no impone obligaciones al contratista, sino que regula cómo se leen las demás prescripciones y cómo se prueba y se rechaza una alternativa. </w:t>
      </w:r>
      <w:r>
        <w:rPr>
          <w:rFonts w:ascii="Calibri" w:cs="Calibri" w:eastAsia="Calibri" w:hAnsi="Calibri"/>
          <w:b/>
          <w:bCs/>
          <w:sz w:val="21"/>
          <w:szCs w:val="21"/>
        </w:rPr>
        <w:t xml:space="preserve">Obligación esencial: NO PROCEDE.</w:t>
      </w:r>
    </w:p>
    <w:p>
      <w:pPr>
        <w:spacing w:after="140" w:line="276"/>
      </w:pPr>
      <w:r>
        <w:rPr>
          <w:rFonts w:ascii="Calibri" w:cs="Calibri" w:eastAsia="Calibri" w:hAnsi="Calibri"/>
          <w:sz w:val="21"/>
          <w:szCs w:val="21"/>
        </w:rPr>
        <w:t xml:space="preserve">La consecuencia de no aportar la prueba del apartado 4 es la que resulta del régimen general: la oferta se valora conforme a la prescripción del pliego, y la solución alternativa no acreditada no se tiene por equivalente. Esa consecuencia debe estar escrita en el PCAP, no aquí.</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Nunca se marca NO APLICA cuando el PPT cite un estándar, red, protocolo, producto o metodología.</w:t>
      </w:r>
      <w:r>
        <w:rPr>
          <w:rFonts w:ascii="Calibri" w:cs="Calibri" w:eastAsia="Calibri" w:hAnsi="Calibri"/>
          <w:sz w:val="21"/>
          <w:szCs w:val="21"/>
        </w:rPr>
        <w:t xml:space="preserve"> Es la única cláusula de esta Parte que no admite exclusión si concurre su presupuesto.</w:t>
      </w:r>
    </w:p>
    <w:p>
      <w:pPr>
        <w:pStyle w:val="ListParagraph"/>
        <w:numPr>
          <w:ilvl w:val="0"/>
          <w:numId w:val="1"/>
        </w:numPr>
        <w:spacing w:after="70" w:line="268"/>
      </w:pPr>
      <w:r>
        <w:rPr>
          <w:rFonts w:ascii="Calibri" w:cs="Calibri" w:eastAsia="Calibri" w:hAnsi="Calibri"/>
          <w:sz w:val="21"/>
          <w:szCs w:val="21"/>
        </w:rPr>
        <w:t xml:space="preserve">Puede omitirse en un PPT que no contenga ninguna cita de ese tipo —lo que es poco frecuente en contratos tecnológicos y conviene comprobar antes de omitirla.</w:t>
      </w:r>
    </w:p>
    <w:p>
      <w:pPr>
        <w:pStyle w:val="ListParagraph"/>
        <w:numPr>
          <w:ilvl w:val="0"/>
          <w:numId w:val="1"/>
        </w:numPr>
        <w:spacing w:after="70" w:line="268"/>
      </w:pPr>
      <w:r>
        <w:rPr>
          <w:rFonts w:ascii="Calibri" w:cs="Calibri" w:eastAsia="Calibri" w:hAnsi="Calibri"/>
          <w:sz w:val="21"/>
          <w:szCs w:val="21"/>
        </w:rPr>
        <w:t xml:space="preserve">El apartado 7 (excepción de los servicios comunes) se omite cuando el contrato no exija integración con ninguna plataforma común de utilización obligatoria.</w:t>
      </w:r>
    </w:p>
    <w:p>
      <w:pPr>
        <w:pStyle w:val="ListParagraph"/>
        <w:numPr>
          <w:ilvl w:val="0"/>
          <w:numId w:val="1"/>
        </w:numPr>
        <w:spacing w:after="70" w:line="268"/>
      </w:pPr>
      <w:r>
        <w:rPr>
          <w:rFonts w:ascii="Calibri" w:cs="Calibri" w:eastAsia="Calibri" w:hAnsi="Calibri"/>
          <w:sz w:val="21"/>
          <w:szCs w:val="21"/>
        </w:rPr>
        <w:t xml:space="preserve">Contratos menores: no hay pliego y la cláusula no se incorpora, pero </w:t>
      </w:r>
      <w:r>
        <w:rPr>
          <w:rFonts w:ascii="Calibri" w:cs="Calibri" w:eastAsia="Calibri" w:hAnsi="Calibri"/>
          <w:b/>
          <w:bCs/>
          <w:sz w:val="21"/>
          <w:szCs w:val="21"/>
        </w:rPr>
        <w:t xml:space="preserve">sí cabe en el encargo o en la aceptación de oferta la mención «o equivalente» y el trámite de prueba</w:t>
      </w:r>
      <w:r>
        <w:rPr>
          <w:rFonts w:ascii="Calibri" w:cs="Calibri" w:eastAsia="Calibri" w:hAnsi="Calibri"/>
          <w:sz w:val="21"/>
          <w:szCs w:val="21"/>
        </w:rPr>
        <w:t xml:space="preserve">, si el encargo cita un producto, protocolo o norma. Es la letra e) de la lista cerrada de la Parte V, §7.1, que es la fuente única para este supuesto.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II.2 · DT-1·v3 — Incorporación de IA, IA generativa y agentes de IA</w:t>
      </w:r>
    </w:p>
    <w:p>
      <w:pPr>
        <w:spacing w:after="140" w:line="276"/>
      </w:pPr>
      <w:r>
        <w:rPr>
          <w:rFonts w:ascii="Calibri" w:cs="Calibri" w:eastAsia="Calibri" w:hAnsi="Calibri"/>
          <w:i/>
          <w:iCs/>
          <w:sz w:val="21"/>
          <w:szCs w:val="21"/>
        </w:rPr>
        <w:t xml:space="preserve">(Reescrita. Se suprime la facultad abierta de requerir lo «necesario o conveniente». Se incorpora el reparto de papeles entre proveedor y responsable del despliegue, y el bloque de decisiones automatizadas, hoy ausente y primero que busca un secretario.)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DT-1. Sistemas de inteligencia artificial: clasificación, obligaciones y reparto de papeles.</w:t>
            </w:r>
          </w:p>
          <w:p>
            <w:pPr>
              <w:spacing w:after="100" w:line="264"/>
            </w:pPr>
            <w:r>
              <w:rPr>
                <w:rFonts w:ascii="Georgia" w:cs="Georgia" w:eastAsia="Georgia" w:hAnsi="Georgia"/>
                <w:b/>
                <w:bCs/>
                <w:sz w:val="20"/>
                <w:szCs w:val="20"/>
              </w:rPr>
              <w:t xml:space="preserve">1. Ámbito.</w:t>
            </w:r>
            <w:r>
              <w:rPr>
                <w:rFonts w:ascii="Georgia" w:cs="Georgia" w:eastAsia="Georgia" w:hAnsi="Georgia"/>
                <w:sz w:val="20"/>
                <w:szCs w:val="20"/>
              </w:rPr>
              <w:t xml:space="preserve"> Esta cláusula se aplica a los sistemas de inteligencia artificial que el adjudicatario emplee o entregue en ejecución del contrato, y a las funcionalidades de la solución basadas en tales sistemas. Las referencias al Reglamento (UE) 2024/1689 se entienden hechas </w:t>
            </w:r>
            <w:r>
              <w:rPr>
                <w:rFonts w:ascii="Georgia" w:cs="Georgia" w:eastAsia="Georgia" w:hAnsi="Georgia"/>
                <w:b/>
                <w:bCs/>
                <w:sz w:val="20"/>
                <w:szCs w:val="20"/>
              </w:rPr>
              <w:t xml:space="preserve">en su redacción vigente</w:t>
            </w:r>
            <w:r>
              <w:rPr>
                <w:rFonts w:ascii="Georgia" w:cs="Georgia" w:eastAsia="Georgia" w:hAnsi="Georgia"/>
                <w:sz w:val="20"/>
                <w:szCs w:val="20"/>
              </w:rPr>
              <w:t xml:space="preserve">. El calendario de exigibilidad de cada obligación consta en el Anexo de Vigencia Normativa de este pliego, que distingue entre obligación legal ya exigible en la fecha de la licitación y exigencia contractual anticipada por el Ayuntamiento.</w:t>
            </w:r>
          </w:p>
          <w:p>
            <w:pPr>
              <w:spacing w:after="100" w:line="264"/>
            </w:pPr>
            <w:r>
              <w:rPr>
                <w:rFonts w:ascii="Georgia" w:cs="Georgia" w:eastAsia="Georgia" w:hAnsi="Georgia"/>
                <w:b/>
                <w:bCs/>
                <w:sz w:val="20"/>
                <w:szCs w:val="20"/>
              </w:rPr>
              <w:t xml:space="preserve">2. Inventario y clasificación.</w:t>
            </w:r>
            <w:r>
              <w:rPr>
                <w:rFonts w:ascii="Georgia" w:cs="Georgia" w:eastAsia="Georgia" w:hAnsi="Georgia"/>
                <w:sz w:val="20"/>
                <w:szCs w:val="20"/>
              </w:rPr>
              <w:t xml:space="preserve"> El licitador relacionará en su oferta los sistemas de inteligencia artificial que intervendrán en la prestación, indicando para cada uno su finalidad, su proveedor, si actúa como proveedor o como distribuidor de dicho sistema, y su clasificación conforme al Reglamento (UE) 2024/1689. El adjudicatario mantendrá esa relación actualizada durante toda la vigencia del contrato y de sus prórrogas, y comunicará al responsable del contrato, con una antelación mínima de [X; se recomienda 30] días naturales, cualquier cambio que pueda alterar la clasificación de riesgo de un sistema.</w:t>
            </w:r>
          </w:p>
          <w:p>
            <w:pPr>
              <w:spacing w:after="100" w:line="264"/>
            </w:pPr>
            <w:r>
              <w:rPr>
                <w:rFonts w:ascii="Georgia" w:cs="Georgia" w:eastAsia="Georgia" w:hAnsi="Georgia"/>
                <w:b/>
                <w:bCs/>
                <w:sz w:val="20"/>
                <w:szCs w:val="20"/>
              </w:rPr>
              <w:t xml:space="preserve">3. Prácticas prohibidas.</w:t>
            </w:r>
            <w:r>
              <w:rPr>
                <w:rFonts w:ascii="Georgia" w:cs="Georgia" w:eastAsia="Georgia" w:hAnsi="Georgia"/>
                <w:sz w:val="20"/>
                <w:szCs w:val="20"/>
              </w:rPr>
              <w:t xml:space="preserve"> Queda prohibido el empleo, en la ejecución del contrato, de sistemas o usos de inteligencia artificial incursos en las prácticas prohibidas del Reglamento (UE) 2024/1689 en su redacción vigente. Esta obligación es exigible desde la formalización del contrato.</w:t>
            </w:r>
          </w:p>
          <w:p>
            <w:pPr>
              <w:spacing w:after="100" w:line="264"/>
            </w:pPr>
            <w:r>
              <w:rPr>
                <w:rFonts w:ascii="Georgia" w:cs="Georgia" w:eastAsia="Georgia" w:hAnsi="Georgia"/>
                <w:b/>
                <w:bCs/>
                <w:sz w:val="20"/>
                <w:szCs w:val="20"/>
              </w:rPr>
              <w:t xml:space="preserve">4. Transparencia.</w:t>
            </w:r>
            <w:r>
              <w:rPr>
                <w:rFonts w:ascii="Georgia" w:cs="Georgia" w:eastAsia="Georgia" w:hAnsi="Georgia"/>
                <w:sz w:val="20"/>
                <w:szCs w:val="20"/>
              </w:rPr>
              <w:t xml:space="preserve"> Cuando la solución interactúe con personas físicas o genere contenido sintético de audio, imagen, vídeo o texto, el adjudicatario garantizará el cumplimiento de las obligaciones de transparencia y de marcado de contenido que resulten exigibles conforme al Reglamento (UE) 2024/1689 en su redacción vigente y al Anexo de Vigencia Normativa de este pliego.</w:t>
            </w:r>
          </w:p>
          <w:p>
            <w:pPr>
              <w:spacing w:after="100" w:line="264"/>
            </w:pPr>
            <w:r>
              <w:rPr>
                <w:rFonts w:ascii="Georgia" w:cs="Georgia" w:eastAsia="Georgia" w:hAnsi="Georgia"/>
                <w:b/>
                <w:bCs/>
                <w:sz w:val="20"/>
                <w:szCs w:val="20"/>
              </w:rPr>
              <w:t xml:space="preserve">5. Alto riesgo.</w:t>
            </w:r>
            <w:r>
              <w:rPr>
                <w:rFonts w:ascii="Georgia" w:cs="Georgia" w:eastAsia="Georgia" w:hAnsi="Georgia"/>
                <w:sz w:val="20"/>
                <w:szCs w:val="20"/>
              </w:rPr>
              <w:t xml:space="preserve"> Cuando un sistema tenga la consideración de alto riesgo, el adjudicatario garantizará, en su condición de proveedor o respecto del proveedor del que sea distribuidor, el cumplimiento de las obligaciones que le correspondan conforme al Reglamento (UE) 2024/1689 en su redacción vigente y en los plazos del Anexo de Vigencia Normativa: sistema de gestión de riesgos, gobernanza y calidad de los datos, documentación técnica y registros, transparencia e información a las personas usuarias, supervisión humana, y niveles adecuados de exactitud, solidez y ciberseguridad.</w:t>
            </w:r>
          </w:p>
          <w:p>
            <w:pPr>
              <w:spacing w:after="100" w:line="264"/>
            </w:pPr>
            <w:r>
              <w:rPr>
                <w:rFonts w:ascii="Georgia" w:cs="Georgia" w:eastAsia="Georgia" w:hAnsi="Georgia"/>
                <w:b/>
                <w:bCs/>
                <w:sz w:val="20"/>
                <w:szCs w:val="20"/>
              </w:rPr>
              <w:t xml:space="preserve">6. Reparto de papeles.</w:t>
            </w:r>
            <w:r>
              <w:rPr>
                <w:rFonts w:ascii="Georgia" w:cs="Georgia" w:eastAsia="Georgia" w:hAnsi="Georgia"/>
                <w:sz w:val="20"/>
                <w:szCs w:val="20"/>
              </w:rPr>
              <w:t xml:space="preserve"> El Ayuntamiento actúa como </w:t>
            </w:r>
            <w:r>
              <w:rPr>
                <w:rFonts w:ascii="Georgia" w:cs="Georgia" w:eastAsia="Georgia" w:hAnsi="Georgia"/>
                <w:b/>
                <w:bCs/>
                <w:sz w:val="20"/>
                <w:szCs w:val="20"/>
              </w:rPr>
              <w:t xml:space="preserve">responsable del despliegue</w:t>
            </w:r>
            <w:r>
              <w:rPr>
                <w:rFonts w:ascii="Georgia" w:cs="Georgia" w:eastAsia="Georgia" w:hAnsi="Georgia"/>
                <w:sz w:val="20"/>
                <w:szCs w:val="20"/>
              </w:rPr>
              <w:t xml:space="preserve">. Le corresponden de forma indelegable las obligaciones que el Reglamento (UE) 2024/1689 atribuye a esa condición, y en particular el uso conforme a las instrucciones, la encomienda de la supervisión humana a personas con la competencia, la formación y la autoridad necesarias, la pertinencia de los datos de entrada, la vigilancia del funcionamiento y la suspensión del uso ante riesgo, la conservación de los archivos de registro, la obligación de registro que corresponde a las autoridades públicas y, cuando proceda, la evaluación de impacto en los derechos fundamentales. </w:t>
            </w:r>
            <w:r>
              <w:rPr>
                <w:rFonts w:ascii="Georgia" w:cs="Georgia" w:eastAsia="Georgia" w:hAnsi="Georgia"/>
                <w:b/>
                <w:bCs/>
                <w:sz w:val="20"/>
                <w:szCs w:val="20"/>
              </w:rPr>
              <w:t xml:space="preserve">El adjudicatario no asume estas obligaciones.</w:t>
            </w:r>
            <w:r>
              <w:rPr>
                <w:rFonts w:ascii="Georgia" w:cs="Georgia" w:eastAsia="Georgia" w:hAnsi="Georgia"/>
                <w:sz w:val="20"/>
                <w:szCs w:val="20"/>
              </w:rPr>
              <w:t xml:space="preserve"> El adjudicatario se obliga a </w:t>
            </w:r>
            <w:r>
              <w:rPr>
                <w:rFonts w:ascii="Georgia" w:cs="Georgia" w:eastAsia="Georgia" w:hAnsi="Georgia"/>
                <w:b/>
                <w:bCs/>
                <w:sz w:val="20"/>
                <w:szCs w:val="20"/>
              </w:rPr>
              <w:t xml:space="preserve">aportar los medios</w:t>
            </w:r>
            <w:r>
              <w:rPr>
                <w:rFonts w:ascii="Georgia" w:cs="Georgia" w:eastAsia="Georgia" w:hAnsi="Georgia"/>
                <w:sz w:val="20"/>
                <w:szCs w:val="20"/>
              </w:rPr>
              <w:t xml:space="preserve"> sin los cuales el Ayuntamiento no puede cumplirlas, y en particular:</w:t>
            </w:r>
          </w:p>
          <w:p>
            <w:pPr>
              <w:spacing w:after="100" w:line="264"/>
            </w:pPr>
            <w:r>
              <w:rPr>
                <w:rFonts w:ascii="Georgia" w:cs="Georgia" w:eastAsia="Georgia" w:hAnsi="Georgia"/>
                <w:sz w:val="20"/>
                <w:szCs w:val="20"/>
              </w:rPr>
              <w:t xml:space="preserve">a) Las instrucciones de uso del sistema, en castellano, con el contenido exigido por el Reglamento.</w:t>
            </w:r>
          </w:p>
          <w:p>
            <w:pPr>
              <w:spacing w:after="100" w:line="264"/>
            </w:pPr>
            <w:r>
              <w:rPr>
                <w:rFonts w:ascii="Georgia" w:cs="Georgia" w:eastAsia="Georgia" w:hAnsi="Georgia"/>
                <w:sz w:val="20"/>
                <w:szCs w:val="20"/>
              </w:rPr>
              <w:t xml:space="preserve">b) La información técnica precisa para que el Ayuntamiento realice la evaluación de impacto en los derechos fundamentales y la evaluación de impacto relativa a la protección de datos, admitiéndose referencias cruzadas entre ambas.</w:t>
            </w:r>
          </w:p>
          <w:p>
            <w:pPr>
              <w:spacing w:after="100" w:line="264"/>
            </w:pPr>
            <w:r>
              <w:rPr>
                <w:rFonts w:ascii="Georgia" w:cs="Georgia" w:eastAsia="Georgia" w:hAnsi="Georgia"/>
                <w:sz w:val="20"/>
                <w:szCs w:val="20"/>
              </w:rPr>
              <w:t xml:space="preserve">c) Archivos de registro exportables en formato abierto y documentado, conservados y entregables por un plazo no inferior a [X; se recomienda 12, con un mínimo de 6] meses.</w:t>
            </w:r>
          </w:p>
          <w:p>
            <w:pPr>
              <w:spacing w:after="100" w:line="264"/>
            </w:pPr>
            <w:r>
              <w:rPr>
                <w:rFonts w:ascii="Georgia" w:cs="Georgia" w:eastAsia="Georgia" w:hAnsi="Georgia"/>
                <w:sz w:val="20"/>
                <w:szCs w:val="20"/>
              </w:rPr>
              <w:t xml:space="preserve">d) Un mecanismo de suspensión de la operación de los sistemas de inteligencia artificial en los términos de la cláusula DT-7, apartado 3, letra f).</w:t>
            </w:r>
          </w:p>
          <w:p>
            <w:pPr>
              <w:spacing w:after="100" w:line="264"/>
            </w:pPr>
            <w:r>
              <w:rPr>
                <w:rFonts w:ascii="Georgia" w:cs="Georgia" w:eastAsia="Georgia" w:hAnsi="Georgia"/>
                <w:sz w:val="20"/>
                <w:szCs w:val="20"/>
              </w:rPr>
              <w:t xml:space="preserve">e) Un punto de contacto único, con identificación nominal y canal de comunicación, para incidentes graves, con un plazo máximo de respuesta de [X; se recomienda 24] horas hábiles.</w:t>
            </w:r>
          </w:p>
          <w:p>
            <w:pPr>
              <w:spacing w:after="100" w:line="264"/>
            </w:pPr>
            <w:r>
              <w:rPr>
                <w:rFonts w:ascii="Georgia" w:cs="Georgia" w:eastAsia="Georgia" w:hAnsi="Georgia"/>
                <w:sz w:val="20"/>
                <w:szCs w:val="20"/>
              </w:rPr>
              <w:t xml:space="preserve">f) La formación necesaria para que el personal municipal designado pueda ejercer de forma efectiva la supervisión humana.</w:t>
            </w:r>
          </w:p>
          <w:p>
            <w:pPr>
              <w:spacing w:after="100" w:line="264"/>
            </w:pPr>
            <w:r>
              <w:rPr>
                <w:rFonts w:ascii="Georgia" w:cs="Georgia" w:eastAsia="Georgia" w:hAnsi="Georgia"/>
                <w:b/>
                <w:bCs/>
                <w:sz w:val="20"/>
                <w:szCs w:val="20"/>
              </w:rPr>
              <w:t xml:space="preserve">7. Decisiones automatizadas.</w:t>
            </w:r>
            <w:r>
              <w:rPr>
                <w:rFonts w:ascii="Georgia" w:cs="Georgia" w:eastAsia="Georgia" w:hAnsi="Georgia"/>
                <w:sz w:val="20"/>
                <w:szCs w:val="20"/>
              </w:rPr>
              <w:t xml:space="preserve"> La solución no adoptará decisiones basadas únicamente en el tratamiento automatizado que produzcan efectos jurídicos sobre las personas o las afecten significativamente de modo similar, en el sentido del artículo 22 del Reglamento (UE) 2016/679, salvo que concurra alguna de las habilitaciones de dicho precepto y, cuando se trate de actuación administrativa automatizada, se haya aprobado previamente conforme al artículo 41 de la Ley 40/2015, de 1 de octubre. En tal caso, el adjudicatario facilitará cuanto sea necesario para que el Ayuntamiento pueda determinar y publicar los órganos competentes para la definición de especificaciones, programación, mantenimiento, supervisión, control de calidad y, en su caso, auditoría del sistema de información y de su código fuente, así como el órgano responsable a efectos de impugnación. A tal fin garantizará al Ayuntamiento y a los auditores que éste designe, sujetos a idéntico deber de confidencialidad, el acceso a la lógica, la parametrización, las reglas de decisión y el código fuente </w:t>
            </w:r>
            <w:r>
              <w:rPr>
                <w:rFonts w:ascii="Georgia" w:cs="Georgia" w:eastAsia="Georgia" w:hAnsi="Georgia"/>
                <w:b/>
                <w:bCs/>
                <w:sz w:val="20"/>
                <w:szCs w:val="20"/>
              </w:rPr>
              <w:t xml:space="preserve">de los componentes desarrollados específicamente para el Ayuntamiento</w:t>
            </w:r>
            <w:r>
              <w:rPr>
                <w:rFonts w:ascii="Georgia" w:cs="Georgia" w:eastAsia="Georgia" w:hAnsi="Georgia"/>
                <w:sz w:val="20"/>
                <w:szCs w:val="20"/>
              </w:rPr>
              <w:t xml:space="preserve">, con la exclusiva finalidad de auditoría y sin facultad alguna de explotación. En todo caso se garantizará el derecho a obtener intervención humana, a expresar el punto de vista y a impugnar la decisión.</w:t>
            </w:r>
          </w:p>
          <w:p>
            <w:pPr>
              <w:spacing w:after="100" w:line="264"/>
            </w:pPr>
            <w:r>
              <w:rPr>
                <w:rFonts w:ascii="Georgia" w:cs="Georgia" w:eastAsia="Georgia" w:hAnsi="Georgia"/>
                <w:b/>
                <w:bCs/>
                <w:sz w:val="20"/>
                <w:szCs w:val="20"/>
              </w:rPr>
              <w:t xml:space="preserve">8. Agentes: límites y reversibilidad.</w:t>
            </w:r>
            <w:r>
              <w:rPr>
                <w:rFonts w:ascii="Georgia" w:cs="Georgia" w:eastAsia="Georgia" w:hAnsi="Georgia"/>
                <w:sz w:val="20"/>
                <w:szCs w:val="20"/>
              </w:rPr>
              <w:t xml:space="preserve"> Cuando se empleen agentes de inteligencia artificial, su actuación estará sujeta a límites configurables por el Ayuntamiento, con trazabilidad completa de consultas, propuestas y acciones, registro de auditoría, mecanismos de intervención y suspensión humana y capacidad de revertir las actuaciones ejecutadas o, cuando la reversión automática no sea técnicamente posible, procedimiento documentado de reversión con indicación del tiempo estimado y del responsable de ejecutarlo.</w:t>
            </w:r>
          </w:p>
          <w:p>
            <w:pPr>
              <w:spacing w:after="100" w:line="264"/>
            </w:pPr>
            <w:r>
              <w:rPr>
                <w:rFonts w:ascii="Georgia" w:cs="Georgia" w:eastAsia="Georgia" w:hAnsi="Georgia"/>
                <w:b/>
                <w:bCs/>
                <w:sz w:val="20"/>
                <w:szCs w:val="20"/>
              </w:rPr>
              <w:t xml:space="preserve">9. Aceptación previa.</w:t>
            </w:r>
            <w:r>
              <w:rPr>
                <w:rFonts w:ascii="Georgia" w:cs="Georgia" w:eastAsia="Georgia" w:hAnsi="Georgia"/>
                <w:sz w:val="20"/>
                <w:szCs w:val="20"/>
              </w:rPr>
              <w:t xml:space="preserve"> Antes de su puesta en producción, toda funcionalidad basada en inteligencia artificial deberá ser aceptada expresamente por el Ayuntamiento, previas las pruebas técnicas, funcionales, de seguridad y de integración que se estimen necesarias, documentadas en acta. La aceptación no exime de responsabilidad por defectos, errores, sesgos, vulnerabilidades, incumplimientos normativos, uso inadecuado de datos o degradación posterior del servicio.</w:t>
            </w:r>
          </w:p>
          <w:p>
            <w:pPr>
              <w:spacing w:after="100" w:line="264"/>
            </w:pPr>
            <w:r>
              <w:rPr>
                <w:rFonts w:ascii="Georgia" w:cs="Georgia" w:eastAsia="Georgia" w:hAnsi="Georgia"/>
                <w:b/>
                <w:bCs/>
                <w:sz w:val="20"/>
                <w:szCs w:val="20"/>
              </w:rPr>
              <w:t xml:space="preserve">10. Alfabetización.</w:t>
            </w:r>
            <w:r>
              <w:rPr>
                <w:rFonts w:ascii="Georgia" w:cs="Georgia" w:eastAsia="Georgia" w:hAnsi="Georgia"/>
                <w:sz w:val="20"/>
                <w:szCs w:val="20"/>
              </w:rPr>
              <w:t xml:space="preserve"> El adjudicatario adoptará medidas para promover la alfabetización en materia de inteligencia artificial del personal que, por su cuenta, se encargue del funcionamiento y la utilización de los sistemas objeto del contrato. Esta obligación no exige garantizar un nivel específico de alfabetización de ninguna persona en particular.</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funcionales y tecnológicos de la solución. El apartado 2 (inventario y clasificación) genera además una obligación de contenido de la oferta, por lo que debe reflejarse en el PCAP, en el índice del sobre técnico.</w:t>
      </w:r>
    </w:p>
    <w:p>
      <w:pPr>
        <w:spacing w:after="140" w:line="276"/>
      </w:pPr>
      <w:r>
        <w:rPr>
          <w:rFonts w:ascii="Calibri" w:cs="Calibri" w:eastAsia="Calibri" w:hAnsi="Calibri"/>
          <w:sz w:val="21"/>
          <w:szCs w:val="21"/>
        </w:rPr>
        <w:t xml:space="preserve">El apartado 7, en la parte que se refiere a la aprobación de la actuación administrativa automatizada, no crea la actuación: presupone que el Ayuntamiento la apruebe por el cauce del artículo 41 de la Ley 40/2015. Si no hay actuación automatizada aprobada ni prevista, el apartado se conserva sólo en su primer inciso (la prohibición) y se suprime el resto.</w:t>
      </w:r>
    </w:p>
    <w:p>
      <w:pPr>
        <w:spacing w:after="140" w:line="276"/>
      </w:pPr>
      <w:r>
        <w:rPr>
          <w:rFonts w:ascii="Calibri" w:cs="Calibri" w:eastAsia="Calibri" w:hAnsi="Calibri"/>
          <w:b/>
          <w:bCs/>
          <w:sz w:val="21"/>
          <w:szCs w:val="21"/>
        </w:rPr>
        <w:t xml:space="preserve">El Anexo de Vigencia Normativa de este pliego, que los apartados 1, 4 y 5 invocan, hay que fabricarlo.</w:t>
      </w:r>
      <w:r>
        <w:rPr>
          <w:rFonts w:ascii="Calibri" w:cs="Calibri" w:eastAsia="Calibri" w:hAnsi="Calibri"/>
          <w:sz w:val="21"/>
          <w:szCs w:val="21"/>
        </w:rPr>
        <w:t xml:space="preserve"> No es un anexo del catálogo: es un anexo </w:t>
      </w:r>
      <w:r>
        <w:rPr>
          <w:rFonts w:ascii="Calibri" w:cs="Calibri" w:eastAsia="Calibri" w:hAnsi="Calibri"/>
          <w:b/>
          <w:bCs/>
          <w:sz w:val="21"/>
          <w:szCs w:val="21"/>
        </w:rPr>
        <w:t xml:space="preserve">del PPT</w:t>
      </w:r>
      <w:r>
        <w:rPr>
          <w:rFonts w:ascii="Calibri" w:cs="Calibri" w:eastAsia="Calibri" w:hAnsi="Calibri"/>
          <w:sz w:val="21"/>
          <w:szCs w:val="21"/>
        </w:rPr>
        <w:t xml:space="preserve">, y se compone transcribiendo el extracto del </w:t>
      </w:r>
      <w:r>
        <w:rPr>
          <w:rFonts w:ascii="Calibri" w:cs="Calibri" w:eastAsia="Calibri" w:hAnsi="Calibri"/>
          <w:b/>
          <w:bCs/>
          <w:sz w:val="21"/>
          <w:szCs w:val="21"/>
        </w:rPr>
        <w:t xml:space="preserve">Anexo XIX</w:t>
      </w:r>
      <w:r>
        <w:rPr>
          <w:rFonts w:ascii="Calibri" w:cs="Calibri" w:eastAsia="Calibri" w:hAnsi="Calibri"/>
          <w:sz w:val="21"/>
          <w:szCs w:val="21"/>
        </w:rPr>
        <w:t xml:space="preserve"> de este catálogo que afecte a las cláusulas incorporadas, con su fecha de corte y con sus dos columnas —obligación legal ya exigible / exigencia contractual anticipada por el Ayuntamiento—. Si ese anexo no se transcribe, los tres apartados que remiten a él quedan sin contenido y la cláusula pasa a exigir un calendario que el pliego no dice.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Tres necesidades distintas, y conviene no mezclarlas:</w:t>
      </w:r>
    </w:p>
    <w:p>
      <w:pPr>
        <w:pStyle w:val="ListParagraph"/>
        <w:numPr>
          <w:ilvl w:val="0"/>
          <w:numId w:val="1"/>
        </w:numPr>
        <w:spacing w:after="70" w:line="268"/>
      </w:pPr>
      <w:r>
        <w:rPr>
          <w:rFonts w:ascii="Calibri" w:cs="Calibri" w:eastAsia="Calibri" w:hAnsi="Calibri"/>
          <w:b/>
          <w:bCs/>
          <w:sz w:val="21"/>
          <w:szCs w:val="21"/>
        </w:rPr>
        <w:t xml:space="preserve">Necesidad normativa del Ayuntamiento.</w:t>
      </w:r>
      <w:r>
        <w:rPr>
          <w:rFonts w:ascii="Calibri" w:cs="Calibri" w:eastAsia="Calibri" w:hAnsi="Calibri"/>
          <w:sz w:val="21"/>
          <w:szCs w:val="21"/>
        </w:rPr>
        <w:t xml:space="preserve"> El Reglamento (UE) 2024/1689, en su redacción vigente, impone al Ayuntamiento obligaciones propias como responsable del despliegue —alfabetización, supervisión humana por personas con competencia, formación y </w:t>
      </w:r>
      <w:r>
        <w:rPr>
          <w:rFonts w:ascii="Calibri" w:cs="Calibri" w:eastAsia="Calibri" w:hAnsi="Calibri"/>
          <w:b/>
          <w:bCs/>
          <w:sz w:val="21"/>
          <w:szCs w:val="21"/>
        </w:rPr>
        <w:t xml:space="preserve">autoridad</w:t>
      </w:r>
      <w:r>
        <w:rPr>
          <w:rFonts w:ascii="Calibri" w:cs="Calibri" w:eastAsia="Calibri" w:hAnsi="Calibri"/>
          <w:sz w:val="21"/>
          <w:szCs w:val="21"/>
        </w:rPr>
        <w:t xml:space="preserve">, conservación de registros, registro y, cuando proceda, evaluación de impacto en derechos fundamentales— que son </w:t>
      </w:r>
      <w:r>
        <w:rPr>
          <w:rFonts w:ascii="Calibri" w:cs="Calibri" w:eastAsia="Calibri" w:hAnsi="Calibri"/>
          <w:b/>
          <w:bCs/>
          <w:sz w:val="21"/>
          <w:szCs w:val="21"/>
        </w:rPr>
        <w:t xml:space="preserve">materialmente incumplibles sin documentación e información del proveedor</w:t>
      </w:r>
      <w:r>
        <w:rPr>
          <w:rFonts w:ascii="Calibri" w:cs="Calibri" w:eastAsia="Calibri" w:hAnsi="Calibri"/>
          <w:sz w:val="21"/>
          <w:szCs w:val="21"/>
        </w:rPr>
        <w:t xml:space="preserve">. La cláusula no exige capacidades nuevas al Ayuntamiento: exige que el contratista se las entregue.</w:t>
      </w:r>
    </w:p>
    <w:p>
      <w:pPr>
        <w:pStyle w:val="ListParagraph"/>
        <w:numPr>
          <w:ilvl w:val="0"/>
          <w:numId w:val="1"/>
        </w:numPr>
        <w:spacing w:after="70" w:line="268"/>
      </w:pPr>
      <w:r>
        <w:rPr>
          <w:rFonts w:ascii="Calibri" w:cs="Calibri" w:eastAsia="Calibri" w:hAnsi="Calibri"/>
          <w:b/>
          <w:bCs/>
          <w:sz w:val="21"/>
          <w:szCs w:val="21"/>
        </w:rPr>
        <w:t xml:space="preserve">Necesidad normativa nacional, ya plenamente vigente.</w:t>
      </w:r>
      <w:r>
        <w:rPr>
          <w:rFonts w:ascii="Calibri" w:cs="Calibri" w:eastAsia="Calibri" w:hAnsi="Calibri"/>
          <w:sz w:val="21"/>
          <w:szCs w:val="21"/>
        </w:rPr>
        <w:t xml:space="preserve"> El artículo 22 del Reglamento (UE) 2016/679 y el artículo 41 de la Ley 40/2015 rigen desde hace años y no dependen de ningún calendario europeo. El artículo 41.2 obliga a establecer previamente los órganos competentes para especificaciones, programación, mantenimiento, supervisión, control de calidad y «en su caso, auditoría del sistema de información y de su código fuente», y a indicar el órgano responsable a efectos de impugnación. Es la cobertura legal directa del acceso al código para auditoría del apartado 7, y la respuesta a la objeción de que «no se puede pedir el código fuente»: no se pide para explotarlo, se pide para poder auditarlo, que es lo que la ley manda, y sólo respecto de los componentes hechos para el Ayuntamiento.</w:t>
      </w:r>
    </w:p>
    <w:p>
      <w:pPr>
        <w:pStyle w:val="ListParagraph"/>
        <w:numPr>
          <w:ilvl w:val="0"/>
          <w:numId w:val="1"/>
        </w:numPr>
        <w:spacing w:after="70" w:line="268"/>
      </w:pPr>
      <w:r>
        <w:rPr>
          <w:rFonts w:ascii="Calibri" w:cs="Calibri" w:eastAsia="Calibri" w:hAnsi="Calibri"/>
          <w:b/>
          <w:bCs/>
          <w:sz w:val="21"/>
          <w:szCs w:val="21"/>
        </w:rPr>
        <w:t xml:space="preserve">Necesidad de reparto de responsabilidad.</w:t>
      </w:r>
      <w:r>
        <w:rPr>
          <w:rFonts w:ascii="Calibri" w:cs="Calibri" w:eastAsia="Calibri" w:hAnsi="Calibri"/>
          <w:sz w:val="21"/>
          <w:szCs w:val="21"/>
        </w:rPr>
        <w:t xml:space="preserve"> El Proyecto de Ley Orgánica para el buen uso y la gobernanza de la inteligencia artificial (Congreso de los Diputados, expediente 121/000096, BOCG Serie A núm. 97-1, de 12 de junio de 2026) tipifica en su artículo 21.2 como infracciones graves </w:t>
      </w:r>
      <w:r>
        <w:rPr>
          <w:rFonts w:ascii="Calibri" w:cs="Calibri" w:eastAsia="Calibri" w:hAnsi="Calibri"/>
          <w:b/>
          <w:bCs/>
          <w:sz w:val="21"/>
          <w:szCs w:val="21"/>
        </w:rPr>
        <w:t xml:space="preserve">de los responsables del despliegue</w:t>
      </w:r>
      <w:r>
        <w:rPr>
          <w:rFonts w:ascii="Calibri" w:cs="Calibri" w:eastAsia="Calibri" w:hAnsi="Calibri"/>
          <w:sz w:val="21"/>
          <w:szCs w:val="21"/>
        </w:rPr>
        <w:t xml:space="preserve"> los incumplimientos de varios apartados del artículo 26 del Reglamento de IA. </w:t>
      </w:r>
      <w:r>
        <w:rPr>
          <w:rFonts w:ascii="Calibri" w:cs="Calibri" w:eastAsia="Calibri" w:hAnsi="Calibri"/>
          <w:b/>
          <w:bCs/>
          <w:sz w:val="21"/>
          <w:szCs w:val="21"/>
        </w:rPr>
        <w:t xml:space="preserve">Es un proyecto en tramitación parlamentaria: carece de valor normativo mientras no se apruebe y publique, y no puede citarse en un pliego como norma aplicable.</w:t>
      </w:r>
      <w:r>
        <w:rPr>
          <w:rFonts w:ascii="Calibri" w:cs="Calibri" w:eastAsia="Calibri" w:hAnsi="Calibri"/>
          <w:sz w:val="21"/>
          <w:szCs w:val="21"/>
        </w:rPr>
        <w:t xml:space="preserve"> Se recoge aquí como dato del debate legislativo en curso, no como fundamento de la cláusula: el reparto de papeles del apartado 6 se sostiene por sí solo en el Reglamento (UE) 2024/1689 en su redacción vigente. Lo que el dato añade es la dirección del riesgo sancionador previsible: apunta al Ayuntamiento como responsable del despliegue, no al proveedor. Trasladar al contratista obligaciones que son indelegables no protege al Ayuntamiento: le hace creer que está cubierto.</w:t>
      </w:r>
    </w:p>
    <w:p>
      <w:pPr>
        <w:spacing w:after="140" w:line="276"/>
      </w:pPr>
      <w:r>
        <w:rPr>
          <w:rFonts w:ascii="Calibri" w:cs="Calibri" w:eastAsia="Calibri" w:hAnsi="Calibri"/>
          <w:b/>
          <w:bCs/>
          <w:sz w:val="21"/>
          <w:szCs w:val="21"/>
        </w:rPr>
        <w:t xml:space="preserve">Advertencia de calendario, vinculante.</w:t>
      </w:r>
      <w:r>
        <w:rPr>
          <w:rFonts w:ascii="Calibri" w:cs="Calibri" w:eastAsia="Calibri" w:hAnsi="Calibri"/>
          <w:sz w:val="21"/>
          <w:szCs w:val="21"/>
        </w:rPr>
        <w:t xml:space="preserve">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(Ómnibus digital sobre IA; DOUE de 24 de julio de 2026, referencia BOE DOUE-L-2026-81147; en vigor desde el 27 de julio de 2026) modificó el calendario del Reglamento (UE) 2024/1689: el capítulo III, secciones 1, 2 y 3, se aplica desde el </w:t>
      </w:r>
      <w:r>
        <w:rPr>
          <w:rFonts w:ascii="Calibri" w:cs="Calibri" w:eastAsia="Calibri" w:hAnsi="Calibri"/>
          <w:b/>
          <w:bCs/>
          <w:sz w:val="21"/>
          <w:szCs w:val="21"/>
        </w:rPr>
        <w:t xml:space="preserve">2 de diciembre de 2027</w:t>
      </w:r>
      <w:r>
        <w:rPr>
          <w:rFonts w:ascii="Calibri" w:cs="Calibri" w:eastAsia="Calibri" w:hAnsi="Calibri"/>
          <w:sz w:val="21"/>
          <w:szCs w:val="21"/>
        </w:rPr>
        <w:t xml:space="preserve"> para los sistemas de alto riesgo del artículo 6.2 y del anexo III, y desde el </w:t>
      </w:r>
      <w:r>
        <w:rPr>
          <w:rFonts w:ascii="Calibri" w:cs="Calibri" w:eastAsia="Calibri" w:hAnsi="Calibri"/>
          <w:b/>
          <w:bCs/>
          <w:sz w:val="21"/>
          <w:szCs w:val="21"/>
        </w:rPr>
        <w:t xml:space="preserve">2 de agosto de 2028</w:t>
      </w:r>
      <w:r>
        <w:rPr>
          <w:rFonts w:ascii="Calibri" w:cs="Calibri" w:eastAsia="Calibri" w:hAnsi="Calibri"/>
          <w:sz w:val="21"/>
          <w:szCs w:val="21"/>
        </w:rPr>
        <w:t xml:space="preserve"> para los del artículo 6.1 y del anexo I. Los artículos 26 y 27 están en la sección 3. Además, el nuevo artículo 111.2 concede a proveedores y responsables del despliegue de sistemas de alto riesgo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hasta el </w:t>
      </w:r>
      <w:r>
        <w:rPr>
          <w:rFonts w:ascii="Calibri" w:cs="Calibri" w:eastAsia="Calibri" w:hAnsi="Calibri"/>
          <w:b/>
          <w:bCs/>
          <w:sz w:val="21"/>
          <w:szCs w:val="21"/>
        </w:rPr>
        <w:t xml:space="preserve">2 de agosto de 2030</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Consecuencia práctica para el redactor: </w:t>
      </w:r>
      <w:r>
        <w:rPr>
          <w:rFonts w:ascii="Calibri" w:cs="Calibri" w:eastAsia="Calibri" w:hAnsi="Calibri"/>
          <w:b/>
          <w:bCs/>
          <w:sz w:val="21"/>
          <w:szCs w:val="21"/>
        </w:rPr>
        <w:t xml:space="preserve">no escriba en el PPT que estas obligaciones son legalmente exigibles hoy.</w:t>
      </w:r>
      <w:r>
        <w:rPr>
          <w:rFonts w:ascii="Calibri" w:cs="Calibri" w:eastAsia="Calibri" w:hAnsi="Calibri"/>
          <w:sz w:val="21"/>
          <w:szCs w:val="21"/>
        </w:rPr>
        <w:t xml:space="preserve"> Lo que sí puede hacer, y esta cláusula hace, es exigirlas contractualmente antes de esa fecha, diciéndolo. Ésa es la función del Anexo de Vigencia Normativa y de sus dos columnas: obligación legal ya exigible / exigencia contractual anticipada. Un pliego publicado que cita mal el calendario europeo pierde credibilidad ante un interventor en una línea, y da al licitador un motivo cómodo de proporcionalidad: se le imponen como obligación legal vigente costes que la norma aún no exige.</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y clasificación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en la oferta, con ficha por sistema; actualización comunicada por escrito al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más comprobación en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y marcado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sistema y prueba de marcado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Alto riesgo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proveedor; declaración UE de conformidad y marcado cuando resulten exigibles conforme al Anexo de 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del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documental verificable: instrucciones de uso, ficha técnica para la evaluación de impacto, exportación real de registros, prueba del mecanismo de suspensión, designación nominal del punto de contacto, plan y registro de formación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automatizadas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descripción de la lógica y de las reglas de decisión; acta de acceso para auditoría cuando se practique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Agentes (ap.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sobre el entorno de pruebas de la configuración de límites y de la reversión,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previa (ap. 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firmada por el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Alfabetización (ap. 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formativo y registro de asistencia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responsable del contrato (art. 62 LCSP), asistido por el servicio municipal de informática y, cuando haya tratamiento de datos personales, por el delegado de protección de datos.</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previa de cada funcionalidad (ap. 9); en la revisión anual de la Comisión de Seguimiento (ADM-4·v3); y cada vez que se comunique un cambio de clasificación de riesgo.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funcionalidad; punto del orden del día y acuerdo en el acta anual de la Comisión.</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w:t>
      </w:r>
      <w:r>
        <w:rPr>
          <w:rFonts w:ascii="Calibri" w:cs="Calibri" w:eastAsia="Calibri" w:hAnsi="Calibri"/>
          <w:sz w:val="21"/>
          <w:szCs w:val="21"/>
        </w:rPr>
        <w:t xml:space="preserve">: 4 a 8 horas por funcionalidad aceptada; 4 horas de revisión anual del inventario. En un contrato con 3 funcionalidades de IA al año, entre </w:t>
      </w:r>
      <w:r>
        <w:rPr>
          <w:rFonts w:ascii="Calibri" w:cs="Calibri" w:eastAsia="Calibri" w:hAnsi="Calibri"/>
          <w:b/>
          <w:bCs/>
          <w:sz w:val="21"/>
          <w:szCs w:val="21"/>
        </w:rPr>
        <w:t xml:space="preserve">16 y 28 horas al año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verificabilidad.</w:t>
      </w:r>
      <w:r>
        <w:rPr>
          <w:rFonts w:ascii="Georgia" w:cs="Georgia" w:eastAsia="Georgia" w:hAnsi="Georgia"/>
          <w:i/>
          <w:iCs/>
          <w:color w:val="595959"/>
          <w:sz w:val="20"/>
          <w:szCs w:val="20"/>
        </w:rPr>
        <w:t xml:space="preserve"> Rige aquí, como en toda cláusula del catálogo, la regla de la Parte I, §7.9, cuantificada en ADM-4·v3, epígrafe 5: sin actor municipal designado y sin periodicidad consignada, la cláusula no se incorpora.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con una excepción ajena a esta cláusula: cuando la ejecución implique cesión de datos por el Ayuntamiento al contratista, la condición especial de protección de datos es esencial </w:t>
      </w:r>
      <w:r>
        <w:rPr>
          <w:rFonts w:ascii="Calibri" w:cs="Calibri" w:eastAsia="Calibri" w:hAnsi="Calibri"/>
          <w:b/>
          <w:bCs/>
          <w:sz w:val="21"/>
          <w:szCs w:val="21"/>
        </w:rPr>
        <w:t xml:space="preserve">por imperativo legal</w:t>
      </w:r>
      <w:r>
        <w:rPr>
          <w:rFonts w:ascii="Calibri" w:cs="Calibri" w:eastAsia="Calibri" w:hAnsi="Calibri"/>
          <w:sz w:val="21"/>
          <w:szCs w:val="21"/>
        </w:rPr>
        <w:t xml:space="preserve"> (art. 202.1, párrafo tercero, LCSP) y figura como tal en ADM-6·v3, bloque A. Ese bloque sólo existe si concurre su presupuesto.</w:t>
      </w:r>
    </w:p>
    <w:p>
      <w:pPr>
        <w:spacing w:after="140" w:line="276"/>
      </w:pPr>
      <w:r>
        <w:rPr>
          <w:rFonts w:ascii="Calibri" w:cs="Calibri" w:eastAsia="Calibri" w:hAnsi="Calibri"/>
          <w:sz w:val="21"/>
          <w:szCs w:val="21"/>
        </w:rPr>
        <w:t xml:space="preserve">Penalidades, conforme al cuadro de ADM-5·v3 y dentro de los límites del artículo 192.1 LCSP (cada penalidad no superior al 10 % del precio del contrato, IVA excluido, ni el total superior al 50 %).</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del inventario del ap. 2 o en la entrega de la documentación del ap. 6.a) y 6.b)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comunicación de un cambio de clasificación de riesgo; ausencia del punto de contacto del ap. 6.e); incumplimiento del plazo de respuesta ante incidente grave; puesta en producción de una funcionalidad de IA sin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una práctica prohibida; adopción de decisiones automatizadas con efecto jurídico sin la habilitación del ap. 7; negativa a entregar los registros del ap. 6.c) o a facilitar el acceso para auditoría del ap. 7</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la solución </w:t>
      </w:r>
      <w:r>
        <w:rPr>
          <w:rFonts w:ascii="Calibri" w:cs="Calibri" w:eastAsia="Calibri" w:hAnsi="Calibri"/>
          <w:b/>
          <w:bCs/>
          <w:sz w:val="21"/>
          <w:szCs w:val="21"/>
        </w:rPr>
        <w:t xml:space="preserve">no incorpora ni va a incorporar</w:t>
      </w:r>
      <w:r>
        <w:rPr>
          <w:rFonts w:ascii="Calibri" w:cs="Calibri" w:eastAsia="Calibri" w:hAnsi="Calibri"/>
          <w:sz w:val="21"/>
          <w:szCs w:val="21"/>
        </w:rPr>
        <w:t xml:space="preserve"> sistemas de inteligencia artificial. Marcar NO APLICA y no reproducir la cláusula «por si acaso»: una obligación sin objeto es indeterminación.</w:t>
      </w:r>
    </w:p>
    <w:p>
      <w:pPr>
        <w:pStyle w:val="ListParagraph"/>
        <w:numPr>
          <w:ilvl w:val="0"/>
          <w:numId w:val="1"/>
        </w:numPr>
        <w:spacing w:after="70" w:line="268"/>
      </w:pPr>
      <w:r>
        <w:rPr>
          <w:rFonts w:ascii="Calibri" w:cs="Calibri" w:eastAsia="Calibri" w:hAnsi="Calibri"/>
          <w:sz w:val="21"/>
          <w:szCs w:val="21"/>
        </w:rPr>
        <w:t xml:space="preserve">El apartado 5 se suprime cuando ningún sistema de la solución sea de alto riesgo, haciéndolo constar así en la ficha.</w:t>
      </w:r>
    </w:p>
    <w:p>
      <w:pPr>
        <w:pStyle w:val="ListParagraph"/>
        <w:numPr>
          <w:ilvl w:val="0"/>
          <w:numId w:val="1"/>
        </w:numPr>
        <w:spacing w:after="70" w:line="268"/>
      </w:pPr>
      <w:r>
        <w:rPr>
          <w:rFonts w:ascii="Calibri" w:cs="Calibri" w:eastAsia="Calibri" w:hAnsi="Calibri"/>
          <w:sz w:val="21"/>
          <w:szCs w:val="21"/>
        </w:rPr>
        <w:t xml:space="preserve">El apartado 7, segundo inciso en adelante, se suprime cuando no exista ni se prevea actuación administrativa automatizada.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sólo cabe exigir lo que el acuerdo marco o el catálogo permitan añadir. Compruébese antes de redactar; si el instrumento no lo admite, la cláusula no se incorpora y se deja constancia en la ficha.</w:t>
      </w:r>
    </w:p>
    <w:p>
      <w:pPr>
        <w:pStyle w:val="ListParagraph"/>
        <w:numPr>
          <w:ilvl w:val="0"/>
          <w:numId w:val="1"/>
        </w:numPr>
        <w:spacing w:after="70" w:line="268"/>
      </w:pPr>
      <w:r>
        <w:rPr>
          <w:rFonts w:ascii="Calibri" w:cs="Calibri" w:eastAsia="Calibri" w:hAnsi="Calibri"/>
          <w:sz w:val="21"/>
          <w:szCs w:val="21"/>
        </w:rPr>
        <w:t xml:space="preserve">Prórrogas de contratos vivos: no se introducen obligaciones nuevas. La cláusula se aplica a partir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II.3 · DT-2·v3 — Capa de confianza: anclaje de evidencias e identidad digital verificable</w:t>
      </w:r>
    </w:p>
    <w:p>
      <w:pPr>
        <w:spacing w:after="140" w:line="276"/>
      </w:pPr>
      <w:r>
        <w:rPr>
          <w:rFonts w:ascii="Calibri" w:cs="Calibri" w:eastAsia="Calibri" w:hAnsi="Calibri"/>
          <w:i/>
          <w:iCs/>
          <w:sz w:val="21"/>
          <w:szCs w:val="21"/>
        </w:rPr>
        <w:t xml:space="preserve">(Degradada y renombrada.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Se elimina íntegramente la preferencia por una infraestructura nominada, su motivación territorial y el inciso «salvo justificación motivada en el expediente».)*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DT-2. Capa de confianza: anclaje de evidencias e identidad digital verificable.</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sólo se incorpora cuando el objeto del contrato requiera garantías reforzadas de integridad, sellado de tiempo, no repudio o identidad digital verificable que no puedan satisfacerse con los servicios de confianza y los mecanismos de firma y sellado ya disponibles en el Ayuntamiento, y así conste motivado en la memoria del expediente con identificación del caso de uso concreto.</w:t>
            </w:r>
          </w:p>
          <w:p>
            <w:pPr>
              <w:spacing w:after="100" w:line="264"/>
            </w:pPr>
            <w:r>
              <w:rPr>
                <w:rFonts w:ascii="Georgia" w:cs="Georgia" w:eastAsia="Georgia" w:hAnsi="Georgia"/>
                <w:b/>
                <w:bCs/>
                <w:sz w:val="20"/>
                <w:szCs w:val="20"/>
              </w:rPr>
              <w:t xml:space="preserve">2. Exigencias funcionales.</w:t>
            </w:r>
            <w:r>
              <w:rPr>
                <w:rFonts w:ascii="Georgia" w:cs="Georgia" w:eastAsia="Georgia" w:hAnsi="Georgia"/>
                <w:sz w:val="20"/>
                <w:szCs w:val="20"/>
              </w:rPr>
              <w:t xml:space="preserve"> Concurriendo el presupuesto del apartado 1, la solución deberá acreditar:</w:t>
            </w:r>
          </w:p>
          <w:p>
            <w:pPr>
              <w:spacing w:after="100" w:line="264"/>
            </w:pPr>
            <w:r>
              <w:rPr>
                <w:rFonts w:ascii="Georgia" w:cs="Georgia" w:eastAsia="Georgia" w:hAnsi="Georgia"/>
                <w:sz w:val="20"/>
                <w:szCs w:val="20"/>
              </w:rPr>
              <w:t xml:space="preserve">a) Anclaje de evidencias de forma que su integridad y su fecha puedan ser verificadas por un tercero </w:t>
            </w:r>
            <w:r>
              <w:rPr>
                <w:rFonts w:ascii="Georgia" w:cs="Georgia" w:eastAsia="Georgia" w:hAnsi="Georgia"/>
                <w:b/>
                <w:bCs/>
                <w:sz w:val="20"/>
                <w:szCs w:val="20"/>
              </w:rPr>
              <w:t xml:space="preserve">sin acceso privilegiado a los sistemas del adjudicatario</w:t>
            </w:r>
            <w:r>
              <w:rPr>
                <w:rFonts w:ascii="Georgia" w:cs="Georgia" w:eastAsia="Georgia" w:hAnsi="Georgia"/>
                <w:sz w:val="20"/>
                <w:szCs w:val="20"/>
              </w:rPr>
              <w:t xml:space="preserve">, con sellado de tiempo cualificado y no repudio.</w:t>
            </w:r>
          </w:p>
          <w:p>
            <w:pPr>
              <w:spacing w:after="100" w:line="264"/>
            </w:pPr>
            <w:r>
              <w:rPr>
                <w:rFonts w:ascii="Georgia" w:cs="Georgia" w:eastAsia="Georgia" w:hAnsi="Georgia"/>
                <w:sz w:val="20"/>
                <w:szCs w:val="20"/>
              </w:rPr>
              <w:t xml:space="preserve">b) Soporte de identificadores descentralizados y de credenciales verificables conformes con el marco europeo de identidad digital, o equivalente.</w:t>
            </w:r>
          </w:p>
          <w:p>
            <w:pPr>
              <w:spacing w:after="100" w:line="264"/>
            </w:pPr>
            <w:r>
              <w:rPr>
                <w:rFonts w:ascii="Georgia" w:cs="Georgia" w:eastAsia="Georgia" w:hAnsi="Georgia"/>
                <w:sz w:val="20"/>
                <w:szCs w:val="20"/>
              </w:rPr>
              <w:t xml:space="preserve">c) Interoperabilidad acreditada, </w:t>
            </w:r>
            <w:r>
              <w:rPr>
                <w:rFonts w:ascii="Georgia" w:cs="Georgia" w:eastAsia="Georgia" w:hAnsi="Georgia"/>
                <w:b/>
                <w:bCs/>
                <w:sz w:val="20"/>
                <w:szCs w:val="20"/>
              </w:rPr>
              <w:t xml:space="preserve">sobre los casos de uso identificados en este pliego</w:t>
            </w:r>
            <w:r>
              <w:rPr>
                <w:rFonts w:ascii="Georgia" w:cs="Georgia" w:eastAsia="Georgia" w:hAnsi="Georgia"/>
                <w:sz w:val="20"/>
                <w:szCs w:val="20"/>
              </w:rPr>
              <w:t xml:space="preserve">, con infraestructuras de registro distribuido y de servicios de confianza de terceros, mediante especificación pública y documentada, verificable por un tercero sin acceso privilegiado, y acreditada conforme al régimen de la cláusula DT-0.</w:t>
            </w:r>
          </w:p>
          <w:p>
            <w:pPr>
              <w:spacing w:after="100" w:line="264"/>
            </w:pPr>
            <w:r>
              <w:rPr>
                <w:rFonts w:ascii="Georgia" w:cs="Georgia" w:eastAsia="Georgia" w:hAnsi="Georgia"/>
                <w:sz w:val="20"/>
                <w:szCs w:val="20"/>
              </w:rPr>
              <w:t xml:space="preserve">d) Cumplimiento estricto del Reglamento (UE) 2016/679: no inscripción de datos personales en el registro distribuido; uso de funciones resumen, pruebas criptográficas o almacenamiento fuera de cadena; y respeto efectivo del derecho de supresión.</w:t>
            </w:r>
          </w:p>
          <w:p>
            <w:pPr>
              <w:spacing w:after="100" w:line="264"/>
            </w:pPr>
            <w:r>
              <w:rPr>
                <w:rFonts w:ascii="Georgia" w:cs="Georgia" w:eastAsia="Georgia" w:hAnsi="Georgia"/>
                <w:sz w:val="20"/>
                <w:szCs w:val="20"/>
              </w:rPr>
              <w:t xml:space="preserve">e) Reversibilidad y portabilidad de las evidencias, en formato abierto y documentado, verificables fuera de la infraestructura utilizada.</w:t>
            </w:r>
          </w:p>
          <w:p>
            <w:pPr>
              <w:spacing w:after="100" w:line="264"/>
            </w:pPr>
            <w:r>
              <w:rPr>
                <w:rFonts w:ascii="Georgia" w:cs="Georgia" w:eastAsia="Georgia" w:hAnsi="Georgia"/>
                <w:b/>
                <w:bCs/>
                <w:sz w:val="20"/>
                <w:szCs w:val="20"/>
              </w:rPr>
              <w:t xml:space="preserve">3. Neutralidad.</w:t>
            </w:r>
            <w:r>
              <w:rPr>
                <w:rFonts w:ascii="Georgia" w:cs="Georgia" w:eastAsia="Georgia" w:hAnsi="Georgia"/>
                <w:sz w:val="20"/>
                <w:szCs w:val="20"/>
              </w:rPr>
              <w:t xml:space="preserve"> El cumplimiento de las exigencias del apartado 2 es independiente de la infraestructura, red o tecnología que el licitador emplee. </w:t>
            </w:r>
            <w:r>
              <w:rPr>
                <w:rFonts w:ascii="Georgia" w:cs="Georgia" w:eastAsia="Georgia" w:hAnsi="Georgia"/>
                <w:b/>
                <w:bCs/>
                <w:sz w:val="20"/>
                <w:szCs w:val="20"/>
              </w:rPr>
              <w:t xml:space="preserve">En ningún caso la integración con una red o infraestructura nominada podrá configurarse como requisito de admisión, criterio de solvencia, condición excluyente ni criterio de adjudicación referido a su denominación, ni podrá puntuarse la pertenencia o adhesión a una infraestructura determinada.</w:t>
            </w:r>
            <w:r>
              <w:rPr>
                <w:rFonts w:ascii="Georgia" w:cs="Georgia" w:eastAsia="Georgia" w:hAnsi="Georgia"/>
                <w:sz w:val="20"/>
                <w:szCs w:val="20"/>
              </w:rPr>
              <w:t xml:space="preserve"> Lo que se exige y, en su caso, se valora es la capacidad funcional acreditada conforme a las letras a) a e) del apartado 2, con arreglo al régimen de equivalencia de la cláusula DT-0.</w:t>
            </w:r>
          </w:p>
          <w:p>
            <w:pPr>
              <w:spacing w:after="100" w:line="264"/>
            </w:pPr>
            <w:r>
              <w:rPr>
                <w:rFonts w:ascii="Georgia" w:cs="Georgia" w:eastAsia="Georgia" w:hAnsi="Georgia"/>
                <w:b/>
                <w:bCs/>
                <w:sz w:val="20"/>
                <w:szCs w:val="20"/>
              </w:rPr>
              <w:t xml:space="preserve">4. Acreditación.</w:t>
            </w:r>
            <w:r>
              <w:rPr>
                <w:rFonts w:ascii="Georgia" w:cs="Georgia" w:eastAsia="Georgia" w:hAnsi="Georgia"/>
                <w:sz w:val="20"/>
                <w:szCs w:val="20"/>
              </w:rPr>
              <w:t xml:space="preserve"> El licitador acreditará el cumplimiento del apartado 2 mediante documentación técnica de la solución, resultados de pruebas de verificación de integridad ejecutadas por un tercero, y descripción del procedimiento de exportación y verificación de evidencias fuera de la infraestructura.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integridad y evidencia electrónica. </w:t>
      </w:r>
      <w:r>
        <w:rPr>
          <w:rFonts w:ascii="Calibri" w:cs="Calibri" w:eastAsia="Calibri" w:hAnsi="Calibri"/>
          <w:b/>
          <w:bCs/>
          <w:sz w:val="21"/>
          <w:szCs w:val="21"/>
        </w:rPr>
        <w:t xml:space="preserve">Sólo si la ficha del Anexo II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No hay norma que imponga a un ayuntamiento el uso de tecnologías de registro distribuido. Ésa es exactamente la razón por la que la cláusula está en NO APLICA por defecto y su presupuesto de aplicación se redacta en el apartado 1 como una carga de motivación: quien la incorpore tiene que identificar el caso de uso y explicar por qué los mecanismos de firma, sellado y archivo electrónico ya disponibles no bastan. Si no puede explicarlo, no se incorpora.</w:t>
      </w:r>
    </w:p>
    <w:p>
      <w:pPr>
        <w:spacing w:after="140" w:line="276"/>
      </w:pPr>
      <w:r>
        <w:rPr>
          <w:rFonts w:ascii="Calibri" w:cs="Calibri" w:eastAsia="Calibri" w:hAnsi="Calibri"/>
          <w:sz w:val="21"/>
          <w:szCs w:val="21"/>
        </w:rPr>
        <w:t xml:space="preserve">Lo que sí es exigible cuando la cláusula se aplica es lo del apartado 2.d): el Reglamento (UE) 2016/679 rige íntegramente, y la inscripción de datos personales en un registro cuya inmutabilidad es su característica de diseño es incompatible con el derecho de supresión.</w:t>
      </w:r>
    </w:p>
    <w:p>
      <w:pPr>
        <w:spacing w:after="140" w:line="276"/>
      </w:pPr>
      <w:r>
        <w:rPr>
          <w:rFonts w:ascii="Calibri" w:cs="Calibri" w:eastAsia="Calibri" w:hAnsi="Calibri"/>
          <w:b/>
          <w:bCs/>
          <w:sz w:val="21"/>
          <w:szCs w:val="21"/>
        </w:rPr>
        <w:t xml:space="preserve">Por qué se ha eliminado la preferencia por una infraestructura nominada.</w:t>
      </w:r>
      <w:r>
        <w:rPr>
          <w:rFonts w:ascii="Calibri" w:cs="Calibri" w:eastAsia="Calibri" w:hAnsi="Calibri"/>
          <w:sz w:val="21"/>
          <w:szCs w:val="21"/>
        </w:rPr>
        <w:t xml:space="preserve"> La redacción anterior fundaba la preferencia en que la infraestructura constituía «la infraestructura estratégica de referencia en el ámbito territorial del Ayuntamiento» y en la «estrategia regional». Ésa es una motivación </w:t>
      </w:r>
      <w:r>
        <w:rPr>
          <w:rFonts w:ascii="Calibri" w:cs="Calibri" w:eastAsia="Calibri" w:hAnsi="Calibri"/>
          <w:b/>
          <w:bCs/>
          <w:sz w:val="21"/>
          <w:szCs w:val="21"/>
        </w:rPr>
        <w:t xml:space="preserve">territorial y estratégica</w:t>
      </w:r>
      <w:r>
        <w:rPr>
          <w:rFonts w:ascii="Calibri" w:cs="Calibri" w:eastAsia="Calibri" w:hAnsi="Calibri"/>
          <w:sz w:val="21"/>
          <w:szCs w:val="21"/>
        </w:rPr>
        <w:t xml:space="preserve">, no funcional, y es el patrón que la doctrina sobre arraigo territorial rechaza. El artículo 126.6 LCSP prohíbe que las prescripciones técnicas se refieran a un origen o a una producción determinados «con la finalidad de favorecer o descartar ciertas empresas o ciertos productos», y el TJUE interpreta la excepción de manera restrictiva (C-424/23, ap. 53). A ello se añadía un inciso —«salvo justificación motivada en el expediente»— que autorizaba a convertir la preferencia en requisito excluyente: publicado el documento en abierto para su reutilización, basta que </w:t>
      </w:r>
      <w:r>
        <w:rPr>
          <w:rFonts w:ascii="Calibri" w:cs="Calibri" w:eastAsia="Calibri" w:hAnsi="Calibri"/>
          <w:b/>
          <w:bCs/>
          <w:sz w:val="21"/>
          <w:szCs w:val="21"/>
        </w:rPr>
        <w:t xml:space="preserve">una</w:t>
      </w:r>
      <w:r>
        <w:rPr>
          <w:rFonts w:ascii="Calibri" w:cs="Calibri" w:eastAsia="Calibri" w:hAnsi="Calibri"/>
          <w:sz w:val="21"/>
          <w:szCs w:val="21"/>
        </w:rPr>
        <w:t xml:space="preserve"> administración use esa puerta para marcar el modelo entero. Se suprime.</w:t>
      </w:r>
    </w:p>
    <w:p>
      <w:pPr>
        <w:spacing w:after="140" w:line="276"/>
      </w:pPr>
      <w:r>
        <w:rPr>
          <w:rFonts w:ascii="Calibri" w:cs="Calibri" w:eastAsia="Calibri" w:hAnsi="Calibri"/>
          <w:b/>
          <w:bCs/>
          <w:sz w:val="21"/>
          <w:szCs w:val="21"/>
        </w:rPr>
        <w:t xml:space="preserve">Y por eso el apartado 2.c) tampoco nombra ya ninguna infraestructura.</w:t>
      </w:r>
      <w:r>
        <w:rPr>
          <w:rFonts w:ascii="Calibri" w:cs="Calibri" w:eastAsia="Calibri" w:hAnsi="Calibri"/>
          <w:sz w:val="21"/>
          <w:szCs w:val="21"/>
        </w:rPr>
        <w:t xml:space="preserve"> La redacción anterior exigía «interoperabilidad acreditada con la Infraestructura Europea de Servicios Blockchain (EBSI) o con infraestructuras que acrediten interoperabilidad equivalente». Era la única mención nominativa operativa que quedaba </w:t>
      </w:r>
      <w:r>
        <w:rPr>
          <w:rFonts w:ascii="Calibri" w:cs="Calibri" w:eastAsia="Calibri" w:hAnsi="Calibri"/>
          <w:b/>
          <w:bCs/>
          <w:sz w:val="21"/>
          <w:szCs w:val="21"/>
        </w:rPr>
        <w:t xml:space="preserve">dentro de un bloque de pliego</w:t>
      </w:r>
      <w:r>
        <w:rPr>
          <w:rFonts w:ascii="Calibri" w:cs="Calibri" w:eastAsia="Calibri" w:hAnsi="Calibri"/>
          <w:sz w:val="21"/>
          <w:szCs w:val="21"/>
        </w:rPr>
        <w:t xml:space="preserve">, y medía la equivalencia contra una infraestructura nombrada, que es exactamente el defecto que la Parte I, §5.3, diagnostica en la definición de «solución equivalente» de la versión anterior: si la equivalencia se mide contra un producto, el producto nombrado gana siempre. La infraestructura sólo puede aparecer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w:t>
      </w:r>
    </w:p>
    <w:p>
      <w:pPr>
        <w:spacing w:after="140" w:line="276"/>
      </w:pPr>
      <w:r>
        <w:rPr>
          <w:rFonts w:ascii="Calibri" w:cs="Calibri" w:eastAsia="Calibri" w:hAnsi="Calibri"/>
          <w:b/>
          <w:bCs/>
          <w:sz w:val="21"/>
          <w:szCs w:val="21"/>
        </w:rPr>
        <w:t xml:space="preserve">Advertencia de expediente.</w:t>
      </w:r>
      <w:r>
        <w:rPr>
          <w:rFonts w:ascii="Calibri" w:cs="Calibri" w:eastAsia="Calibri" w:hAnsi="Calibri"/>
          <w:sz w:val="21"/>
          <w:szCs w:val="21"/>
        </w:rPr>
        <w:t xml:space="preserve"> Cuando la cláusula se incorpore, el expediente debe contener el estudio de mercado que acredite pluralidad de operadores capaces de cumplir el apartado 2 sobre el caso de uso concreto (arts. 28.1 y 116.4 LCSP), y la declaración de conflicto de interés del artículo 64 LCSP referida a quienes participaron en la preparación. El estándar de prueba de la restricción de la concurrencia recae sobre el recurrente: así lo recuerda el Tribunal Administrativo de Contratación Pública de la Comunidad de Madrid en su </w:t>
      </w:r>
      <w:r>
        <w:rPr>
          <w:rFonts w:ascii="Calibri" w:cs="Calibri" w:eastAsia="Calibri" w:hAnsi="Calibri"/>
          <w:b/>
          <w:bCs/>
          <w:sz w:val="21"/>
          <w:szCs w:val="21"/>
        </w:rPr>
        <w:t xml:space="preserve">Resolución 92/2024, de 7 de marzo de 2024, recurso 70/2024</w:t>
      </w:r>
      <w:r>
        <w:rPr>
          <w:rFonts w:ascii="Calibri" w:cs="Calibri" w:eastAsia="Calibri" w:hAnsi="Calibri"/>
          <w:sz w:val="21"/>
          <w:szCs w:val="21"/>
        </w:rPr>
        <w:t xml:space="preserve"> (PALEX MEDICAL contra los pliegos del Hospital Universitario de Fuenlabrada), </w:t>
      </w:r>
      <w:hyperlink w:history="1" r:id="rIdk3e9yxsz2vj38n_eeem2c">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Tres cautelas sobre esta cita, y las tres son necesarias: es </w:t>
      </w:r>
      <w:r>
        <w:rPr>
          <w:rFonts w:ascii="Calibri" w:cs="Calibri" w:eastAsia="Calibri" w:hAnsi="Calibri"/>
          <w:b/>
          <w:bCs/>
          <w:sz w:val="21"/>
          <w:szCs w:val="21"/>
        </w:rPr>
        <w:t xml:space="preserve">desestimatoria</w:t>
      </w:r>
      <w:r>
        <w:rPr>
          <w:rFonts w:ascii="Calibri" w:cs="Calibri" w:eastAsia="Calibri" w:hAnsi="Calibri"/>
          <w:sz w:val="21"/>
          <w:szCs w:val="21"/>
        </w:rPr>
        <w:t xml:space="preserve">, de modo que no avala redacción alguna; el propio Tribunal atribuye el criterio a resoluciones anteriores suyas («valga por todas la 273/2017»), de modo que se cita de segunda mano; y se traslada aquí como </w:t>
      </w:r>
      <w:r>
        <w:rPr>
          <w:rFonts w:ascii="Calibri" w:cs="Calibri" w:eastAsia="Calibri" w:hAnsi="Calibri"/>
          <w:b/>
          <w:bCs/>
          <w:sz w:val="21"/>
          <w:szCs w:val="21"/>
        </w:rPr>
        <w:t xml:space="preserve">doctrina general por analogía</w:t>
      </w:r>
      <w:r>
        <w:rPr>
          <w:rFonts w:ascii="Calibri" w:cs="Calibri" w:eastAsia="Calibri" w:hAnsi="Calibri"/>
          <w:sz w:val="21"/>
          <w:szCs w:val="21"/>
        </w:rPr>
        <w:t xml:space="preserve">, porque no versa sobre infraestructuras de registro distribuido ni sobre contenido tecnológico. Nada de ello exime de motivar: exime de probar lo imposible, no de justificar lo exigido.</w:t>
      </w:r>
    </w:p>
    <w:p>
      <w:pPr>
        <w:spacing w:after="140" w:line="276"/>
      </w:pPr>
      <w:r>
        <w:rPr>
          <w:rFonts w:ascii="Calibri" w:cs="Calibri" w:eastAsia="Calibri" w:hAnsi="Calibri"/>
          <w:sz w:val="21"/>
          <w:szCs w:val="21"/>
        </w:rPr>
        <w:t xml:space="preserve">No consta, a fecha de corte de 1 de septiembre de 2026 y tras búsqueda en los repositorios del Tribunal Administrativo Central de Recursos Contractuales, del Tribunal Administrativo de Contratación Pública de la Comunidad de Madrid y del Órgano Administrativo de Recursos Contractuales del País Vasco, ninguna resolución sobre el uso de infraestructuras de registro distribuido en pliegos. No hay precedente favorable en el que ampararse ni contrario que temer.</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Documentación técnica de la solución: modelo de anclaje, algoritmo de resumen, política de sellado de tiempo y prestador cualificado empleado.</w:t>
      </w:r>
    </w:p>
    <w:p>
      <w:pPr>
        <w:pStyle w:val="ListParagraph"/>
        <w:numPr>
          <w:ilvl w:val="0"/>
          <w:numId w:val="1"/>
        </w:numPr>
        <w:spacing w:after="70" w:line="268"/>
      </w:pPr>
      <w:r>
        <w:rPr>
          <w:rFonts w:ascii="Calibri" w:cs="Calibri" w:eastAsia="Calibri" w:hAnsi="Calibri"/>
          <w:sz w:val="21"/>
          <w:szCs w:val="21"/>
        </w:rPr>
        <w:t xml:space="preserve">Informe de verificación independiente de integridad sobre una muestra de evidencias.</w:t>
      </w:r>
    </w:p>
    <w:p>
      <w:pPr>
        <w:pStyle w:val="ListParagraph"/>
        <w:numPr>
          <w:ilvl w:val="0"/>
          <w:numId w:val="1"/>
        </w:numPr>
        <w:spacing w:after="70" w:line="268"/>
      </w:pPr>
      <w:r>
        <w:rPr>
          <w:rFonts w:ascii="Calibri" w:cs="Calibri" w:eastAsia="Calibri" w:hAnsi="Calibri"/>
          <w:sz w:val="21"/>
          <w:szCs w:val="21"/>
        </w:rPr>
        <w:t xml:space="preserve">Documentación de interoperabilidad con la infraestructura de terceros de que se trate: especificación pública, versión y modelo de datos, o informe técnico de equivalencia conforme a DT-0·v3.</w:t>
      </w:r>
    </w:p>
    <w:p>
      <w:pPr>
        <w:pStyle w:val="ListParagraph"/>
        <w:numPr>
          <w:ilvl w:val="0"/>
          <w:numId w:val="1"/>
        </w:numPr>
        <w:spacing w:after="70" w:line="268"/>
      </w:pPr>
      <w:r>
        <w:rPr>
          <w:rFonts w:ascii="Calibri" w:cs="Calibri" w:eastAsia="Calibri" w:hAnsi="Calibri"/>
          <w:sz w:val="21"/>
          <w:szCs w:val="21"/>
        </w:rPr>
        <w:t xml:space="preserve">Procedimiento documentado de exportación y de verificación fuera de la infraestructura.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apoyo del delegado de protección de datos para el apartado 2.d).</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la funcionalidad y, después,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verificación de integridad y de exportación de evidencias, sobre el entorno de pruebas.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horas de aceptación inicial y 4 horas de verificación anual. Aproximadamente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actualización de la documentación técnica del anclaje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Imposibilidad de verificar la integridad de las evidencias por un tercero sin acceso privilegiado; falta de entrega del procedimiento de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Inscripción de datos personales en el registro distribuido contra lo previsto en el apartado 2.d)</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Se marca NO APLICA salvo que la ficha del Anexo II identifique el caso de uso y la memoria lo motive.</w:t>
      </w:r>
    </w:p>
    <w:p>
      <w:pPr>
        <w:pStyle w:val="ListParagraph"/>
        <w:numPr>
          <w:ilvl w:val="0"/>
          <w:numId w:val="1"/>
        </w:numPr>
        <w:spacing w:after="70" w:line="268"/>
      </w:pPr>
      <w:r>
        <w:rPr>
          <w:rFonts w:ascii="Calibri" w:cs="Calibri" w:eastAsia="Calibri" w:hAnsi="Calibri"/>
          <w:sz w:val="21"/>
          <w:szCs w:val="21"/>
        </w:rPr>
        <w:t xml:space="preserve">No se aplica cuando la necesidad de integridad y fecha cierta se satisfaga con firma electrónica, sello de órgano, sellado de tiempo cualificado o archivo electrónico ya disponibles, que es el caso más frecuente.</w:t>
      </w:r>
    </w:p>
    <w:p>
      <w:pPr>
        <w:pStyle w:val="ListParagraph"/>
        <w:numPr>
          <w:ilvl w:val="0"/>
          <w:numId w:val="1"/>
        </w:numPr>
        <w:spacing w:after="70" w:line="268"/>
      </w:pPr>
      <w:r>
        <w:rPr>
          <w:rFonts w:ascii="Calibri" w:cs="Calibri" w:eastAsia="Calibri" w:hAnsi="Calibri"/>
          <w:sz w:val="21"/>
          <w:szCs w:val="21"/>
        </w:rPr>
        <w:t xml:space="preserve">No se aplica en contratos menores, ni en basados en acuerdo marco cuyo catálogo no la contemple,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esta cláusula se marca NO APLICA, debe suprimirse también el criterio de adjudicación que, en su caso, hubiera valorado esa capacidad —el baremo de ADM-7·v3 no contiene ninguno por defecto— y la mención correspondiente del Anexo VII (declaración responsable). Puntuar una capacidad cuya cláusula técnica el propio pliego ha declarado innecesaria es un defecto que no se motiva. La lista completa de menciones que arrastra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II.4 · DT-3·v3 — Criptoagilidad y preparación para la criptografía post-cuántica</w:t>
      </w:r>
    </w:p>
    <w:p>
      <w:pPr>
        <w:spacing w:after="140" w:line="276"/>
      </w:pPr>
      <w:r>
        <w:rPr>
          <w:rFonts w:ascii="Calibri" w:cs="Calibri" w:eastAsia="Calibri" w:hAnsi="Calibri"/>
          <w:i/>
          <w:iCs/>
          <w:sz w:val="21"/>
          <w:szCs w:val="21"/>
        </w:rPr>
        <w:t xml:space="preserve">(Degradada.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Sale del baremo. Queda como requisito funcional activable en sistemas con datos de conservación prolongada o especialmente protegidos.)*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DT-3. Criptoagilidad y preparación para la criptografía post-cuántica.</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se incorpora cuando la solución trate datos de las categorías especiales del artículo 9 del Reglamento (UE) 2016/679, o información cuyo período de conservación exigible sea igual o superior a [X; se recomienda 5] años, y así conste en la memoria del expediente.</w:t>
            </w:r>
          </w:p>
          <w:p>
            <w:pPr>
              <w:spacing w:after="100" w:line="264"/>
            </w:pPr>
            <w:r>
              <w:rPr>
                <w:rFonts w:ascii="Georgia" w:cs="Georgia" w:eastAsia="Georgia" w:hAnsi="Georgia"/>
                <w:b/>
                <w:bCs/>
                <w:sz w:val="20"/>
                <w:szCs w:val="20"/>
              </w:rPr>
              <w:t xml:space="preserve">2. Criptoagilidad.</w:t>
            </w:r>
            <w:r>
              <w:rPr>
                <w:rFonts w:ascii="Georgia" w:cs="Georgia" w:eastAsia="Georgia" w:hAnsi="Georgia"/>
                <w:sz w:val="20"/>
                <w:szCs w:val="20"/>
              </w:rPr>
              <w:t xml:space="preserve"> La solución permitirá sustituir los algoritmos, longitudes de clave y protocolos criptográficos que emplea sin rediseñar el sistema ni interrumpir el servicio más allá de las ventanas de mantenimiento pactadas. El adjudicatario documentará el procedimiento de sustitución y el tiempo estimado de ejecución.</w:t>
            </w:r>
          </w:p>
          <w:p>
            <w:pPr>
              <w:spacing w:after="100" w:line="264"/>
            </w:pPr>
            <w:r>
              <w:rPr>
                <w:rFonts w:ascii="Georgia" w:cs="Georgia" w:eastAsia="Georgia" w:hAnsi="Georgia"/>
                <w:b/>
                <w:bCs/>
                <w:sz w:val="20"/>
                <w:szCs w:val="20"/>
              </w:rPr>
              <w:t xml:space="preserve">3. Inventario criptográfico.</w:t>
            </w:r>
            <w:r>
              <w:rPr>
                <w:rFonts w:ascii="Georgia" w:cs="Georgia" w:eastAsia="Georgia" w:hAnsi="Georgia"/>
                <w:sz w:val="20"/>
                <w:szCs w:val="20"/>
              </w:rPr>
              <w:t xml:space="preserve"> El adjudicatario elaborará y mantendrá actualizado, con periodicidad [X; se recomienda anual], un inventario de los algoritmos, protocolos, longitudes de clave, certificados y componentes criptográficos empleados por la solución, con identificación de los datos que protege cada uno y de su fecha prevista de retirada.</w:t>
            </w:r>
          </w:p>
          <w:p>
            <w:pPr>
              <w:spacing w:after="100" w:line="264"/>
            </w:pPr>
            <w:r>
              <w:rPr>
                <w:rFonts w:ascii="Georgia" w:cs="Georgia" w:eastAsia="Georgia" w:hAnsi="Georgia"/>
                <w:b/>
                <w:bCs/>
                <w:sz w:val="20"/>
                <w:szCs w:val="20"/>
              </w:rPr>
              <w:t xml:space="preserve">4. Plan de transición.</w:t>
            </w:r>
            <w:r>
              <w:rPr>
                <w:rFonts w:ascii="Georgia" w:cs="Georgia" w:eastAsia="Georgia" w:hAnsi="Georgia"/>
                <w:sz w:val="20"/>
                <w:szCs w:val="20"/>
              </w:rPr>
              <w:t xml:space="preserve"> El adjudicatario presentará, en el plazo de [X; se recomienda 6] meses desde la formalización, y actualizará anualmente, un plan de transición a algoritmos resistentes a la computación cuántica, con hitos y fechas, referido a los sistemas y datos del inventario del apartado 3.</w:t>
            </w:r>
          </w:p>
          <w:p>
            <w:pPr>
              <w:spacing w:after="100" w:line="264"/>
            </w:pPr>
            <w:r>
              <w:rPr>
                <w:rFonts w:ascii="Georgia" w:cs="Georgia" w:eastAsia="Georgia" w:hAnsi="Georgia"/>
                <w:b/>
                <w:bCs/>
                <w:sz w:val="20"/>
                <w:szCs w:val="20"/>
              </w:rPr>
              <w:t xml:space="preserve">5. Algoritmos exigibles.</w:t>
            </w:r>
            <w:r>
              <w:rPr>
                <w:rFonts w:ascii="Georgia" w:cs="Georgia" w:eastAsia="Georgia" w:hAnsi="Georgia"/>
                <w:sz w:val="20"/>
                <w:szCs w:val="20"/>
              </w:rPr>
              <w:t xml:space="preserve"> Los algoritmos criptográficos empleados se ajustarán a las normas europeas o internacionales aplicables y a las guías CCN-STIC del Centro Criptológico Nacional vigentes en cada momento en el ámbito del Esquema Nacional de Seguridad, o a especificaciones equivalentes acreditadas conforme a la cláusula DT-0. No se impone algoritmo, familia ni especificación nominados.</w:t>
            </w:r>
          </w:p>
          <w:p>
            <w:pPr>
              <w:spacing w:after="100" w:line="264"/>
            </w:pPr>
            <w:r>
              <w:rPr>
                <w:rFonts w:ascii="Georgia" w:cs="Georgia" w:eastAsia="Georgia" w:hAnsi="Georgia"/>
                <w:b/>
                <w:bCs/>
                <w:sz w:val="20"/>
                <w:szCs w:val="20"/>
              </w:rPr>
              <w:t xml:space="preserve">6. Datos de conservación prolongada.</w:t>
            </w:r>
            <w:r>
              <w:rPr>
                <w:rFonts w:ascii="Georgia" w:cs="Georgia" w:eastAsia="Georgia" w:hAnsi="Georgia"/>
                <w:sz w:val="20"/>
                <w:szCs w:val="20"/>
              </w:rPr>
              <w:t xml:space="preserve"> El plan del apartado 4 identificará expresamente los conjuntos de datos expuestos a la amenaza de captura anticipada y descifrado posterior, y priorizará su protección.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a continuación de DT-6·v3. </w:t>
      </w:r>
      <w:r>
        <w:rPr>
          <w:rFonts w:ascii="Calibri" w:cs="Calibri" w:eastAsia="Calibri" w:hAnsi="Calibri"/>
          <w:b/>
          <w:bCs/>
          <w:sz w:val="21"/>
          <w:szCs w:val="21"/>
        </w:rPr>
        <w:t xml:space="preserve">Sólo si la ficha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criptografía de la solución no es materia libre: es una medida del Esquema Nacional de Seguridad, y el artículo 2.3 del Real Decreto 311/2022 obliga a que los pliegos contemplen «todos aquellos requisitos necesarios para asegurar la conformidad con el ENS de los sistemas de información en los que se sustenten los servicios prestados por los contratistas». La necesidad concreta que esta cláusula añade sobre DT-6·v3 es la de </w:t>
      </w:r>
      <w:r>
        <w:rPr>
          <w:rFonts w:ascii="Calibri" w:cs="Calibri" w:eastAsia="Calibri" w:hAnsi="Calibri"/>
          <w:b/>
          <w:bCs/>
          <w:sz w:val="21"/>
          <w:szCs w:val="21"/>
        </w:rPr>
        <w:t xml:space="preserve">conservación prolongada</w:t>
      </w:r>
      <w:r>
        <w:rPr>
          <w:rFonts w:ascii="Calibri" w:cs="Calibri" w:eastAsia="Calibri" w:hAnsi="Calibri"/>
          <w:sz w:val="21"/>
          <w:szCs w:val="21"/>
        </w:rPr>
        <w:t xml:space="preserve">: la información que hay que custodiar durante décadas se cifra hoy con algoritmos cuya vigencia futura no está garantizada. Fuera de ese supuesto, DT-3·v3 es una exigencia sin necesidad identificada y no debe incorporarse.</w:t>
      </w:r>
    </w:p>
    <w:p>
      <w:pPr>
        <w:spacing w:after="140" w:line="276"/>
      </w:pPr>
      <w:r>
        <w:rPr>
          <w:rFonts w:ascii="Calibri" w:cs="Calibri" w:eastAsia="Calibri" w:hAnsi="Calibri"/>
          <w:b/>
          <w:bCs/>
          <w:sz w:val="21"/>
          <w:szCs w:val="21"/>
        </w:rPr>
        <w:t xml:space="preserve">Por qué no se nombra ninguna familia de algoritmos en el pliego.</w:t>
      </w:r>
      <w:r>
        <w:rPr>
          <w:rFonts w:ascii="Calibri" w:cs="Calibri" w:eastAsia="Calibri" w:hAnsi="Calibri"/>
          <w:sz w:val="21"/>
          <w:szCs w:val="21"/>
        </w:rPr>
        <w:t xml:space="preserve"> El artículo 126.5.b) LCSP fija un orden de prelación que antepone las normas nacionales que incorporen normas europeas, las evaluaciones técnicas europeas, las especificaciones técnicas comunes y las normas internacionales a las normas nacionales de terceros países. Las especificaciones del NIST estadounidense —FIPS 203, 204 y 205— son norma federal de un tercer Estado: </w:t>
      </w:r>
      <w:r>
        <w:rPr>
          <w:rFonts w:ascii="Calibri" w:cs="Calibri" w:eastAsia="Calibri" w:hAnsi="Calibri"/>
          <w:b/>
          <w:bCs/>
          <w:sz w:val="21"/>
          <w:szCs w:val="21"/>
        </w:rPr>
        <w:t xml:space="preserve">son referencia útil del estado del arte, y como tal figuran en el bloque de referencias técnicas no normativas de la Parte I, §4.2, pero no se citan en el articulado</w:t>
      </w:r>
      <w:r>
        <w:rPr>
          <w:rFonts w:ascii="Calibri" w:cs="Calibri" w:eastAsia="Calibri" w:hAnsi="Calibri"/>
          <w:sz w:val="21"/>
          <w:szCs w:val="21"/>
        </w:rPr>
        <w:t xml:space="preserve">. Un recurso bien construido no ganaría por esto solo; lo usaría como acumulación de indicios. Lo que el pliego exige es el resultado: algoritmos conformes a las normas aplicables y a las guías CCN-STIC, que sí son de referencia obligada en el ámbito del ENS.</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Inventario criptográfico firmado, en formato reutilizable, con la estructura que el pliego fije.</w:t>
      </w:r>
    </w:p>
    <w:p>
      <w:pPr>
        <w:pStyle w:val="ListParagraph"/>
        <w:numPr>
          <w:ilvl w:val="0"/>
          <w:numId w:val="1"/>
        </w:numPr>
        <w:spacing w:after="70" w:line="268"/>
      </w:pPr>
      <w:r>
        <w:rPr>
          <w:rFonts w:ascii="Calibri" w:cs="Calibri" w:eastAsia="Calibri" w:hAnsi="Calibri"/>
          <w:sz w:val="21"/>
          <w:szCs w:val="21"/>
        </w:rPr>
        <w:t xml:space="preserve">Plan de transición con hitos, fechas y responsables.</w:t>
      </w:r>
    </w:p>
    <w:p>
      <w:pPr>
        <w:pStyle w:val="ListParagraph"/>
        <w:numPr>
          <w:ilvl w:val="0"/>
          <w:numId w:val="1"/>
        </w:numPr>
        <w:spacing w:after="70" w:line="268"/>
      </w:pPr>
      <w:r>
        <w:rPr>
          <w:rFonts w:ascii="Calibri" w:cs="Calibri" w:eastAsia="Calibri" w:hAnsi="Calibri"/>
          <w:sz w:val="21"/>
          <w:szCs w:val="21"/>
        </w:rPr>
        <w:t xml:space="preserve">Documentación técnica del procedimiento de sustitución de algoritmos y, cuando se haya ejecutado, acta de la sustitución realizada.</w:t>
      </w:r>
    </w:p>
    <w:p>
      <w:pPr>
        <w:pStyle w:val="ListParagraph"/>
        <w:numPr>
          <w:ilvl w:val="0"/>
          <w:numId w:val="1"/>
        </w:numPr>
        <w:spacing w:after="70" w:line="268"/>
      </w:pPr>
      <w:r>
        <w:rPr>
          <w:rFonts w:ascii="Calibri" w:cs="Calibri" w:eastAsia="Calibri" w:hAnsi="Calibri"/>
          <w:sz w:val="21"/>
          <w:szCs w:val="21"/>
        </w:rPr>
        <w:t xml:space="preserve">Informe del fabricante o del organismo de evaluación cuando se invoque equivalencia conforme a DT-0·v3.</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o, en su defecto, el servicio de informática.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entrega inicial del plan a los [6; se recomienda 6] meses; revisión anual coincidiendo con la del ENS.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revisión del inventario y del plan, incorporado al expediente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aprovechando la revisión de seguridad ya prevista en DT-6·v3. </w:t>
      </w:r>
      <w:r>
        <w:rPr>
          <w:rFonts w:ascii="Calibri" w:cs="Calibri" w:eastAsia="Calibri" w:hAnsi="Calibri"/>
          <w:b/>
          <w:bCs/>
          <w:sz w:val="21"/>
          <w:szCs w:val="21"/>
        </w:rPr>
        <w:t xml:space="preserve">4 horas al año.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o actualización del inventario o del plan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plan de transición transcurrido el plazo más [30; se recomienda 30] días desde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algoritmos expresamente desaconsejados por las guías CCN-STIC aplicables, no subsanado tras requerimiento</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p>
    <w:p>
      <w:pPr>
        <w:pStyle w:val="ListParagraph"/>
        <w:numPr>
          <w:ilvl w:val="0"/>
          <w:numId w:val="1"/>
        </w:numPr>
        <w:spacing w:after="70" w:line="268"/>
      </w:pPr>
      <w:r>
        <w:rPr>
          <w:rFonts w:ascii="Calibri" w:cs="Calibri" w:eastAsia="Calibri" w:hAnsi="Calibri"/>
          <w:sz w:val="21"/>
          <w:szCs w:val="21"/>
        </w:rPr>
        <w:t xml:space="preserve">No se aplica cuando la solución no trate categorías especiales de datos ni información de conservación prolongada.</w:t>
      </w:r>
    </w:p>
    <w:p>
      <w:pPr>
        <w:pStyle w:val="ListParagraph"/>
        <w:numPr>
          <w:ilvl w:val="0"/>
          <w:numId w:val="1"/>
        </w:numPr>
        <w:spacing w:after="70" w:line="268"/>
      </w:pPr>
      <w:r>
        <w:rPr>
          <w:rFonts w:ascii="Calibri" w:cs="Calibri" w:eastAsia="Calibri" w:hAnsi="Calibri"/>
          <w:sz w:val="21"/>
          <w:szCs w:val="21"/>
        </w:rPr>
        <w:t xml:space="preserve">No se aplica cuando la solución no gestione material criptográfico propio (por ejemplo, cuando la firma y el cifrado los preste íntegramente una plataforma común del Ayuntamiento).</w:t>
      </w:r>
    </w:p>
    <w:p>
      <w:pPr>
        <w:pStyle w:val="ListParagraph"/>
        <w:numPr>
          <w:ilvl w:val="0"/>
          <w:numId w:val="1"/>
        </w:numPr>
        <w:spacing w:after="70" w:line="268"/>
      </w:pPr>
      <w:r>
        <w:rPr>
          <w:rFonts w:ascii="Calibri" w:cs="Calibri" w:eastAsia="Calibri" w:hAnsi="Calibri"/>
          <w:sz w:val="21"/>
          <w:szCs w:val="21"/>
        </w:rPr>
        <w:t xml:space="preserve">No se aplica en contratos menores, en basados en acuerdo marco que no lo contemplen,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 suprimirse la mención correlativa del Anexo VII (declaración responsable). DT-3·v3 no tiene criterio de adjudicación asociado en v3: salió del baremo.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II.5 · DT-4·v3 — Automatización de procesos municipales identificados</w:t>
      </w:r>
    </w:p>
    <w:p>
      <w:pPr>
        <w:spacing w:after="140" w:line="276"/>
      </w:pPr>
      <w:r>
        <w:rPr>
          <w:rFonts w:ascii="Calibri" w:cs="Calibri" w:eastAsia="Calibri" w:hAnsi="Calibri"/>
          <w:i/>
          <w:iCs/>
          <w:sz w:val="21"/>
          <w:szCs w:val="21"/>
        </w:rPr>
        <w:t xml:space="preserve">(Reescrita. Desaparecen del articulado «Loop Engineering», «skills», «harness», «loops» e «hiperautomatización»: carecen de definición normalizada y no son verificables en un procedimiento contradictorio. Se sustituyen por una lista cerrada y numerada de procesos.)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DT-4. Automatización de procesos municipales identificados.</w:t>
            </w:r>
          </w:p>
          <w:p>
            <w:pPr>
              <w:spacing w:after="100" w:line="264"/>
            </w:pPr>
            <w:r>
              <w:rPr>
                <w:rFonts w:ascii="Georgia" w:cs="Georgia" w:eastAsia="Georgia" w:hAnsi="Georgia"/>
                <w:b/>
                <w:bCs/>
                <w:sz w:val="20"/>
                <w:szCs w:val="20"/>
              </w:rPr>
              <w:t xml:space="preserve">1. Objeto y lista cerrada.</w:t>
            </w:r>
            <w:r>
              <w:rPr>
                <w:rFonts w:ascii="Georgia" w:cs="Georgia" w:eastAsia="Georgia" w:hAnsi="Georgia"/>
                <w:sz w:val="20"/>
                <w:szCs w:val="20"/>
              </w:rPr>
              <w:t xml:space="preserve"> La solución permitirá automatizar, total o parcialmente, los procesos administrativos que se relacionan de forma cerrada y numerada en el </w:t>
            </w:r>
            <w:r>
              <w:rPr>
                <w:rFonts w:ascii="Georgia" w:cs="Georgia" w:eastAsia="Georgia" w:hAnsi="Georgia"/>
                <w:b/>
                <w:bCs/>
                <w:sz w:val="20"/>
                <w:szCs w:val="20"/>
              </w:rPr>
              <w:t xml:space="preserve">Apéndice [núm.] de este pliego</w:t>
            </w:r>
            <w:r>
              <w:rPr>
                <w:rFonts w:ascii="Georgia" w:cs="Georgia" w:eastAsia="Georgia" w:hAnsi="Georgia"/>
                <w:sz w:val="20"/>
                <w:szCs w:val="20"/>
              </w:rPr>
              <w:t xml:space="preserve">. El licitador indicará en su oferta, sobre esa relación y proceso por proceso, cuáles se compromete a automatizar, con qué alcance y en qué plazo. No se admitirán propuestas de automatización referidas a procesos ajenos a dicha relación.</w:t>
            </w:r>
          </w:p>
          <w:p>
            <w:pPr>
              <w:spacing w:after="100" w:line="264"/>
            </w:pPr>
            <w:r>
              <w:rPr>
                <w:rFonts w:ascii="Georgia" w:cs="Georgia" w:eastAsia="Georgia" w:hAnsi="Georgia"/>
                <w:b/>
                <w:bCs/>
                <w:sz w:val="20"/>
                <w:szCs w:val="20"/>
              </w:rPr>
              <w:t xml:space="preserve">2. Número mínimo.</w:t>
            </w:r>
            <w:r>
              <w:rPr>
                <w:rFonts w:ascii="Georgia" w:cs="Georgia" w:eastAsia="Georgia" w:hAnsi="Georgia"/>
                <w:sz w:val="20"/>
                <w:szCs w:val="20"/>
              </w:rPr>
              <w:t xml:space="preserve"> El adjudicatario automatizará, como mínimo, [X; se recomienda 3] de los procesos relacionados en el Apéndice [núm.], en el plazo máximo de [X; se recomienda 6] meses desde la formalización del contrato o, si fuera posterior, desde la puesta en producción del módulo correspondiente.</w:t>
            </w:r>
          </w:p>
          <w:p>
            <w:pPr>
              <w:spacing w:after="100" w:line="264"/>
            </w:pPr>
            <w:r>
              <w:rPr>
                <w:rFonts w:ascii="Georgia" w:cs="Georgia" w:eastAsia="Georgia" w:hAnsi="Georgia"/>
                <w:b/>
                <w:bCs/>
                <w:sz w:val="20"/>
                <w:szCs w:val="20"/>
              </w:rPr>
              <w:t xml:space="preserve">3. Requisitos de toda automatización.</w:t>
            </w:r>
            <w:r>
              <w:rPr>
                <w:rFonts w:ascii="Georgia" w:cs="Georgia" w:eastAsia="Georgia" w:hAnsi="Georgia"/>
                <w:sz w:val="20"/>
                <w:szCs w:val="20"/>
              </w:rPr>
              <w:t xml:space="preserve"> Cada automatización deberá cumplir:</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Supervisión humana.</w:t>
            </w:r>
            <w:r>
              <w:rPr>
                <w:rFonts w:ascii="Georgia" w:cs="Georgia" w:eastAsia="Georgia" w:hAnsi="Georgia"/>
                <w:sz w:val="20"/>
                <w:szCs w:val="20"/>
              </w:rPr>
              <w:t xml:space="preserve"> Identificación del puesto responsable de supervisar la ejecución, con capacidad efectiva de intervenir, detener y corregir.</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Trazabilidad.</w:t>
            </w:r>
            <w:r>
              <w:rPr>
                <w:rFonts w:ascii="Georgia" w:cs="Georgia" w:eastAsia="Georgia" w:hAnsi="Georgia"/>
                <w:sz w:val="20"/>
                <w:szCs w:val="20"/>
              </w:rPr>
              <w:t xml:space="preserve"> Registro de cada ejecución, con marca temporal, datos de entrada y de salida, resultado e incidencias, exportable en formato abierto y documentado.</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Reversibilidad.</w:t>
            </w:r>
            <w:r>
              <w:rPr>
                <w:rFonts w:ascii="Georgia" w:cs="Georgia" w:eastAsia="Georgia" w:hAnsi="Georgia"/>
                <w:sz w:val="20"/>
                <w:szCs w:val="20"/>
              </w:rPr>
              <w:t xml:space="preserve"> Posibilidad de revertir los efectos de una ejecución errónea o, cuando la reversión automática no sea técnicamente posible, procedimiento documentado de reversión con indicación del tiempo estimado y del puesto responsable de ejecutarlo.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Puntos de parada y tratamiento de errores.</w:t>
            </w:r>
            <w:r>
              <w:rPr>
                <w:rFonts w:ascii="Georgia" w:cs="Georgia" w:eastAsia="Georgia" w:hAnsi="Georgia"/>
                <w:sz w:val="20"/>
                <w:szCs w:val="20"/>
              </w:rPr>
              <w:t xml:space="preserve"> Condiciones de terminación definidas, límites de reintentos, y comportamiento explícito ante error, sin que la automatización pueda quedar en ejecución indefinida.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Respeto del procedimiento administrativo.</w:t>
            </w:r>
            <w:r>
              <w:rPr>
                <w:rFonts w:ascii="Georgia" w:cs="Georgia" w:eastAsia="Georgia" w:hAnsi="Georgia"/>
                <w:sz w:val="20"/>
                <w:szCs w:val="20"/>
              </w:rPr>
              <w:t xml:space="preserve"> Cuando la automatización afecte a un procedimiento administrativo, se ajustará a lo dispuesto en las Leyes 39/2015 y 40/2015; si constituye actuación administrativa automatizada, se estará a lo previsto en la cláusula DT-1, apartado 7.</w:t>
            </w:r>
          </w:p>
          <w:p>
            <w:pPr>
              <w:spacing w:after="100" w:line="264"/>
            </w:pPr>
            <w:r>
              <w:rPr>
                <w:rFonts w:ascii="Georgia" w:cs="Georgia" w:eastAsia="Georgia" w:hAnsi="Georgia"/>
                <w:b/>
                <w:bCs/>
                <w:sz w:val="20"/>
                <w:szCs w:val="20"/>
              </w:rPr>
              <w:t xml:space="preserve">4. Medición.</w:t>
            </w:r>
            <w:r>
              <w:rPr>
                <w:rFonts w:ascii="Georgia" w:cs="Georgia" w:eastAsia="Georgia" w:hAnsi="Georgia"/>
                <w:sz w:val="20"/>
                <w:szCs w:val="20"/>
              </w:rPr>
              <w:t xml:space="preserve"> Para cada proceso automatizado se medirán, con periodicidad [X; se recomienda trimestral], al menos los siguientes indicadores, cuyo valor de partida se fijará antes de la automatización: número de ejecuciones, tasa de ejecuciones que requieren intervención humana, tiempo medio de tramitación antes y después, y tasa de error. El adjudicatario entregará los indicadores en formato reutilizable.</w:t>
            </w:r>
          </w:p>
          <w:p>
            <w:pPr>
              <w:spacing w:after="100" w:line="264"/>
            </w:pPr>
            <w:r>
              <w:rPr>
                <w:rFonts w:ascii="Georgia" w:cs="Georgia" w:eastAsia="Georgia" w:hAnsi="Georgia"/>
                <w:b/>
                <w:bCs/>
                <w:sz w:val="20"/>
                <w:szCs w:val="20"/>
              </w:rPr>
              <w:t xml:space="preserve">5. Aceptación.</w:t>
            </w:r>
            <w:r>
              <w:rPr>
                <w:rFonts w:ascii="Georgia" w:cs="Georgia" w:eastAsia="Georgia" w:hAnsi="Georgia"/>
                <w:sz w:val="20"/>
                <w:szCs w:val="20"/>
              </w:rPr>
              <w:t xml:space="preserve"> Cada automatización se aceptará expresamente previa prueba sobre el entorno de pruebas, documentada en acta, en la que se verificarán las letras a) a e) del apartado 3. La aceptación no exime de responsabilidad por degradación posterior.</w:t>
            </w:r>
          </w:p>
        </w:tc>
      </w:tr>
    </w:tbl>
    <w:p>
      <w:pPr>
        <w:spacing w:after="220"/>
      </w:pPr>
    </w:p>
    <w:p>
      <w:pPr>
        <w:spacing w:after="140" w:line="276"/>
      </w:pPr>
      <w:r>
        <w:rPr>
          <w:rFonts w:ascii="Calibri" w:cs="Calibri" w:eastAsia="Calibri" w:hAnsi="Calibri"/>
          <w:sz w:val="21"/>
          <w:szCs w:val="21"/>
        </w:rPr>
        <w:t xml:space="preserve">Además, el PPT debe incorporar el Apéndice al que remite el apartado 1. Modelo mínimo de cada fila: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Proceso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responsable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 anual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medio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automatización pretendida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funcionalidades de la solución. El Apéndice con la lista cerrada es parte del PPT, no un documento anexo suelto: se transcribe físicamente dentro del pliego.</w:t>
      </w:r>
    </w:p>
    <w:p>
      <w:pPr>
        <w:spacing w:after="140" w:line="276"/>
      </w:pPr>
      <w:r>
        <w:rPr>
          <w:rFonts w:ascii="Calibri" w:cs="Calibri" w:eastAsia="Calibri" w:hAnsi="Calibri"/>
          <w:sz w:val="21"/>
          <w:szCs w:val="21"/>
        </w:rPr>
        <w:t xml:space="preserve">El compromiso del licitador sobre la lista (apartado 1) es contenido de la oferta técnica: debe estar reflejado en el índice del sobre correspondiente del PCAP.</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funcional y la firma el gestor: son sus procesos, su volumen y sus tiempos. Por eso el Apéndice no lo puede rellenar contratación: </w:t>
      </w:r>
      <w:r>
        <w:rPr>
          <w:rFonts w:ascii="Calibri" w:cs="Calibri" w:eastAsia="Calibri" w:hAnsi="Calibri"/>
          <w:b/>
          <w:bCs/>
          <w:sz w:val="21"/>
          <w:szCs w:val="21"/>
        </w:rPr>
        <w:t xml:space="preserve">si el área gestora no puede enumerar tres procesos con su volumen y su tiempo medio actual, la cláusula no tiene necesidad detrás y no se incorpora.</w:t>
      </w:r>
      <w:r>
        <w:rPr>
          <w:rFonts w:ascii="Calibri" w:cs="Calibri" w:eastAsia="Calibri" w:hAnsi="Calibri"/>
          <w:sz w:val="21"/>
          <w:szCs w:val="21"/>
        </w:rPr>
        <w:t xml:space="preserve"> Ésa es la traducción operativa de la regla «primero la necesidad, después la cláusula».</w:t>
      </w:r>
    </w:p>
    <w:p>
      <w:pPr>
        <w:spacing w:after="140" w:line="276"/>
      </w:pPr>
      <w:r>
        <w:rPr>
          <w:rFonts w:ascii="Calibri" w:cs="Calibri" w:eastAsia="Calibri" w:hAnsi="Calibri"/>
          <w:sz w:val="21"/>
          <w:szCs w:val="21"/>
        </w:rPr>
        <w:t xml:space="preserve">El anclaje legal de la formulación es el artículo 99.1 LCSP, que permite definir el objeto «en atención a las necesidades o funcionalidades concretas que se pretenden satisfacer, sin cerrar el objeto del contrato a una solución única» y señala como caso preferente aquel en que «pueden incorporarse innovaciones tecnológicas». Lo que la ley quiere indeterminado es la </w:t>
      </w:r>
      <w:r>
        <w:rPr>
          <w:rFonts w:ascii="Calibri" w:cs="Calibri" w:eastAsia="Calibri" w:hAnsi="Calibri"/>
          <w:b/>
          <w:bCs/>
          <w:sz w:val="21"/>
          <w:szCs w:val="21"/>
        </w:rPr>
        <w:t xml:space="preserve">solución</w:t>
      </w:r>
      <w:r>
        <w:rPr>
          <w:rFonts w:ascii="Calibri" w:cs="Calibri" w:eastAsia="Calibri" w:hAnsi="Calibri"/>
          <w:sz w:val="21"/>
          <w:szCs w:val="21"/>
        </w:rPr>
        <w:t xml:space="preserve">; lo que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 De ahí la lista cerrada.</w:t>
      </w:r>
    </w:p>
    <w:p>
      <w:pPr>
        <w:spacing w:after="140" w:line="276"/>
      </w:pPr>
      <w:r>
        <w:rPr>
          <w:rFonts w:ascii="Calibri" w:cs="Calibri" w:eastAsia="Calibri" w:hAnsi="Calibri"/>
          <w:b/>
          <w:bCs/>
          <w:sz w:val="21"/>
          <w:szCs w:val="21"/>
        </w:rPr>
        <w:t xml:space="preserve">Por qué desaparece el vocabulario anterior.</w:t>
      </w:r>
      <w:r>
        <w:rPr>
          <w:rFonts w:ascii="Calibri" w:cs="Calibri" w:eastAsia="Calibri" w:hAnsi="Calibri"/>
          <w:sz w:val="21"/>
          <w:szCs w:val="21"/>
        </w:rPr>
        <w:t xml:space="preserve"> «Loop Engineering», «skills», «harness», «loops» e «hiperautomatización» no tienen definición normalizada. Una obligación redactada con esos términos no se puede verificar en un procedimiento contradictorio y, por tanto, no sostiene ni el criterio, ni la penalidad, ni la resolución. Pueden figurar en el glosario descriptivo del Anexo XIII, </w:t>
      </w:r>
      <w:r>
        <w:rPr>
          <w:rFonts w:ascii="Calibri" w:cs="Calibri" w:eastAsia="Calibri" w:hAnsi="Calibri"/>
          <w:b/>
          <w:bCs/>
          <w:sz w:val="21"/>
          <w:szCs w:val="21"/>
        </w:rPr>
        <w:t xml:space="preserve">sin efectos jurídicos</w:t>
      </w:r>
      <w:r>
        <w:rPr>
          <w:rFonts w:ascii="Calibri" w:cs="Calibri" w:eastAsia="Calibri" w:hAnsi="Calibri"/>
          <w:sz w:val="21"/>
          <w:szCs w:val="21"/>
        </w:rPr>
        <w:t xml:space="preserve">, y no en el articulado. La misma conclusión estaba ya en la propuesta de modificaciones de agosto de 2026, que suprimió la enumeración de denominaciones comerciales «por carecer de definición normalizada y poder quedar desfasada».</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Compromiso del licitador sobre el Apéndice, cumplimentado proceso por proceso, en la oferta.</w:t>
      </w:r>
    </w:p>
    <w:p>
      <w:pPr>
        <w:pStyle w:val="ListParagraph"/>
        <w:numPr>
          <w:ilvl w:val="0"/>
          <w:numId w:val="1"/>
        </w:numPr>
        <w:spacing w:after="70" w:line="268"/>
      </w:pPr>
      <w:r>
        <w:rPr>
          <w:rFonts w:ascii="Calibri" w:cs="Calibri" w:eastAsia="Calibri" w:hAnsi="Calibri"/>
          <w:sz w:val="21"/>
          <w:szCs w:val="21"/>
        </w:rPr>
        <w:t xml:space="preserve">Acta de aceptación por automatización, con verificación de las letras a) a e) del apartado 3.</w:t>
      </w:r>
    </w:p>
    <w:p>
      <w:pPr>
        <w:pStyle w:val="ListParagraph"/>
        <w:numPr>
          <w:ilvl w:val="0"/>
          <w:numId w:val="1"/>
        </w:numPr>
        <w:spacing w:after="70" w:line="268"/>
      </w:pPr>
      <w:r>
        <w:rPr>
          <w:rFonts w:ascii="Calibri" w:cs="Calibri" w:eastAsia="Calibri" w:hAnsi="Calibri"/>
          <w:sz w:val="21"/>
          <w:szCs w:val="21"/>
        </w:rPr>
        <w:t xml:space="preserve">Documento de diseño de cada automatización: puesto supervisor, condiciones de terminación, tratamiento de errores y procedimiento de reversión.</w:t>
      </w:r>
    </w:p>
    <w:p>
      <w:pPr>
        <w:pStyle w:val="ListParagraph"/>
        <w:numPr>
          <w:ilvl w:val="0"/>
          <w:numId w:val="1"/>
        </w:numPr>
        <w:spacing w:after="70" w:line="268"/>
      </w:pPr>
      <w:r>
        <w:rPr>
          <w:rFonts w:ascii="Calibri" w:cs="Calibri" w:eastAsia="Calibri" w:hAnsi="Calibri"/>
          <w:sz w:val="21"/>
          <w:szCs w:val="21"/>
        </w:rPr>
        <w:t xml:space="preserve">Fichero de indicadores en formato reutilizable, con la periodicidad del apartado 4.</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gestor del proceso automatizado, con el responsable del contrato.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cada automatización, y trimestralmente sobre los indicadores.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informe trimestral de indicadores, que se acumula al informe anual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por automatización aceptada, más 2 horas por trimestre de revisión de indicadores. Con 3 automatizaciones al año: </w:t>
      </w:r>
      <w:r>
        <w:rPr>
          <w:rFonts w:ascii="Calibri" w:cs="Calibri" w:eastAsia="Calibri" w:hAnsi="Calibri"/>
          <w:b/>
          <w:bCs/>
          <w:sz w:val="21"/>
          <w:szCs w:val="21"/>
        </w:rPr>
        <w:t xml:space="preserve">26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de los indicadores del apartado 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del apartado 2 sin causa justificada; puesta en producción de una automatización sin el acta del apartado 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que afecte a un procedimiento administrativo sin la habilitación exigida por la cláusula DT-1, apartado 7; ausencia de procedimiento de reversión en una automatización con efectos sobre terceros</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Siempre que el Apéndice de procesos no pueda cumplimentarse con datos reales.</w:t>
      </w:r>
      <w:r>
        <w:rPr>
          <w:rFonts w:ascii="Calibri" w:cs="Calibri" w:eastAsia="Calibri" w:hAnsi="Calibri"/>
          <w:sz w:val="21"/>
          <w:szCs w:val="21"/>
        </w:rPr>
        <w:t xml:space="preserve"> Sin lista cerrada, la cláusula no se incorpora.</w:t>
      </w:r>
    </w:p>
    <w:p>
      <w:pPr>
        <w:pStyle w:val="ListParagraph"/>
        <w:numPr>
          <w:ilvl w:val="0"/>
          <w:numId w:val="1"/>
        </w:numPr>
        <w:spacing w:after="70" w:line="268"/>
      </w:pPr>
      <w:r>
        <w:rPr>
          <w:rFonts w:ascii="Calibri" w:cs="Calibri" w:eastAsia="Calibri" w:hAnsi="Calibri"/>
          <w:sz w:val="21"/>
          <w:szCs w:val="21"/>
        </w:rPr>
        <w:t xml:space="preserve">Contratos de suministro de software estándar sin servicios asociados de implantación: no hay quien automatice.</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cuyo catálogo no incluya servicios de automatización.</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se marca NO APLICA, debe suprimirse el criterio de adjudicación correlativo de ADM-7·v3 (procesos automatizados adicionales sobre la lista cerrada) y la mención del Anexo VII (declaración responsable).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II.6 · DT-5·v3 — Interoperabilidad, servicios comunes y soberanía del dato</w:t>
      </w:r>
    </w:p>
    <w:p>
      <w:pPr>
        <w:spacing w:after="140" w:line="276"/>
      </w:pPr>
      <w:r>
        <w:rPr>
          <w:rFonts w:ascii="Calibri" w:cs="Calibri" w:eastAsia="Calibri" w:hAnsi="Calibri"/>
          <w:i/>
          <w:iCs/>
          <w:sz w:val="21"/>
          <w:szCs w:val="21"/>
        </w:rPr>
        <w:t xml:space="preserve">(Reescrita. Se corrige un error de sentido inverso del texto anterior: la mención «o servicios equivalentes» </w:t>
      </w:r>
      <w:r>
        <w:rPr>
          <w:rFonts w:ascii="Calibri" w:cs="Calibri" w:eastAsia="Calibri" w:hAnsi="Calibri"/>
          <w:i/>
          <w:iCs/>
          <w:sz w:val="21"/>
          <w:szCs w:val="21"/>
        </w:rPr>
        <w:t xml:space="preserve">no</w:t>
      </w:r>
      <w:r>
        <w:rPr>
          <w:rFonts w:ascii="Calibri" w:cs="Calibri" w:eastAsia="Calibri" w:hAnsi="Calibri"/>
          <w:sz w:val="21"/>
          <w:szCs w:val="21"/>
        </w:rPr>
        <w:t xml:space="preserve">* puede aplicarse a los servicios comunes de utilización obligatoria. El guion de reversibilidad se extrae íntegramente a DT-8·v3.)*</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DT-5. Interoperabilidad, servicios comunes y soberanía del dato.</w:t>
            </w:r>
          </w:p>
          <w:p>
            <w:pPr>
              <w:spacing w:after="100" w:line="264"/>
            </w:pPr>
            <w:r>
              <w:rPr>
                <w:rFonts w:ascii="Georgia" w:cs="Georgia" w:eastAsia="Georgia" w:hAnsi="Georgia"/>
                <w:b/>
                <w:bCs/>
                <w:sz w:val="20"/>
                <w:szCs w:val="20"/>
              </w:rPr>
              <w:t xml:space="preserve">1. Interoperabilidad.</w:t>
            </w:r>
            <w:r>
              <w:rPr>
                <w:rFonts w:ascii="Georgia" w:cs="Georgia" w:eastAsia="Georgia" w:hAnsi="Georgia"/>
                <w:sz w:val="20"/>
                <w:szCs w:val="20"/>
              </w:rPr>
              <w:t xml:space="preserve"> La solución cumplirá el Esquema Nacional de Interoperabilidad (Real Decreto 4/2010, de 8 de enero) y las Normas Técnicas de Interoperabilidad que le resulten aplicables, y empleará formatos estándar y abiertos para el intercambio y la conservación de la información.</w:t>
            </w:r>
          </w:p>
          <w:p>
            <w:pPr>
              <w:spacing w:after="100" w:line="264"/>
            </w:pPr>
            <w:r>
              <w:rPr>
                <w:rFonts w:ascii="Georgia" w:cs="Georgia" w:eastAsia="Georgia" w:hAnsi="Georgia"/>
                <w:b/>
                <w:bCs/>
                <w:sz w:val="20"/>
                <w:szCs w:val="20"/>
              </w:rPr>
              <w:t xml:space="preserve">2. Servicios comunes de utilización obligatoria.</w:t>
            </w:r>
            <w:r>
              <w:rPr>
                <w:rFonts w:ascii="Georgia" w:cs="Georgia" w:eastAsia="Georgia" w:hAnsi="Georgia"/>
                <w:sz w:val="20"/>
                <w:szCs w:val="20"/>
              </w:rPr>
              <w:t xml:space="preserve"> La solución se integrará con las plataformas y servicios comunes de administración electrónica que se relacionan a continuación, cuya utilización viene impuesta al Ayuntamiento por la norma que en cada caso se indica: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Plataforma o servicio común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impone su utilización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integración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[precepto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 envío / ambos]</w:t>
                  </w:r>
                </w:p>
              </w:tc>
            </w:tr>
          </w:tbl>
          <w:p>
            <w:pPr>
              <w:spacing w:after="80"/>
            </w:pPr>
          </w:p>
          <w:p>
            <w:pPr>
              <w:spacing w:after="100" w:line="264"/>
            </w:pPr>
            <w:r>
              <w:rPr>
                <w:rFonts w:ascii="Georgia" w:cs="Georgia" w:eastAsia="Georgia" w:hAnsi="Georgia"/>
                <w:sz w:val="20"/>
                <w:szCs w:val="20"/>
              </w:rPr>
              <w:t xml:space="preserve">Respecto de estos servicios </w:t>
            </w:r>
            <w:r>
              <w:rPr>
                <w:rFonts w:ascii="Georgia" w:cs="Georgia" w:eastAsia="Georgia" w:hAnsi="Georgia"/>
                <w:b/>
                <w:bCs/>
                <w:sz w:val="20"/>
                <w:szCs w:val="20"/>
              </w:rPr>
              <w:t xml:space="preserve">no será de aplicación el régimen de equivalencia de la cláusula DT-0</w:t>
            </w:r>
            <w:r>
              <w:rPr>
                <w:rFonts w:ascii="Georgia" w:cs="Georgia" w:eastAsia="Georgia" w:hAnsi="Georgia"/>
                <w:sz w:val="20"/>
                <w:szCs w:val="20"/>
              </w:rPr>
              <w:t xml:space="preserve">: la integración es obligatoria y no admite sustitución por servicio propio del adjudicatario o de tercero. El adjudicatario acreditará cada integración mediante prueba ejecutada sobre el entorno de pruebas y documentada en acta.</w:t>
            </w:r>
          </w:p>
          <w:p>
            <w:pPr>
              <w:spacing w:after="100" w:line="264"/>
            </w:pPr>
            <w:r>
              <w:rPr>
                <w:rFonts w:ascii="Georgia" w:cs="Georgia" w:eastAsia="Georgia" w:hAnsi="Georgia"/>
                <w:b/>
                <w:bCs/>
                <w:sz w:val="20"/>
                <w:szCs w:val="20"/>
              </w:rPr>
              <w:t xml:space="preserve">3. Interfaces de programación.</w:t>
            </w:r>
            <w:r>
              <w:rPr>
                <w:rFonts w:ascii="Georgia" w:cs="Georgia" w:eastAsia="Georgia" w:hAnsi="Georgia"/>
                <w:sz w:val="20"/>
                <w:szCs w:val="20"/>
              </w:rPr>
              <w:t xml:space="preserve"> El adjudicatario proveerá interfaces de programación documentadas, versionadas y autenticadas que permitan a los sistemas autorizados del Ayuntamiento consultar y extraer los datos de la solución y ejecutar las funciones que el pliego identifique, sin desarrollos a medida y sin coste por consulta. La documentación se entregará en el plazo de [X; se recomienda 30] días naturales desde la formalización o, si fuera posterior, desde la puesta en producción del módulo, y se mantendrá actualizada con cada versión.</w:t>
            </w:r>
          </w:p>
          <w:p>
            <w:pPr>
              <w:spacing w:after="100" w:line="264"/>
            </w:pPr>
            <w:r>
              <w:rPr>
                <w:rFonts w:ascii="Georgia" w:cs="Georgia" w:eastAsia="Georgia" w:hAnsi="Georgia"/>
                <w:b/>
                <w:bCs/>
                <w:sz w:val="20"/>
                <w:szCs w:val="20"/>
              </w:rPr>
              <w:t xml:space="preserve">4. Exportación de datos.</w:t>
            </w:r>
            <w:r>
              <w:rPr>
                <w:rFonts w:ascii="Georgia" w:cs="Georgia" w:eastAsia="Georgia" w:hAnsi="Georgia"/>
                <w:sz w:val="20"/>
                <w:szCs w:val="20"/>
              </w:rPr>
              <w:t xml:space="preserve"> El Ayuntamiento podrá extraer la totalidad de los datos de la solución, y sus metadatos, en formatos abiertos, documentados y reutilizables, mediante procedimiento autónomo que no requiera intervención del personal del adjudicatario, con la periodicidad que determine y, en todo caso, bajo demanda. El adjudicatario entregará y mantendrá actualizado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suficiente para interpretar la información exportada sin su asistencia.</w:t>
            </w:r>
          </w:p>
          <w:p>
            <w:pPr>
              <w:spacing w:after="100" w:line="264"/>
            </w:pPr>
            <w:r>
              <w:rPr>
                <w:rFonts w:ascii="Georgia" w:cs="Georgia" w:eastAsia="Georgia" w:hAnsi="Georgia"/>
                <w:b/>
                <w:bCs/>
                <w:sz w:val="20"/>
                <w:szCs w:val="20"/>
              </w:rPr>
              <w:t xml:space="preserve">5. Soberanía del dato y ubicación.</w:t>
            </w:r>
            <w:r>
              <w:rPr>
                <w:rFonts w:ascii="Georgia" w:cs="Georgia" w:eastAsia="Georgia" w:hAnsi="Georgia"/>
                <w:sz w:val="20"/>
                <w:szCs w:val="20"/>
              </w:rPr>
              <w:t xml:space="preserve"> Los datos son de titularidad municipal, cualquiera que sea el soporte y el lugar en que se alojen. Cuando la ejecución del contrato requiera el tratamiento por el contratista de datos personales por cuenta del Ayuntamiento, el licitador indicará en su oferta el país o países en que se ubicarán los servidores mediante los que se prestarán los servicios asociados al contrato y el lugar desde el que se prestarán dichos servicios, y se obligará a comunicar cualquier cambio que se produzca a lo largo de la ejecución, conforme al artículo 122.2 LCSP.</w:t>
            </w:r>
          </w:p>
          <w:p>
            <w:pPr>
              <w:spacing w:after="100" w:line="264"/>
            </w:pPr>
            <w:r>
              <w:rPr>
                <w:rFonts w:ascii="Georgia" w:cs="Georgia" w:eastAsia="Georgia" w:hAnsi="Georgia"/>
                <w:b/>
                <w:bCs/>
                <w:sz w:val="20"/>
                <w:szCs w:val="20"/>
              </w:rPr>
              <w:t xml:space="preserve">6. Entorno de pruebas.</w:t>
            </w:r>
            <w:r>
              <w:rPr>
                <w:rFonts w:ascii="Georgia" w:cs="Georgia" w:eastAsia="Georgia" w:hAnsi="Georgia"/>
                <w:sz w:val="20"/>
                <w:szCs w:val="20"/>
              </w:rPr>
              <w:t xml:space="preserve"> El adjudicatario mantendrá a disposición del Ayuntamiento, durante toda la vigencia del contrato y de sus prórrogas, un entorno de pruebas equivalente en funcionalidad al de producción, con datos ficticios o anonimizados, en el que puedan verificarse las integraciones, las exportaciones y las funcionalidades exigidas por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integración e interoperabilidad. El apartado 5, en su segundo inciso, genera además obligaciones de contenido de la oferta y de esencialidad que deben reflejarse en el PCAP: la obligación de indicar la ubicación de los servidores y de comunicar sus cambios, y la relativa a la subcontratación de esos servidores, </w:t>
      </w:r>
      <w:r>
        <w:rPr>
          <w:rFonts w:ascii="Calibri" w:cs="Calibri" w:eastAsia="Calibri" w:hAnsi="Calibri"/>
          <w:b/>
          <w:bCs/>
          <w:sz w:val="21"/>
          <w:szCs w:val="21"/>
        </w:rPr>
        <w:t xml:space="preserve">debe calificarse como esencial en el PCAP</w:t>
      </w:r>
      <w:r>
        <w:rPr>
          <w:rFonts w:ascii="Calibri" w:cs="Calibri" w:eastAsia="Calibri" w:hAnsi="Calibri"/>
          <w:sz w:val="21"/>
          <w:szCs w:val="21"/>
        </w:rPr>
        <w:t xml:space="preserve"> cuando concurra su presupuesto.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Real Decreto 4/2010 (ENI) y sus Normas Técnicas. Sus artículos 16 y 17 fijan además las condiciones de licenciamiento para la cesión entre administraciones y, para lo declarado de fuentes abiertas, la garantía de conocer el código fuente; es la norma que da contenido operativo a la reversibilidad de DT-8·v3.</w:t>
      </w:r>
    </w:p>
    <w:p>
      <w:pPr>
        <w:pStyle w:val="ListParagraph"/>
        <w:numPr>
          <w:ilvl w:val="0"/>
          <w:numId w:val="1"/>
        </w:numPr>
        <w:spacing w:after="70" w:line="268"/>
      </w:pPr>
      <w:r>
        <w:rPr>
          <w:rFonts w:ascii="Calibri" w:cs="Calibri" w:eastAsia="Calibri" w:hAnsi="Calibri"/>
          <w:b/>
          <w:bCs/>
          <w:sz w:val="21"/>
          <w:szCs w:val="21"/>
        </w:rPr>
        <w:t xml:space="preserve">Reutilización:</w:t>
      </w:r>
      <w:r>
        <w:rPr>
          <w:rFonts w:ascii="Calibri" w:cs="Calibri" w:eastAsia="Calibri" w:hAnsi="Calibri"/>
          <w:sz w:val="21"/>
          <w:szCs w:val="21"/>
        </w:rPr>
        <w:t xml:space="preserve"> el artículo 157.3 de la Ley 40/2015 obliga a reutilizar soluciones disponibles salvo justificación de eficiencia, y el artículo 158 impone mantener directorios de aplicaciones. La consulta previa al directorio general de aplicaciones es un trámite del expediente, no de esta cláusula, y figura en el circuito de la Parte V.</w:t>
      </w:r>
    </w:p>
    <w:p>
      <w:pPr>
        <w:pStyle w:val="ListParagraph"/>
        <w:numPr>
          <w:ilvl w:val="0"/>
          <w:numId w:val="1"/>
        </w:numPr>
        <w:spacing w:after="70" w:line="268"/>
      </w:pPr>
      <w:r>
        <w:rPr>
          <w:rFonts w:ascii="Calibri" w:cs="Calibri" w:eastAsia="Calibri" w:hAnsi="Calibri"/>
          <w:b/>
          <w:bCs/>
          <w:sz w:val="21"/>
          <w:szCs w:val="21"/>
        </w:rPr>
        <w:t xml:space="preserve">Ubicación de servidores:</w:t>
      </w:r>
      <w:r>
        <w:rPr>
          <w:rFonts w:ascii="Calibri" w:cs="Calibri" w:eastAsia="Calibri" w:hAnsi="Calibri"/>
          <w:sz w:val="21"/>
          <w:szCs w:val="21"/>
        </w:rPr>
        <w:t xml:space="preserve"> artículo 122.2 LCSP, que obliga a que los pliegos de los contratos cuya ejecución requiera el tratamiento por el contratista de datos personales por cuenta del responsable impongan la obligación de indicar la ubicación de los servidores y de comunicar sus cambios, y califica esas obligaciones como esenciales «en todo caso». No hay margen de apreciación: cuando concurre el presupuesto, es obligatorio.</w:t>
      </w:r>
    </w:p>
    <w:p>
      <w:pPr>
        <w:pStyle w:val="ListParagraph"/>
        <w:numPr>
          <w:ilvl w:val="0"/>
          <w:numId w:val="1"/>
        </w:numPr>
        <w:spacing w:after="70" w:line="268"/>
      </w:pPr>
      <w:r>
        <w:rPr>
          <w:rFonts w:ascii="Calibri" w:cs="Calibri" w:eastAsia="Calibri" w:hAnsi="Calibri"/>
          <w:b/>
          <w:bCs/>
          <w:sz w:val="21"/>
          <w:szCs w:val="21"/>
        </w:rPr>
        <w:t xml:space="preserve">Exportación y diccionario de datos:</w:t>
      </w:r>
      <w:r>
        <w:rPr>
          <w:rFonts w:ascii="Calibri" w:cs="Calibri" w:eastAsia="Calibri" w:hAnsi="Calibri"/>
          <w:sz w:val="21"/>
          <w:szCs w:val="21"/>
        </w:rPr>
        <w:t xml:space="preserve"> son el presupuesto material del control interno. Sin exportación autónoma y sin diccionario, el acceso de la Intervención de ADM-12·v3 existe sobre el papel y no en la práctica.</w:t>
      </w:r>
    </w:p>
    <w:p>
      <w:pPr>
        <w:spacing w:after="140" w:line="276"/>
      </w:pPr>
      <w:r>
        <w:rPr>
          <w:rFonts w:ascii="Calibri" w:cs="Calibri" w:eastAsia="Calibri" w:hAnsi="Calibri"/>
          <w:b/>
          <w:bCs/>
          <w:sz w:val="21"/>
          <w:szCs w:val="21"/>
        </w:rPr>
        <w:t xml:space="preserve">Corrección de sentido, y por qué importa.</w:t>
      </w:r>
      <w:r>
        <w:rPr>
          <w:rFonts w:ascii="Calibri" w:cs="Calibri" w:eastAsia="Calibri" w:hAnsi="Calibri"/>
          <w:sz w:val="21"/>
          <w:szCs w:val="21"/>
        </w:rPr>
        <w:t xml:space="preserve"> El texto anterior enumeraba los servicios comunes y añadía «o servicios equivalentes». Es un error que delata la aplicación mecánica de la cláusula-paraguas de equivalencia a todo el documento: estos servicios </w:t>
      </w:r>
      <w:r>
        <w:rPr>
          <w:rFonts w:ascii="Calibri" w:cs="Calibri" w:eastAsia="Calibri" w:hAnsi="Calibri"/>
          <w:b/>
          <w:bCs/>
          <w:sz w:val="21"/>
          <w:szCs w:val="21"/>
        </w:rPr>
        <w:t xml:space="preserve">no admiten equivalente</w:t>
      </w:r>
      <w:r>
        <w:rPr>
          <w:rFonts w:ascii="Calibri" w:cs="Calibri" w:eastAsia="Calibri" w:hAnsi="Calibri"/>
          <w:sz w:val="21"/>
          <w:szCs w:val="21"/>
        </w:rPr>
        <w:t xml:space="preserve">, porque su utilización viene impuesta por norma. Añadirles «o equivalente» debilita la exigencia y permite al adjudicatario ofrecer un sustitutivo propio. La corrección tiene además un valor probatorio ante la Intervención: demuestra que el clausulado distingue lo obligatorio de lo ilustrativo, en lugar de aplicar la misma fórmula a todo.</w:t>
      </w:r>
    </w:p>
    <w:p>
      <w:pPr>
        <w:spacing w:after="140" w:line="276"/>
      </w:pPr>
      <w:r>
        <w:rPr>
          <w:rFonts w:ascii="Calibri" w:cs="Calibri" w:eastAsia="Calibri" w:hAnsi="Calibri"/>
          <w:b/>
          <w:bCs/>
          <w:sz w:val="21"/>
          <w:szCs w:val="21"/>
        </w:rPr>
        <w:t xml:space="preserve">Instrucción al redactor.</w:t>
      </w:r>
      <w:r>
        <w:rPr>
          <w:rFonts w:ascii="Calibri" w:cs="Calibri" w:eastAsia="Calibri" w:hAnsi="Calibri"/>
          <w:sz w:val="21"/>
          <w:szCs w:val="21"/>
        </w:rPr>
        <w:t xml:space="preserve"> La tabla del apartado 2 se cumplimenta </w:t>
      </w:r>
      <w:r>
        <w:rPr>
          <w:rFonts w:ascii="Calibri" w:cs="Calibri" w:eastAsia="Calibri" w:hAnsi="Calibri"/>
          <w:b/>
          <w:bCs/>
          <w:sz w:val="21"/>
          <w:szCs w:val="21"/>
        </w:rPr>
        <w:t xml:space="preserve">caso por caso, citando el precepto que impone cada servicio</w:t>
      </w:r>
      <w:r>
        <w:rPr>
          <w:rFonts w:ascii="Calibri" w:cs="Calibri" w:eastAsia="Calibri" w:hAnsi="Calibri"/>
          <w:sz w:val="21"/>
          <w:szCs w:val="21"/>
        </w:rPr>
        <w:t xml:space="preserve">. No se copie una lista genérica: una relación cerrada sin norma al lado es una afirmación no verificable, y es el primer sitio donde un licitador comprobará si el pliego sabe lo que dice.</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conformidad con el ENI o informe técnico de correspondencia con las NTI aplicables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comunes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integración sobre el entorno de pruebas, servicio por servicio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Interfaces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y prueba de invocación autenticada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y diccionario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ejecutada por personal municipal sin asistencia del adjudicatario, con acta y con el fichero resultante; diccionario de datos entregado en formato reutilizable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Ubicación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y comunicaciones escritas de cambio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entregadas y acta de disponibilidad</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para el apartado 4, con presencia del órgano interventor cuando se trate de los datos a los que se refiere ADM-12·v3.</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integraciones y exportación, en la recepción de cada módulo; prueba de exportación autónoma, al menos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integración y acta de exportación autónoma.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2 horas por integración verificada; 4 horas de prueba anual de exportación. En un contrato con 4 integraciones: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el apartado 5, segundo inciso, cuando concurra su presupuesto: la obligación de indicar la ubicación de los servidores y de comunicar sus cambios, y la relativa a su subcontratación, </w:t>
      </w:r>
      <w:r>
        <w:rPr>
          <w:rFonts w:ascii="Calibri" w:cs="Calibri" w:eastAsia="Calibri" w:hAnsi="Calibri"/>
          <w:b/>
          <w:bCs/>
          <w:sz w:val="21"/>
          <w:szCs w:val="21"/>
        </w:rPr>
        <w:t xml:space="preserve">son esenciales por imperativo del artículo 122.2 LCSP</w:t>
      </w:r>
      <w:r>
        <w:rPr>
          <w:rFonts w:ascii="Calibri" w:cs="Calibri" w:eastAsia="Calibri" w:hAnsi="Calibri"/>
          <w:sz w:val="21"/>
          <w:szCs w:val="21"/>
        </w:rPr>
        <w:t xml:space="preserve"> y figuran como tales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o actualización de la documentación de interfaces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que requiera intervención del personal del adjudicatario; falta de entrega o desactualización del diccionario de datos; indisponibilidad del entorno de pruebas superior a [X; se recomienda 10] días hábiles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integración con un servicio común de los relacionados en el apartado 2 en el plazo del pliego; facturación de las consultas o de la exportación previstas en los apartados 3 y 4</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sin sistema de información asociado.</w:t>
      </w:r>
    </w:p>
    <w:p>
      <w:pPr>
        <w:pStyle w:val="ListParagraph"/>
        <w:numPr>
          <w:ilvl w:val="0"/>
          <w:numId w:val="1"/>
        </w:numPr>
        <w:spacing w:after="70" w:line="268"/>
      </w:pPr>
      <w:r>
        <w:rPr>
          <w:rFonts w:ascii="Calibri" w:cs="Calibri" w:eastAsia="Calibri" w:hAnsi="Calibri"/>
          <w:sz w:val="21"/>
          <w:szCs w:val="21"/>
        </w:rPr>
        <w:t xml:space="preserve">Contratos de suministro de bienes que no traten información municipal.</w:t>
      </w:r>
    </w:p>
    <w:p>
      <w:pPr>
        <w:pStyle w:val="ListParagraph"/>
        <w:numPr>
          <w:ilvl w:val="0"/>
          <w:numId w:val="1"/>
        </w:numPr>
        <w:spacing w:after="70" w:line="268"/>
      </w:pPr>
      <w:r>
        <w:rPr>
          <w:rFonts w:ascii="Calibri" w:cs="Calibri" w:eastAsia="Calibri" w:hAnsi="Calibri"/>
          <w:sz w:val="21"/>
          <w:szCs w:val="21"/>
        </w:rPr>
        <w:t xml:space="preserve">El apartado 2 se suprime cuando el objeto no exija integración con ninguna plataforma común obligatoria; no se deja la tabla vacía en el pliego.</w:t>
      </w:r>
    </w:p>
    <w:p>
      <w:pPr>
        <w:pStyle w:val="ListParagraph"/>
        <w:numPr>
          <w:ilvl w:val="0"/>
          <w:numId w:val="1"/>
        </w:numPr>
        <w:spacing w:after="70" w:line="268"/>
      </w:pPr>
      <w:r>
        <w:rPr>
          <w:rFonts w:ascii="Calibri" w:cs="Calibri" w:eastAsia="Calibri" w:hAnsi="Calibri"/>
          <w:sz w:val="21"/>
          <w:szCs w:val="21"/>
        </w:rPr>
        <w:t xml:space="preserve">El apartado 5, segundo inciso, se suprime cuando la ejecución </w:t>
      </w:r>
      <w:r>
        <w:rPr>
          <w:rFonts w:ascii="Calibri" w:cs="Calibri" w:eastAsia="Calibri" w:hAnsi="Calibri"/>
          <w:b/>
          <w:bCs/>
          <w:sz w:val="21"/>
          <w:szCs w:val="21"/>
        </w:rPr>
        <w:t xml:space="preserve">no</w:t>
      </w:r>
      <w:r>
        <w:rPr>
          <w:rFonts w:ascii="Calibri" w:cs="Calibri" w:eastAsia="Calibri" w:hAnsi="Calibri"/>
          <w:sz w:val="21"/>
          <w:szCs w:val="21"/>
        </w:rPr>
        <w:t xml:space="preserve"> requiera tratamiento de datos personales por cuenta del Ayuntamiento. Escribir un bloque de esencialidad </w:t>
      </w:r>
      <w:r>
        <w:rPr>
          <w:rFonts w:ascii="Calibri" w:cs="Calibri" w:eastAsia="Calibri" w:hAnsi="Calibri"/>
          <w:i/>
          <w:iCs/>
          <w:sz w:val="21"/>
          <w:szCs w:val="21"/>
        </w:rPr>
        <w:t xml:space="preserve">ex lege</w:t>
      </w:r>
      <w:r>
        <w:rPr>
          <w:rFonts w:ascii="Calibri" w:cs="Calibri" w:eastAsia="Calibri" w:hAnsi="Calibri"/>
          <w:sz w:val="21"/>
          <w:szCs w:val="21"/>
        </w:rPr>
        <w:t xml:space="preserve"> cuando su presupuesto no concurre es declarar esencial una obligación improcedente, que es justamente lo que el artículo 211.1.f).2.º castiga.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 y que ya recoge la entrega de los datos con su diccionario y la indicación de la ubicación de los servidores.</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II.7 · DT-6·v3 — Seguridad conforme al ENS en la categoría que corresponda y protección de datos desde el diseño</w:t>
      </w:r>
    </w:p>
    <w:p>
      <w:pPr>
        <w:spacing w:after="140" w:line="276"/>
      </w:pPr>
      <w:r>
        <w:rPr>
          <w:rFonts w:ascii="Calibri" w:cs="Calibri" w:eastAsia="Calibri" w:hAnsi="Calibri"/>
          <w:i/>
          <w:iCs/>
          <w:sz w:val="21"/>
          <w:szCs w:val="21"/>
        </w:rPr>
        <w:t xml:space="preserve">(Reescrita, y con la rúbrica cambiada. La rúbrica anterior —«Seguridad (ENS Nivel Alto)»— es el punto de esta Parte con precedente anulatorio directo del tribunal que resolvería un recurso contra 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DT-6. Seguridad conforme al Esquema Nacional de Seguridad en la categoría que corresponda y protección de datos desde el diseño.</w:t>
            </w:r>
          </w:p>
          <w:p>
            <w:pPr>
              <w:spacing w:after="100" w:line="264"/>
            </w:pPr>
            <w:r>
              <w:rPr>
                <w:rFonts w:ascii="Georgia" w:cs="Georgia" w:eastAsia="Georgia" w:hAnsi="Georgia"/>
                <w:b/>
                <w:bCs/>
                <w:sz w:val="20"/>
                <w:szCs w:val="20"/>
              </w:rPr>
              <w:t xml:space="preserve">1. Requisitos de conformidad.</w:t>
            </w:r>
            <w:r>
              <w:rPr>
                <w:rFonts w:ascii="Georgia" w:cs="Georgia" w:eastAsia="Georgia" w:hAnsi="Georgia"/>
                <w:sz w:val="20"/>
                <w:szCs w:val="20"/>
              </w:rPr>
              <w:t xml:space="preserve"> En cumplimiento del artículo 2.3 del Real Decreto 311/2022, de 3 de mayo, este pliego contempla los requisitos necesarios para asegurar la conformidad con el Esquema Nacional de Seguridad de los sistemas de información en los que se sustenten los servicios prestados por el contratista. Esta cautela se extiende a la cadena de suministro del contratista en la medida en que resulte necesario y de acuerdo con los resultados del análisis de riesgos incorporado al expediente.</w:t>
            </w:r>
          </w:p>
          <w:p>
            <w:pPr>
              <w:spacing w:after="100" w:line="264"/>
            </w:pPr>
            <w:r>
              <w:rPr>
                <w:rFonts w:ascii="Georgia" w:cs="Georgia" w:eastAsia="Georgia" w:hAnsi="Georgia"/>
                <w:b/>
                <w:bCs/>
                <w:sz w:val="20"/>
                <w:szCs w:val="20"/>
              </w:rPr>
              <w:t xml:space="preserve">2. Categoría de seguridad.</w:t>
            </w:r>
            <w:r>
              <w:rPr>
                <w:rFonts w:ascii="Georgia" w:cs="Georgia" w:eastAsia="Georgia" w:hAnsi="Georgia"/>
                <w:sz w:val="20"/>
                <w:szCs w:val="20"/>
              </w:rPr>
              <w:t xml:space="preserve"> La categoría de seguridad exigible es la que resulta de la aplicación del anexo I del Real Decreto 311/2022 al sistema objeto de este contrato y consta determinada y motivada en la memoria justificativa del expediente: </w:t>
            </w:r>
            <w:r>
              <w:rPr>
                <w:rFonts w:ascii="Georgia" w:cs="Georgia" w:eastAsia="Georgia" w:hAnsi="Georgia"/>
                <w:b/>
                <w:bCs/>
                <w:sz w:val="20"/>
                <w:szCs w:val="20"/>
              </w:rPr>
              <w:t xml:space="preserve">[BÁSICA / MEDIA / ALTA]</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Acreditación de la conformidad.</w:t>
            </w:r>
            <w:r>
              <w:rPr>
                <w:rFonts w:ascii="Georgia" w:cs="Georgia" w:eastAsia="Georgia" w:hAnsi="Georgia"/>
                <w:sz w:val="20"/>
                <w:szCs w:val="20"/>
              </w:rPr>
              <w:t xml:space="preserve"> El adjudicatario acreditará la conformidad con el Esquema Nacional de Seguridad mediante: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Certificación de conformidad</w:t>
            </w:r>
            <w:r>
              <w:rPr>
                <w:rFonts w:ascii="Georgia" w:cs="Georgia" w:eastAsia="Georgia" w:hAnsi="Georgia"/>
                <w:sz w:val="20"/>
                <w:szCs w:val="20"/>
              </w:rPr>
              <w:t xml:space="preserve">, cuando la categoría determinada en el apartado 2 sea MEDIA o ALTA.</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Declaración de conformidad basada en autoevaluación</w:t>
            </w:r>
            <w:r>
              <w:rPr>
                <w:rFonts w:ascii="Georgia" w:cs="Georgia" w:eastAsia="Georgia" w:hAnsi="Georgia"/>
                <w:sz w:val="20"/>
                <w:szCs w:val="20"/>
              </w:rPr>
              <w:t xml:space="preserve">, cuando la categoría determinada en el apartado 2 sea BÁSICA.</w:t>
            </w:r>
          </w:p>
          <w:p>
            <w:pPr>
              <w:spacing w:after="100" w:line="264"/>
            </w:pPr>
            <w:r>
              <w:rPr>
                <w:rFonts w:ascii="Georgia" w:cs="Georgia" w:eastAsia="Georgia" w:hAnsi="Georgia"/>
                <w:sz w:val="20"/>
                <w:szCs w:val="20"/>
              </w:rPr>
              <w:t xml:space="preserve">Todo ello conforme al artículo 38.1 del Real Decreto 311/2022. Si el licitador no dispusiera de la acreditación exigible en el momento de la formalización, dispondrá de un plazo de [X; se recomienda 6] meses para obtenerla, aplicando entretanto las medidas de seguridad correspondientes a la categoría, documentadas y verificables.</w:t>
            </w:r>
          </w:p>
          <w:p>
            <w:pPr>
              <w:spacing w:after="100" w:line="264"/>
            </w:pPr>
            <w:r>
              <w:rPr>
                <w:rFonts w:ascii="Georgia" w:cs="Georgia" w:eastAsia="Georgia" w:hAnsi="Georgia"/>
                <w:b/>
                <w:bCs/>
                <w:sz w:val="20"/>
                <w:szCs w:val="20"/>
              </w:rPr>
              <w:t xml:space="preserve">4. Política de seguridad.</w:t>
            </w:r>
            <w:r>
              <w:rPr>
                <w:rFonts w:ascii="Georgia" w:cs="Georgia" w:eastAsia="Georgia" w:hAnsi="Georgia"/>
                <w:sz w:val="20"/>
                <w:szCs w:val="20"/>
              </w:rPr>
              <w:t xml:space="preserve"> El adjudicatario dispondrá de una política de seguridad de la información aprobada por el órgano que ostente sus máximas competencias ejecutivas, en los términos del artículo 12 del Real Decreto 311/2022, y la pondrá a disposición del Ayuntamiento.</w:t>
            </w:r>
          </w:p>
          <w:p>
            <w:pPr>
              <w:spacing w:after="100" w:line="264"/>
            </w:pPr>
            <w:r>
              <w:rPr>
                <w:rFonts w:ascii="Georgia" w:cs="Georgia" w:eastAsia="Georgia" w:hAnsi="Georgia"/>
                <w:b/>
                <w:bCs/>
                <w:sz w:val="20"/>
                <w:szCs w:val="20"/>
              </w:rPr>
              <w:t xml:space="preserve">5. Protección de datos desde el diseño.</w:t>
            </w:r>
            <w:r>
              <w:rPr>
                <w:rFonts w:ascii="Georgia" w:cs="Georgia" w:eastAsia="Georgia" w:hAnsi="Georgia"/>
                <w:sz w:val="20"/>
                <w:szCs w:val="20"/>
              </w:rPr>
              <w:t xml:space="preserve"> La solución cumplirá el Reglamento (UE) 2016/679 y la Ley Orgánica 3/2018, con protección de datos desde el diseño y por defecto, minimización, y realización de la evaluación de impacto relativa a la protección de datos cuando proceda, para la que el adjudicatario aportará la información técnica necesaria.</w:t>
            </w:r>
          </w:p>
          <w:p>
            <w:pPr>
              <w:spacing w:after="100" w:line="264"/>
            </w:pPr>
            <w:r>
              <w:rPr>
                <w:rFonts w:ascii="Georgia" w:cs="Georgia" w:eastAsia="Georgia" w:hAnsi="Georgia"/>
                <w:b/>
                <w:bCs/>
                <w:sz w:val="20"/>
                <w:szCs w:val="20"/>
              </w:rPr>
              <w:t xml:space="preserve">6. Gestión de vulnerabilidades.</w:t>
            </w:r>
            <w:r>
              <w:rPr>
                <w:rFonts w:ascii="Georgia" w:cs="Georgia" w:eastAsia="Georgia" w:hAnsi="Georgia"/>
                <w:sz w:val="20"/>
                <w:szCs w:val="20"/>
              </w:rPr>
              <w:t xml:space="preserve"> El adjudicatario mantendrá un proceso continuo de gestión de vulnerabilidades y las subsanará, desde su identificación o comunicación, en los plazos máximos siguientes: severidad crítica, [X; se recomienda 15] días naturales; severidad alta, [X; se recomienda 30] días naturales; severidad media, [X; se recomienda 90] días naturales. Comunicará al Ayuntamiento toda vulnerabilidad de severidad crítica o alta que afecte a la solución en el plazo de [X; se recomienda 48] horas desde su conocimiento.</w:t>
            </w:r>
          </w:p>
          <w:p>
            <w:pPr>
              <w:spacing w:after="100" w:line="264"/>
            </w:pPr>
            <w:r>
              <w:rPr>
                <w:rFonts w:ascii="Georgia" w:cs="Georgia" w:eastAsia="Georgia" w:hAnsi="Georgia"/>
                <w:b/>
                <w:bCs/>
                <w:sz w:val="20"/>
                <w:szCs w:val="20"/>
              </w:rPr>
              <w:t xml:space="preserve">7. Continuidad.</w:t>
            </w:r>
            <w:r>
              <w:rPr>
                <w:rFonts w:ascii="Georgia" w:cs="Georgia" w:eastAsia="Georgia" w:hAnsi="Georgia"/>
                <w:sz w:val="20"/>
                <w:szCs w:val="20"/>
              </w:rPr>
              <w:t xml:space="preserve"> El adjudicatario dispondrá de plan de continuidad y de recuperación de la solución, con objetivos de tiempo y de punto de recuperación acordes con la categoría del apartado 2, y lo probará con periodicidad [X; se recomienda anual], entregando al Ayuntamiento el informe de la prueba.</w:t>
            </w:r>
          </w:p>
          <w:p>
            <w:pPr>
              <w:spacing w:after="100" w:line="264"/>
            </w:pPr>
            <w:r>
              <w:rPr>
                <w:rFonts w:ascii="Georgia" w:cs="Georgia" w:eastAsia="Georgia" w:hAnsi="Georgia"/>
                <w:b/>
                <w:bCs/>
                <w:sz w:val="20"/>
                <w:szCs w:val="20"/>
              </w:rPr>
              <w:t xml:space="preserve">8. Auditorías.</w:t>
            </w:r>
            <w:r>
              <w:rPr>
                <w:rFonts w:ascii="Georgia" w:cs="Georgia" w:eastAsia="Georgia" w:hAnsi="Georgia"/>
                <w:sz w:val="20"/>
                <w:szCs w:val="20"/>
              </w:rPr>
              <w:t xml:space="preserve"> El Ayuntamiento podrá auditar, por sí o por tercero designado sujeto a idéntico deber de confidencialidad, el cumplimiento de esta cláusula, con preaviso de [X; se recomienda 15] días hábiles, salvo incidente de seguridad en curso, en cuyo caso el preaviso no será exigible. Cuando el adjudicatario trate datos personales por cuenta del Ayuntamiento, esta previsión se entiende sin perjuicio y en refuerzo de las obligaciones del encargado del tratamiento conforme al Reglamento (UE) 2016/679.</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La condición especial de ejecución de protección de datos, cuando el contrato implique cesión de datos, va al </w:t>
      </w:r>
      <w:r>
        <w:rPr>
          <w:rFonts w:ascii="Calibri" w:cs="Calibri" w:eastAsia="Calibri" w:hAnsi="Calibri"/>
          <w:b/>
          <w:bCs/>
          <w:sz w:val="21"/>
          <w:szCs w:val="21"/>
        </w:rPr>
        <w:t xml:space="preserve">PCAP</w:t>
      </w:r>
      <w:r>
        <w:rPr>
          <w:rFonts w:ascii="Calibri" w:cs="Calibri" w:eastAsia="Calibri" w:hAnsi="Calibri"/>
          <w:sz w:val="21"/>
          <w:szCs w:val="21"/>
        </w:rPr>
        <w:t xml:space="preserve"> (ADM-6·v3, bloque A): su reproducción en el PPT carece de efectos.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2.3 del Real Decreto 311/2022 no faculta: </w:t>
      </w:r>
      <w:r>
        <w:rPr>
          <w:rFonts w:ascii="Calibri" w:cs="Calibri" w:eastAsia="Calibri" w:hAnsi="Calibri"/>
          <w:b/>
          <w:bCs/>
          <w:sz w:val="21"/>
          <w:szCs w:val="21"/>
        </w:rPr>
        <w:t xml:space="preserve">obliga</w:t>
      </w:r>
      <w:r>
        <w:rPr>
          <w:rFonts w:ascii="Calibri" w:cs="Calibri" w:eastAsia="Calibri" w:hAnsi="Calibri"/>
          <w:sz w:val="21"/>
          <w:szCs w:val="21"/>
        </w:rPr>
        <w:t xml:space="preserve">. Los pliegos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 y «esta cautela se extenderá también a la cadena de suministro de dichos contratistas, en la medida que sea necesario y de acuerdo con los resultados del correspondiente análisis de riesgos».</w:t>
      </w:r>
    </w:p>
    <w:p>
      <w:pPr>
        <w:spacing w:after="140" w:line="276"/>
      </w:pPr>
      <w:r>
        <w:rPr>
          <w:rFonts w:ascii="Calibri" w:cs="Calibri" w:eastAsia="Calibri" w:hAnsi="Calibri"/>
          <w:sz w:val="21"/>
          <w:szCs w:val="21"/>
        </w:rPr>
        <w:t xml:space="preserve">Es además la respuesta más limpia a la objeción de que estas cláusulas nacen de necesidades que ningún gestor demanda: aquí no las demanda ningún gestor y se ponen igual, porque las manda un reglamento. La premisa «si no lo pide un gestor, es artificioso» no describe el ordenamiento vigente.</w:t>
      </w:r>
    </w:p>
    <w:p>
      <w:pPr>
        <w:spacing w:after="140" w:line="276"/>
      </w:pPr>
      <w:r>
        <w:rPr>
          <w:rFonts w:ascii="Calibri" w:cs="Calibri" w:eastAsia="Calibri" w:hAnsi="Calibri"/>
          <w:sz w:val="21"/>
          <w:szCs w:val="21"/>
        </w:rPr>
        <w:t xml:space="preserve">La categoría no se elige por ambición: resulta del anexo I del Real Decreto 311/2022, y de ella depende el tipo de acreditación exigible conforme al artículo 38.1 —certificación en MEDIA y ALTA, autoevaluación en BÁSICA—.</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 DE APLICACIÓN. Ésta es la cláusula con precedente anulatorio directo del tribunal competente, y el defecto no está en el texto: está en el expediente.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El </w:t>
      </w:r>
      <w:r>
        <w:rPr>
          <w:rFonts w:ascii="Georgia" w:cs="Georgia" w:eastAsia="Georgia" w:hAnsi="Georgia"/>
          <w:b/>
          <w:bCs/>
          <w:i/>
          <w:iCs/>
          <w:color w:val="595959"/>
          <w:sz w:val="20"/>
          <w:szCs w:val="20"/>
        </w:rPr>
        <w:t xml:space="preserve">Tribunal Administrativo de Contratación Pública de la Comunidad de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estimó el recurso</w:t>
      </w:r>
      <w:r>
        <w:rPr>
          <w:rFonts w:ascii="Georgia" w:cs="Georgia" w:eastAsia="Georgia" w:hAnsi="Georgia"/>
          <w:i/>
          <w:iCs/>
          <w:color w:val="595959"/>
          <w:sz w:val="20"/>
          <w:szCs w:val="20"/>
        </w:rPr>
        <w:t xml:space="preserve"> por exigir certificaciones de conformidad con el Esquema Nacional de Seguridad de Nivel ALTO sin justificación. Precisión de lectura, porque quien coteje el fallo la va a buscar: la parte dispositiva se limita a estimar el recurso; </w:t>
      </w:r>
      <w:r>
        <w:rPr>
          <w:rFonts w:ascii="Georgia" w:cs="Georgia" w:eastAsia="Georgia" w:hAnsi="Georgia"/>
          <w:b/>
          <w:bCs/>
          <w:i/>
          <w:iCs/>
          <w:color w:val="595959"/>
          <w:sz w:val="20"/>
          <w:szCs w:val="20"/>
        </w:rPr>
        <w:t xml:space="preserve">la anulación de los pliegos se declara en el fundamento de derecho quinto</w:t>
      </w:r>
      <w:r>
        <w:rPr>
          <w:rFonts w:ascii="Georgia" w:cs="Georgia" w:eastAsia="Georgia" w:hAnsi="Georgia"/>
          <w:i/>
          <w:iCs/>
          <w:color w:val="595959"/>
          <w:sz w:val="20"/>
          <w:szCs w:val="20"/>
        </w:rPr>
        <w:t xml:space="preserve">. Literalmente: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 </w:t>
      </w:r>
      <w:hyperlink w:history="1" r:id="rId5wtovlq5v5twwa8zucrv2">
        <w:r>
          <w:rPr>
            <w:rFonts w:ascii="Georgia" w:cs="Georgia" w:eastAsia="Georgia" w:hAnsi="Georgia"/>
            <w:i/>
            <w:iCs/>
            <w:color w:val="2F5496"/>
            <w:sz w:val="20"/>
            <w:szCs w:val="20"/>
            <w:u w:val="single"/>
          </w:rPr>
          <w:t xml:space="preserve">PDF</w:t>
        </w:r>
      </w:hyperlink>
      <w:r>
        <w:rPr>
          <w:rFonts w:ascii="Georgia" w:cs="Georgia" w:eastAsia="Georgia" w:hAnsi="Georgia"/>
          <w:i/>
          <w:iCs/>
          <w:color w:val="595959"/>
          <w:sz w:val="20"/>
          <w:szCs w:val="20"/>
        </w:rPr>
        <w:t xml:space="preserve">. Se cita como doctrina general trasladable por analogía; es el mismo tribunal que resolvería un recurso contra los pliegos de un ayuntamiento de la Comunidad de Madrid, y el supuesto es idéntico al de esta cláusula.</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Tres consecuencias, y las tres son obligatorias:</w:t>
      </w:r>
    </w:p>
    <w:p>
      <w:pPr>
        <w:pBdr>
          <w:left w:val="single" w:color="BFBFBF" w:sz="12" w:space="8"/>
        </w:pBdr>
        <w:spacing w:after="140" w:line="264"/>
        <w:ind w:left="400"/>
      </w:pPr>
      <w:r>
        <w:rPr>
          <w:rFonts w:ascii="Georgia" w:cs="Georgia" w:eastAsia="Georgia" w:hAnsi="Georgia"/>
          <w:i/>
          <w:iCs/>
          <w:color w:val="595959"/>
          <w:sz w:val="20"/>
          <w:szCs w:val="20"/>
        </w:rPr>
        <w:t xml:space="preserve">1. </w:t>
      </w:r>
      <w:r>
        <w:rPr>
          <w:rFonts w:ascii="Georgia" w:cs="Georgia" w:eastAsia="Georgia" w:hAnsi="Georgia"/>
          <w:b/>
          <w:bCs/>
          <w:i/>
          <w:iCs/>
          <w:color w:val="595959"/>
          <w:sz w:val="20"/>
          <w:szCs w:val="20"/>
        </w:rPr>
        <w:t xml:space="preserve">La categoría del apartado 2 se determina y se motiva en la memoria justificativa del expediente, ANTES de aprobar el pliego.</w:t>
      </w:r>
      <w:r>
        <w:rPr>
          <w:rFonts w:ascii="Georgia" w:cs="Georgia" w:eastAsia="Georgia" w:hAnsi="Georgia"/>
          <w:i/>
          <w:iCs/>
          <w:color w:val="595959"/>
          <w:sz w:val="20"/>
          <w:szCs w:val="20"/>
        </w:rPr>
        <w:t xml:space="preserve"> No en el catálogo, no en este documento, no en un informe posterior.</w:t>
      </w:r>
    </w:p>
    <w:p>
      <w:pPr>
        <w:pBdr>
          <w:left w:val="single" w:color="BFBFBF" w:sz="12" w:space="8"/>
        </w:pBdr>
        <w:spacing w:after="140" w:line="264"/>
        <w:ind w:left="400"/>
      </w:pPr>
      <w:r>
        <w:rPr>
          <w:rFonts w:ascii="Georgia" w:cs="Georgia" w:eastAsia="Georgia" w:hAnsi="Georgia"/>
          <w:i/>
          <w:iCs/>
          <w:color w:val="595959"/>
          <w:sz w:val="20"/>
          <w:szCs w:val="20"/>
        </w:rPr>
        <w:t xml:space="preserve">2. </w:t>
      </w:r>
      <w:r>
        <w:rPr>
          <w:rFonts w:ascii="Georgia" w:cs="Georgia" w:eastAsia="Georgia" w:hAnsi="Georgia"/>
          <w:b/>
          <w:bCs/>
          <w:i/>
          <w:iCs/>
          <w:color w:val="595959"/>
          <w:sz w:val="20"/>
          <w:szCs w:val="20"/>
        </w:rPr>
        <w:t xml:space="preserve">La motivación no se puede completar después.</w:t>
      </w:r>
      <w:r>
        <w:rPr>
          <w:rFonts w:ascii="Georgia" w:cs="Georgia" w:eastAsia="Georgia" w:hAnsi="Georgia"/>
          <w:i/>
          <w:iCs/>
          <w:color w:val="595959"/>
          <w:sz w:val="20"/>
          <w:szCs w:val="20"/>
        </w:rPr>
        <w:t xml:space="preserve"> Si el pliego se recurre, la justificación que no esté en la memoria no sirve, aunque sea correcta.</w:t>
      </w:r>
    </w:p>
    <w:p>
      <w:pPr>
        <w:pBdr>
          <w:left w:val="single" w:color="BFBFBF" w:sz="12" w:space="8"/>
        </w:pBdr>
        <w:spacing w:after="140" w:line="264"/>
        <w:ind w:left="400"/>
      </w:pPr>
      <w:r>
        <w:rPr>
          <w:rFonts w:ascii="Georgia" w:cs="Georgia" w:eastAsia="Georgia" w:hAnsi="Georgia"/>
          <w:i/>
          <w:iCs/>
          <w:color w:val="595959"/>
          <w:sz w:val="20"/>
          <w:szCs w:val="20"/>
        </w:rPr>
        <w:t xml:space="preserve">3. </w:t>
      </w:r>
      <w:r>
        <w:rPr>
          <w:rFonts w:ascii="Georgia" w:cs="Georgia" w:eastAsia="Georgia" w:hAnsi="Georgia"/>
          <w:b/>
          <w:bCs/>
          <w:i/>
          <w:iCs/>
          <w:color w:val="595959"/>
          <w:sz w:val="20"/>
          <w:szCs w:val="20"/>
        </w:rPr>
        <w:t xml:space="preserve">No escriba «Nivel Alto» en la rúbrica ni en el cuerpo si el sistema no lo es.</w:t>
      </w:r>
      <w:r>
        <w:rPr>
          <w:rFonts w:ascii="Georgia" w:cs="Georgia" w:eastAsia="Georgia" w:hAnsi="Georgia"/>
          <w:i/>
          <w:iCs/>
          <w:color w:val="595959"/>
          <w:sz w:val="20"/>
          <w:szCs w:val="20"/>
        </w:rPr>
        <w:t xml:space="preserve"> Exigir categoría ALTA a un sistema de categoría BÁSICA o MEDIA es, a juicio de los autores de este catálogo, una restricción desproporcionada, y además un sobrecoste inútil: MEDIA y ALTA arrastran auditoría de certificación y BÁSICA no. </w:t>
      </w:r>
      <w:r>
        <w:rPr>
          <w:rFonts w:ascii="Georgia" w:cs="Georgia" w:eastAsia="Georgia" w:hAnsi="Georgia"/>
          <w:i/>
          <w:iCs/>
          <w:color w:val="595959"/>
          <w:sz w:val="20"/>
          <w:szCs w:val="20"/>
        </w:rPr>
        <w:t xml:space="preserve">Esa valoración es propia y no debe atribuirse al Tribunal: la Resolución 383/2024 no calificó la exigencia de desproporcionada, sino que anuló por falta de justificación en la memoria (art. 116.2 LCSP), tratando la certificación como habilitación empresarial del artículo 65.2 LCSP.</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La rúbrica anterior de esta cláusula decía «Seguridad (ENS Nivel Alto)». Si ese título quedó en el PPT de algún expediente ya redactado, ése es el primer sitio que hay que corregir antes de licitar.</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ENS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conformidad expedido por entidad de certificación (MEDIA/ALTA) o declaración de conformidad basada en autoevaluación (BÁSICA), en vigor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Cadena de suministro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subcontratistas y proveedores relevantes con su situación de conformidad, coherente con el análisis de riesgos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de seguridad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aprobado, con órgano y fecha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para la evaluación de impacto; registro de actividades de tratamiento en lo que afecte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Vulnerabilidades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periódico de gestión de vulnerabilidades, con fechas de identificación y de subsanación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continuidad e informe de la prueba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en su defecto, el servicio de informática, con el delegado de protección de datos para el apartado 5.</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vigencia de la acreditación, en la formalización y anualmente; vulnerabilidades, en cada comunicación y en la revisión anual; continuidad, tras la prueba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seguimiento de seguridad, incorporado al expediente y al acta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de revisión anual documental; 4 horas de revisión del informe de la prueba de continuidad; tiempo variable ante incidentes. </w:t>
      </w:r>
      <w:r>
        <w:rPr>
          <w:rFonts w:ascii="Calibri" w:cs="Calibri" w:eastAsia="Calibri" w:hAnsi="Calibri"/>
          <w:b/>
          <w:bCs/>
          <w:sz w:val="21"/>
          <w:szCs w:val="21"/>
        </w:rPr>
        <w:t xml:space="preserve">10 a 14 horas al año</w:t>
      </w:r>
      <w:r>
        <w:rPr>
          <w:rFonts w:ascii="Calibri" w:cs="Calibri" w:eastAsia="Calibri" w:hAnsi="Calibri"/>
          <w:sz w:val="21"/>
          <w:szCs w:val="21"/>
        </w:rPr>
        <w:t xml:space="preserve">, sin contar auditoría propia.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por sí misma. La condición especial de protección de datos es esencial </w:t>
      </w:r>
      <w:r>
        <w:rPr>
          <w:rFonts w:ascii="Calibri" w:cs="Calibri" w:eastAsia="Calibri" w:hAnsi="Calibri"/>
          <w:i/>
          <w:iCs/>
          <w:sz w:val="21"/>
          <w:szCs w:val="21"/>
        </w:rPr>
        <w:t xml:space="preserve">ex lege</w:t>
      </w:r>
      <w:r>
        <w:rPr>
          <w:rFonts w:ascii="Calibri" w:cs="Calibri" w:eastAsia="Calibri" w:hAnsi="Calibri"/>
          <w:sz w:val="21"/>
          <w:szCs w:val="21"/>
        </w:rPr>
        <w:t xml:space="preserve"> (art. 202.1, párrafo tercero, LCSP) </w:t>
      </w:r>
      <w:r>
        <w:rPr>
          <w:rFonts w:ascii="Calibri" w:cs="Calibri" w:eastAsia="Calibri" w:hAnsi="Calibri"/>
          <w:b/>
          <w:bCs/>
          <w:sz w:val="21"/>
          <w:szCs w:val="21"/>
        </w:rPr>
        <w:t xml:space="preserve">sólo</w:t>
      </w:r>
      <w:r>
        <w:rPr>
          <w:rFonts w:ascii="Calibri" w:cs="Calibri" w:eastAsia="Calibri" w:hAnsi="Calibri"/>
          <w:sz w:val="21"/>
          <w:szCs w:val="21"/>
        </w:rPr>
        <w:t xml:space="preserve"> en los contratos cuya ejecución implique cesión de datos por el Ayuntamiento al contratista, y así figura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del informe de vulnerabilidades o del informe de la prueba de continuidad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temporal de la acreditación de conformidad exigida; incumplimiento de los plazos de subsanación del apartado 6 para severidad alta; falta de comunicación de vulnerabilidad crítica en el plazo del apartado 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no subsanada de la acreditación exigida transcurrido el plazo de [X; se recomienda 3] meses desde requerimiento; incumplimiento de los plazos de subsanación para severidad crítica; negativa a la auditoría del apartado 8</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se sustenten en sistemas de información y no traten información municipal.</w:t>
      </w:r>
    </w:p>
    <w:p>
      <w:pPr>
        <w:pStyle w:val="ListParagraph"/>
        <w:numPr>
          <w:ilvl w:val="0"/>
          <w:numId w:val="1"/>
        </w:numPr>
        <w:spacing w:after="70" w:line="268"/>
      </w:pPr>
      <w:r>
        <w:rPr>
          <w:rFonts w:ascii="Calibri" w:cs="Calibri" w:eastAsia="Calibri" w:hAnsi="Calibri"/>
          <w:sz w:val="21"/>
          <w:szCs w:val="21"/>
        </w:rPr>
        <w:t xml:space="preserve">El apartado 3.a) se sustituye por el 3.b) cuando la categoría determinada sea BÁSICA. </w:t>
      </w:r>
      <w:r>
        <w:rPr>
          <w:rFonts w:ascii="Calibri" w:cs="Calibri" w:eastAsia="Calibri" w:hAnsi="Calibri"/>
          <w:b/>
          <w:bCs/>
          <w:sz w:val="21"/>
          <w:szCs w:val="21"/>
        </w:rPr>
        <w:t xml:space="preserve">Nunca se exigen las dos.</w:t>
      </w:r>
    </w:p>
    <w:p>
      <w:pPr>
        <w:pStyle w:val="ListParagraph"/>
        <w:numPr>
          <w:ilvl w:val="0"/>
          <w:numId w:val="1"/>
        </w:numPr>
        <w:spacing w:after="70" w:line="268"/>
      </w:pPr>
      <w:r>
        <w:rPr>
          <w:rFonts w:ascii="Calibri" w:cs="Calibri" w:eastAsia="Calibri" w:hAnsi="Calibri"/>
          <w:sz w:val="21"/>
          <w:szCs w:val="21"/>
        </w:rPr>
        <w:t xml:space="preserve">El apartado 5 se suprime cuando no haya tratamiento de datos personales.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primera letra es precisamente la conformidad con el ENS en la categoría que corresponda (art. 2.3 del Real Decreto 311/2022).</w:t>
      </w:r>
    </w:p>
    <w:p>
      <w:pPr>
        <w:pStyle w:val="ListParagraph"/>
        <w:numPr>
          <w:ilvl w:val="0"/>
          <w:numId w:val="1"/>
        </w:numPr>
        <w:spacing w:after="70" w:line="268"/>
      </w:pPr>
      <w:r>
        <w:rPr>
          <w:rFonts w:ascii="Calibri" w:cs="Calibri" w:eastAsia="Calibri" w:hAnsi="Calibri"/>
          <w:sz w:val="21"/>
          <w:szCs w:val="21"/>
        </w:rPr>
        <w:t xml:space="preserve">Contratos basados en acuerdo marco: la conformidad ENS suele estar ya exigida en el acuerdo marco. Compruébese y no se duplique.</w:t>
      </w:r>
    </w:p>
    <w:p>
      <w:pPr>
        <w:pStyle w:val="ListParagraph"/>
        <w:numPr>
          <w:ilvl w:val="0"/>
          <w:numId w:val="1"/>
        </w:numPr>
        <w:spacing w:after="70" w:line="268"/>
      </w:pPr>
      <w:r>
        <w:rPr>
          <w:rFonts w:ascii="Calibri" w:cs="Calibri" w:eastAsia="Calibri" w:hAnsi="Calibri"/>
          <w:sz w:val="21"/>
          <w:szCs w:val="21"/>
        </w:rPr>
        <w:t xml:space="preserve">Prórrogas: se exige el mantenimiento de la acreditación ya exigida; no se eleva la categoría en la prórroga.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II.8 · DT-7·v3 — Interfaz normalizada de acceso programático para agentes de IA</w:t>
      </w:r>
    </w:p>
    <w:p>
      <w:pPr>
        <w:spacing w:after="140" w:line="276"/>
      </w:pPr>
      <w:r>
        <w:rPr>
          <w:rFonts w:ascii="Calibri" w:cs="Calibri" w:eastAsia="Calibri" w:hAnsi="Calibri"/>
          <w:i/>
          <w:iCs/>
          <w:sz w:val="21"/>
          <w:szCs w:val="21"/>
        </w:rPr>
        <w:t xml:space="preserve">(Reescrita. Es el cambio de mayor calado técnico de esta Parte. La obligación se define por lo que la interfaz debe </w:t>
      </w:r>
      <w:r>
        <w:rPr>
          <w:rFonts w:ascii="Calibri" w:cs="Calibri" w:eastAsia="Calibri" w:hAnsi="Calibri"/>
          <w:i/>
          <w:iCs/>
          <w:sz w:val="21"/>
          <w:szCs w:val="21"/>
        </w:rPr>
        <w:t xml:space="preserve">hacer</w:t>
      </w:r>
      <w:r>
        <w:rPr>
          <w:rFonts w:ascii="Calibri" w:cs="Calibri" w:eastAsia="Calibri" w:hAnsi="Calibri"/>
          <w:i/>
          <w:iCs/>
          <w:sz w:val="21"/>
          <w:szCs w:val="21"/>
        </w:rPr>
        <w:t xml:space="preserve">; el ámbito universal se sustituye por ámbito modulado; y desaparece toda ventaja por disponer previamente de la tecnología.)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DT-7. Interfaz normalizada de acceso programático para agentes de inteligencia artificial.</w:t>
            </w:r>
          </w:p>
          <w:p>
            <w:pPr>
              <w:spacing w:after="100" w:line="264"/>
            </w:pPr>
            <w:r>
              <w:rPr>
                <w:rFonts w:ascii="Georgia" w:cs="Georgia" w:eastAsia="Georgia" w:hAnsi="Georgia"/>
                <w:b/>
                <w:bCs/>
                <w:sz w:val="20"/>
                <w:szCs w:val="20"/>
              </w:rPr>
              <w:t xml:space="preserve">1. Objeto.</w:t>
            </w:r>
            <w:r>
              <w:rPr>
                <w:rFonts w:ascii="Georgia" w:cs="Georgia" w:eastAsia="Georgia" w:hAnsi="Georgia"/>
                <w:sz w:val="20"/>
                <w:szCs w:val="20"/>
              </w:rPr>
              <w:t xml:space="preserve"> El adjudicatario entregará una interfaz normalizada de acceso programático que exponga, de forma segura, controlada y trazable, los datos y las funciones de los módulos objeto de este contrato, de modo que puedan ser consultados y operados por sistemas y agentes de inteligencia artificial autorizados por el Ayuntamiento, bajo supervisión humana.</w:t>
            </w:r>
          </w:p>
          <w:p>
            <w:pPr>
              <w:spacing w:after="100" w:line="264"/>
            </w:pPr>
            <w:r>
              <w:rPr>
                <w:rFonts w:ascii="Georgia" w:cs="Georgia" w:eastAsia="Georgia" w:hAnsi="Georgia"/>
                <w:b/>
                <w:bCs/>
                <w:sz w:val="20"/>
                <w:szCs w:val="20"/>
              </w:rPr>
              <w:t xml:space="preserve">2. Ámbito.</w:t>
            </w:r>
            <w:r>
              <w:rPr>
                <w:rFonts w:ascii="Georgia" w:cs="Georgia" w:eastAsia="Georgia" w:hAnsi="Georgia"/>
                <w:sz w:val="20"/>
                <w:szCs w:val="20"/>
              </w:rPr>
              <w:t xml:space="preserve"> La exigencia se aplica exclusivamente a los módulos y funcionalidades relacionados en el </w:t>
            </w:r>
            <w:r>
              <w:rPr>
                <w:rFonts w:ascii="Georgia" w:cs="Georgia" w:eastAsia="Georgia" w:hAnsi="Georgia"/>
                <w:b/>
                <w:bCs/>
                <w:sz w:val="20"/>
                <w:szCs w:val="20"/>
              </w:rPr>
              <w:t xml:space="preserve">Apéndice técnico 2 · Exigencias tecnológicas determinadas</w:t>
            </w:r>
            <w:r>
              <w:rPr>
                <w:rFonts w:ascii="Georgia" w:cs="Georgia" w:eastAsia="Georgia" w:hAnsi="Georgia"/>
                <w:sz w:val="20"/>
                <w:szCs w:val="20"/>
              </w:rPr>
              <w:t xml:space="preserve"> de este pliego, apartado de módulos y funciones de la interfaz normalizada, atendiendo a la relación directa, clara y proporcional con el objeto del contrato exigida por el artículo 116.4.e) LCSP. No se extiende a otras aplicaciones municipales, ni a prestaciones ajenas al objeto de este contrato. </w:t>
            </w:r>
            <w:r>
              <w:rPr>
                <w:rFonts w:ascii="Georgia" w:cs="Georgia" w:eastAsia="Georgia" w:hAnsi="Georgia"/>
                <w:b/>
                <w:bCs/>
                <w:sz w:val="20"/>
                <w:szCs w:val="20"/>
              </w:rPr>
              <w:t xml:space="preserve">Ese apartado del Apéndice técnico 2 es la única relación de este pliego sobre los módulos y las funciones de la interfaz</w:t>
            </w:r>
            <w:r>
              <w:rPr>
                <w:rFonts w:ascii="Georgia" w:cs="Georgia" w:eastAsia="Georgia" w:hAnsi="Georgia"/>
                <w:sz w:val="20"/>
                <w:szCs w:val="20"/>
              </w:rPr>
              <w:t xml:space="preserve">; ningún otro documento del pliego contiene una relación distinta sobre la misma interfaz.</w:t>
            </w:r>
          </w:p>
          <w:p>
            <w:pPr>
              <w:spacing w:after="100" w:line="264"/>
            </w:pPr>
            <w:r>
              <w:rPr>
                <w:rFonts w:ascii="Georgia" w:cs="Georgia" w:eastAsia="Georgia" w:hAnsi="Georgia"/>
                <w:b/>
                <w:bCs/>
                <w:sz w:val="20"/>
                <w:szCs w:val="20"/>
              </w:rPr>
              <w:t xml:space="preserve">3. Exigencias funcionales.</w:t>
            </w:r>
            <w:r>
              <w:rPr>
                <w:rFonts w:ascii="Georgia" w:cs="Georgia" w:eastAsia="Georgia" w:hAnsi="Georgia"/>
                <w:sz w:val="20"/>
                <w:szCs w:val="20"/>
              </w:rPr>
              <w:t xml:space="preserve"> La interfaz cumplirá, como mínimo:</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Inventario de funciones.</w:t>
            </w:r>
            <w:r>
              <w:rPr>
                <w:rFonts w:ascii="Georgia" w:cs="Georgia" w:eastAsia="Georgia" w:hAnsi="Georgia"/>
                <w:sz w:val="20"/>
                <w:szCs w:val="20"/>
              </w:rPr>
              <w:t xml:space="preserve"> Expone, como mínimo, las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relacionadas en el apartado de módulos y funciones del Apéndice técnico 2 sobre los módulos allí identificados y, cuando ese apartado lo indique, las funciones de escritura que en él se relacionen;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El adjudicatario entregará el inventario de funciones expuestas, con su descripción y sus parámetros.</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Autenticación y autorización.</w:t>
            </w:r>
            <w:r>
              <w:rPr>
                <w:rFonts w:ascii="Georgia" w:cs="Georgia" w:eastAsia="Georgia" w:hAnsi="Georgia"/>
                <w:sz w:val="20"/>
                <w:szCs w:val="20"/>
              </w:rPr>
              <w:t xml:space="preserve"> Integradas con el directorio corporativo del Ayuntamiento, con control de acceso diferenciado por módulo, por operación y por ámbito de datos, y con distinción efectiva entre operaciones de consulta y de escritura.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Registro de auditoría.</w:t>
            </w:r>
            <w:r>
              <w:rPr>
                <w:rFonts w:ascii="Georgia" w:cs="Georgia" w:eastAsia="Georgia" w:hAnsi="Georgia"/>
                <w:sz w:val="20"/>
                <w:szCs w:val="20"/>
              </w:rPr>
              <w:t xml:space="preserve"> De todas las consultas y acciones realizadas a través de la interfaz, con identificación del sistema o agente actuante, de la persona usuaria responsable, marca temporal y datos afectados; exportable en formato abierto y documentado, y conservado durante [X; se recomienda 24] meses.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Documentación.</w:t>
            </w:r>
            <w:r>
              <w:rPr>
                <w:rFonts w:ascii="Georgia" w:cs="Georgia" w:eastAsia="Georgia" w:hAnsi="Georgia"/>
                <w:sz w:val="20"/>
                <w:szCs w:val="20"/>
              </w:rPr>
              <w:t xml:space="preserve"> Especificación técnica de la interfaz, modelo de permisos e instrucciones de despliegue, publicadas y versionadas, actualizadas con cada versión.</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Entorno de pruebas.</w:t>
            </w:r>
            <w:r>
              <w:rPr>
                <w:rFonts w:ascii="Georgia" w:cs="Georgia" w:eastAsia="Georgia" w:hAnsi="Georgia"/>
                <w:sz w:val="20"/>
                <w:szCs w:val="20"/>
              </w:rPr>
              <w:t xml:space="preserve"> El previsto en la cláusula DT-5, apartado 6, que permitirá verificar las letras a) a h) de este apartado y estará operativo, respecto de la interfaz, como mínimo [X; se recomienda 60] días naturales antes de la fecha comprometida de puesta en producción.</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Límites y suspensión.</w:t>
            </w:r>
            <w:r>
              <w:rPr>
                <w:rFonts w:ascii="Georgia" w:cs="Georgia" w:eastAsia="Georgia" w:hAnsi="Georgia"/>
                <w:sz w:val="20"/>
                <w:szCs w:val="20"/>
              </w:rPr>
              <w:t xml:space="preserve"> Los límites de actuación son configurables por el Ayuntamiento y permiten habilitar y deshabilitar de forma independiente cada operación. El Ayuntamiento dispondrá de un control propio, accionable con credenciales municipales desde la interfaz de administración de la solución, que suspenda la ejecución de operaciones a través de la interfaz,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y cuyo efecto se producirá en un plazo máximo de [X; se recomienda 5] minutos. Toda activación de ese control quedará registrada conforme a la letra c).</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Seguridad y protección de datos.</w:t>
            </w:r>
            <w:r>
              <w:rPr>
                <w:rFonts w:ascii="Georgia" w:cs="Georgia" w:eastAsia="Georgia" w:hAnsi="Georgia"/>
                <w:sz w:val="20"/>
                <w:szCs w:val="20"/>
              </w:rPr>
              <w:t xml:space="preserve"> Conformidad con el Esquema Nacional de Seguridad en la categoría determinada conforme a la cláusula DT-6, y con el Reglamento (UE) 2016/679.</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Titularidad y portabilidad.</w:t>
            </w:r>
            <w:r>
              <w:rPr>
                <w:rFonts w:ascii="Georgia" w:cs="Georgia" w:eastAsia="Georgia" w:hAnsi="Georgia"/>
                <w:sz w:val="20"/>
                <w:szCs w:val="20"/>
              </w:rPr>
              <w:t xml:space="preserve"> La interfaz entregada, su documentación y su configuración son de titularidad municipal en los términos del pliego de cláusulas administrativas particulares, y quedan sujetas al régimen de reversibilidad de la cláusula DT-8.</w:t>
            </w:r>
          </w:p>
          <w:p>
            <w:pPr>
              <w:spacing w:after="100" w:line="264"/>
            </w:pPr>
            <w:r>
              <w:rPr>
                <w:rFonts w:ascii="Georgia" w:cs="Georgia" w:eastAsia="Georgia" w:hAnsi="Georgia"/>
                <w:b/>
                <w:bCs/>
                <w:sz w:val="20"/>
                <w:szCs w:val="20"/>
              </w:rPr>
              <w:t xml:space="preserve">4. Neutralidad tecnológica.</w:t>
            </w:r>
            <w:r>
              <w:rPr>
                <w:rFonts w:ascii="Georgia" w:cs="Georgia" w:eastAsia="Georgia" w:hAnsi="Georgia"/>
                <w:sz w:val="20"/>
                <w:szCs w:val="20"/>
              </w:rPr>
              <w:t xml:space="preserve"> Este pliego </w:t>
            </w:r>
            <w:r>
              <w:rPr>
                <w:rFonts w:ascii="Georgia" w:cs="Georgia" w:eastAsia="Georgia" w:hAnsi="Georgia"/>
                <w:b/>
                <w:bCs/>
                <w:sz w:val="20"/>
                <w:szCs w:val="20"/>
              </w:rPr>
              <w:t xml:space="preserve">no impone protocolo, especificación ni producto alguno</w:t>
            </w:r>
            <w:r>
              <w:rPr>
                <w:rFonts w:ascii="Georgia" w:cs="Georgia" w:eastAsia="Georgia" w:hAnsi="Georgia"/>
                <w:sz w:val="20"/>
                <w:szCs w:val="20"/>
              </w:rPr>
              <w:t xml:space="preserve">. El licitador describirá en su oferta el protocolo o mecanismo técnico mediante el cual satisface las letras a) a h) del apartado 3, y acreditará ese cumplimiento por los medios previstos en el apartado 6. La valoración y la aceptación se refieren exclusivamente al cumplimiento de dichas letras.</w:t>
            </w:r>
          </w:p>
          <w:p>
            <w:pPr>
              <w:spacing w:after="100" w:line="264"/>
            </w:pPr>
            <w:r>
              <w:rPr>
                <w:rFonts w:ascii="Georgia" w:cs="Georgia" w:eastAsia="Georgia" w:hAnsi="Georgia"/>
                <w:b/>
                <w:bCs/>
                <w:sz w:val="20"/>
                <w:szCs w:val="20"/>
              </w:rPr>
              <w:t xml:space="preserve">5. Plazo.</w:t>
            </w:r>
            <w:r>
              <w:rPr>
                <w:rFonts w:ascii="Georgia" w:cs="Georgia" w:eastAsia="Georgia" w:hAnsi="Georgia"/>
                <w:sz w:val="20"/>
                <w:szCs w:val="20"/>
              </w:rPr>
              <w:t xml:space="preserve"> La interfaz se entregará en el plazo máximo de [X; se recomienda 12] meses desde la formalización del contrato o, si fuera posterior, desde la puesta en producción del módulo correspondiente. El plazo que el licitador oferte por debajo de ese máximo se incorpora al contrato como obligación.</w:t>
            </w:r>
          </w:p>
          <w:p>
            <w:pPr>
              <w:spacing w:after="100" w:line="264"/>
            </w:pPr>
            <w:r>
              <w:rPr>
                <w:rFonts w:ascii="Georgia" w:cs="Georgia" w:eastAsia="Georgia" w:hAnsi="Georgia"/>
                <w:b/>
                <w:bCs/>
                <w:sz w:val="20"/>
                <w:szCs w:val="20"/>
              </w:rPr>
              <w:t xml:space="preserve">6. Comprobación.</w:t>
            </w:r>
            <w:r>
              <w:rPr>
                <w:rFonts w:ascii="Georgia" w:cs="Georgia" w:eastAsia="Georgia" w:hAnsi="Georgia"/>
                <w:sz w:val="20"/>
                <w:szCs w:val="20"/>
              </w:rPr>
              <w:t xml:space="preserve"> El cumplimiento de las letras a) a h) del apartado 3 se comprobará mediante prueba de aceptación ejecutada por los servicios municipales sobre el entorno de pruebas, documentada en acta, en la que se verificará expresamente cada letra. La prueba de la letra f) incluirá la activación del control de suspensión por personal municipal y la medición del tiempo transcurrido hasta que la siguiente invocación es rechazada.</w:t>
            </w:r>
          </w:p>
          <w:p>
            <w:pPr>
              <w:spacing w:after="100" w:line="264"/>
            </w:pPr>
            <w:r>
              <w:rPr>
                <w:rFonts w:ascii="Georgia" w:cs="Georgia" w:eastAsia="Georgia" w:hAnsi="Georgia"/>
                <w:b/>
                <w:bCs/>
                <w:sz w:val="20"/>
                <w:szCs w:val="20"/>
              </w:rPr>
              <w:t xml:space="preserve">7. Disponibilidad previa.</w:t>
            </w:r>
            <w:r>
              <w:rPr>
                <w:rFonts w:ascii="Georgia" w:cs="Georgia" w:eastAsia="Georgia" w:hAnsi="Georgia"/>
                <w:sz w:val="20"/>
                <w:szCs w:val="20"/>
              </w:rPr>
              <w:t xml:space="preserve"> La disponibilidad de una interfaz de estas características con anterioridad a la licitación </w:t>
            </w:r>
            <w:r>
              <w:rPr>
                <w:rFonts w:ascii="Georgia" w:cs="Georgia" w:eastAsia="Georgia" w:hAnsi="Georgia"/>
                <w:b/>
                <w:bCs/>
                <w:sz w:val="20"/>
                <w:szCs w:val="20"/>
              </w:rPr>
              <w:t xml:space="preserve">no será objeto de valoración</w:t>
            </w:r>
            <w:r>
              <w:rPr>
                <w:rFonts w:ascii="Georgia" w:cs="Georgia" w:eastAsia="Georgia" w:hAnsi="Georgia"/>
                <w:sz w:val="20"/>
                <w:szCs w:val="20"/>
              </w:rPr>
              <w:t xml:space="preserve">. Lo que se valora, en su caso, es el alcance funcional comprometido para este contrato y el plazo ofertado, conforme al pliego de cláusulas administrativas particulares.</w:t>
            </w:r>
          </w:p>
        </w:tc>
      </w:tr>
    </w:tbl>
    <w:p>
      <w:pPr>
        <w:spacing w:after="220"/>
      </w:pPr>
    </w:p>
    <w:p>
      <w:pPr>
        <w:spacing w:after="140" w:line="276"/>
      </w:pPr>
      <w:r>
        <w:rPr>
          <w:rFonts w:ascii="Calibri" w:cs="Calibri" w:eastAsia="Calibri" w:hAnsi="Calibri"/>
          <w:sz w:val="21"/>
          <w:szCs w:val="21"/>
        </w:rPr>
        <w:t xml:space="preserve">Además, el PPT debe incorporar, </w:t>
      </w:r>
      <w:r>
        <w:rPr>
          <w:rFonts w:ascii="Calibri" w:cs="Calibri" w:eastAsia="Calibri" w:hAnsi="Calibri"/>
          <w:b/>
          <w:bCs/>
          <w:sz w:val="21"/>
          <w:szCs w:val="21"/>
        </w:rPr>
        <w:t xml:space="preserve">al comienzo del Apéndice técnico 2 · Exigencias tecnológicas determinadas</w:t>
      </w:r>
      <w:r>
        <w:rPr>
          <w:rFonts w:ascii="Calibri" w:cs="Calibri" w:eastAsia="Calibri" w:hAnsi="Calibri"/>
          <w:sz w:val="21"/>
          <w:szCs w:val="21"/>
        </w:rPr>
        <w:t xml:space="preserve"> y antes de la transcripción del Catálogo del ejercicio, el apartado de módulos y funciones al que remite el apartado 2, con esta estructura mínima y con sus </w:t>
      </w:r>
      <w:r>
        <w:rPr>
          <w:rFonts w:ascii="Calibri" w:cs="Calibri" w:eastAsia="Calibri" w:hAnsi="Calibri"/>
          <w:b/>
          <w:bCs/>
          <w:sz w:val="21"/>
          <w:szCs w:val="21"/>
        </w:rPr>
        <w:t xml:space="preserve">dos bloques separados</w:t>
      </w:r>
      <w:r>
        <w:rPr>
          <w:rFonts w:ascii="Calibri" w:cs="Calibri" w:eastAsia="Calibri" w:hAnsi="Calibri"/>
          <w:sz w:val="21"/>
          <w:szCs w:val="21"/>
        </w:rPr>
        <w:t xml:space="preserve">, porque del segundo depende que el criterio de adjudicación A tenga término de comparación cerrado:</w:t>
      </w:r>
    </w:p>
    <w:p>
      <w:pPr>
        <w:spacing w:after="140" w:line="276"/>
      </w:pPr>
      <w:r>
        <w:rPr>
          <w:rFonts w:ascii="Calibri" w:cs="Calibri" w:eastAsia="Calibri" w:hAnsi="Calibri"/>
          <w:b/>
          <w:bCs/>
          <w:sz w:val="21"/>
          <w:szCs w:val="21"/>
        </w:rPr>
        <w:t xml:space="preserve">Bloque A · Módulos y funciones mínimas exigidas</w:t>
      </w:r>
      <w:r>
        <w:rPr>
          <w:rFonts w:ascii="Calibri" w:cs="Calibri" w:eastAsia="Calibri" w:hAnsi="Calibri"/>
          <w:sz w:val="21"/>
          <w:szCs w:val="21"/>
        </w:rPr>
        <w:t xml:space="preserve"> (prescripción técnica; no puntúan)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consulta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escritura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Conjuntos de datos accesibles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Bloque B · Funciones adicionales ofertables</w:t>
      </w:r>
      <w:r>
        <w:rPr>
          <w:rFonts w:ascii="Calibri" w:cs="Calibri" w:eastAsia="Calibri" w:hAnsi="Calibri"/>
          <w:sz w:val="21"/>
          <w:szCs w:val="21"/>
        </w:rPr>
        <w:t xml:space="preserve"> (relación cerrada y numerada; es la única base sobre la que se mide el exceso del criterio A de ADM-7·v3)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adicional ofertable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 de datos al que da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Una sola sede.</w:t>
      </w:r>
      <w:r>
        <w:rPr>
          <w:rFonts w:ascii="Calibri" w:cs="Calibri" w:eastAsia="Calibri" w:hAnsi="Calibri"/>
          <w:sz w:val="21"/>
          <w:szCs w:val="21"/>
        </w:rPr>
        <w:t xml:space="preserve"> Los módulos y las funciones de la interfaz se relacionan </w:t>
      </w:r>
      <w:r>
        <w:rPr>
          <w:rFonts w:ascii="Calibri" w:cs="Calibri" w:eastAsia="Calibri" w:hAnsi="Calibri"/>
          <w:b/>
          <w:bCs/>
          <w:sz w:val="21"/>
          <w:szCs w:val="21"/>
        </w:rPr>
        <w:t xml:space="preserve">exclusivamente aquí</w:t>
      </w:r>
      <w:r>
        <w:rPr>
          <w:rFonts w:ascii="Calibri" w:cs="Calibri" w:eastAsia="Calibri" w:hAnsi="Calibri"/>
          <w:sz w:val="21"/>
          <w:szCs w:val="21"/>
        </w:rPr>
        <w:t xml:space="preserve">. No se abre un apéndice propio para esta cláusula: hacerlo produciría dos listas cerradas sobre la misma interfaz y el criterio A dejaría de decir respecto de cuál se mide el exceso, que es el vicio que la regla V.A.1.7 del Anexo V declara inadmisible.</w:t>
      </w: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integración, a continuación de DT-5·v3. El apartado de módulos y funciones al que remite el apartado 2 se transcribe físicamente dentro del PPT, dentro del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que es el mismo apéndice en que se transcribe el Catálogo del ejercicio (DT-9·v3 y Anexo V). Cuando DT-9·v3 se marque NO APLICA y esta cláusula sí se incorpore, el Apéndice técnico 2 conserva su rótulo y contiene únicamente el apartado de módulos y funciones. La regla de composición está en el Anexo XXV.</w:t>
      </w:r>
    </w:p>
    <w:p>
      <w:pPr>
        <w:spacing w:after="140" w:line="276"/>
      </w:pPr>
      <w:r>
        <w:rPr>
          <w:rFonts w:ascii="Calibri" w:cs="Calibri" w:eastAsia="Calibri" w:hAnsi="Calibri"/>
          <w:sz w:val="21"/>
          <w:szCs w:val="21"/>
        </w:rPr>
        <w:t xml:space="preserve">El apartado 5, en cuanto al plazo ofertado, y el apartado 7 tienen reflejo en el PCAP: el plazo ofertado es criterio de adjudicación automático en ADM-7·v3, y la exclusión de la disponibilidad previa es una regla del baremo.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Ésta es la cláusula que más cuidado exige, porque </w:t>
      </w:r>
      <w:r>
        <w:rPr>
          <w:rFonts w:ascii="Calibri" w:cs="Calibri" w:eastAsia="Calibri" w:hAnsi="Calibri"/>
          <w:b/>
          <w:bCs/>
          <w:sz w:val="21"/>
          <w:szCs w:val="21"/>
        </w:rPr>
        <w:t xml:space="preserve">ninguna norma obliga a un ayuntamiento a exponer sus aplicaciones a agentes de inteligencia artificial</w:t>
      </w:r>
      <w:r>
        <w:rPr>
          <w:rFonts w:ascii="Calibri" w:cs="Calibri" w:eastAsia="Calibri" w:hAnsi="Calibri"/>
          <w:sz w:val="21"/>
          <w:szCs w:val="21"/>
        </w:rPr>
        <w:t xml:space="preserve">. Decirlo abiertamente es lo que permite construir la necesidad donde de verdad está:</w:t>
      </w:r>
    </w:p>
    <w:p>
      <w:pPr>
        <w:pStyle w:val="ListParagraph"/>
        <w:numPr>
          <w:ilvl w:val="0"/>
          <w:numId w:val="1"/>
        </w:numPr>
        <w:spacing w:after="70" w:line="268"/>
      </w:pPr>
      <w:r>
        <w:rPr>
          <w:rFonts w:ascii="Calibri" w:cs="Calibri" w:eastAsia="Calibri" w:hAnsi="Calibri"/>
          <w:b/>
          <w:bCs/>
          <w:sz w:val="21"/>
          <w:szCs w:val="21"/>
        </w:rPr>
        <w:t xml:space="preserve">Necesidad de control interno, ya normativa y presente.</w:t>
      </w:r>
      <w:r>
        <w:rPr>
          <w:rFonts w:ascii="Calibri" w:cs="Calibri" w:eastAsia="Calibri" w:hAnsi="Calibri"/>
          <w:sz w:val="21"/>
          <w:szCs w:val="21"/>
        </w:rPr>
        <w:t xml:space="preserve"> El artículo 6.7 del Real Decreto 424/2017 permite a los funcionarios actuantes en el control financiero «revisar los sistemas informáticos de gestión que sean precisos para llevar a cabo sus funciones de control», y su artículo 30.3 les da «el acceso para consultas a los sistemas y aplicaciones que contengan información económico-financiera». La interfaz de esta cláusula es el medio técnico por el que ese acceso deja de depender de la disponibilidad del personal del adjudicatario. Ése es el uso presente y verificable, no un uso futuro.</w:t>
      </w:r>
    </w:p>
    <w:p>
      <w:pPr>
        <w:pStyle w:val="ListParagraph"/>
        <w:numPr>
          <w:ilvl w:val="0"/>
          <w:numId w:val="1"/>
        </w:numPr>
        <w:spacing w:after="70" w:line="268"/>
      </w:pPr>
      <w:r>
        <w:rPr>
          <w:rFonts w:ascii="Calibri" w:cs="Calibri" w:eastAsia="Calibri" w:hAnsi="Calibri"/>
          <w:b/>
          <w:bCs/>
          <w:sz w:val="21"/>
          <w:szCs w:val="21"/>
        </w:rPr>
        <w:t xml:space="preserve">Necesidad institucional.</w:t>
      </w:r>
      <w:r>
        <w:rPr>
          <w:rFonts w:ascii="Calibri" w:cs="Calibri" w:eastAsia="Calibri" w:hAnsi="Calibri"/>
          <w:sz w:val="21"/>
          <w:szCs w:val="21"/>
        </w:rPr>
        <w:t xml:space="preserve"> Todo lo que exceda de lo anterior —la operación por agentes propiamente dicha— no tiene norma y no la va a pedir ningún gestor. Sólo puede fundarse en un </w:t>
      </w:r>
      <w:r>
        <w:rPr>
          <w:rFonts w:ascii="Calibri" w:cs="Calibri" w:eastAsia="Calibri" w:hAnsi="Calibri"/>
          <w:b/>
          <w:bCs/>
          <w:sz w:val="21"/>
          <w:szCs w:val="21"/>
        </w:rPr>
        <w:t xml:space="preserve">acuerdo del órgano de gobierno municipal</w:t>
      </w:r>
      <w:r>
        <w:rPr>
          <w:rFonts w:ascii="Calibri" w:cs="Calibri" w:eastAsia="Calibri" w:hAnsi="Calibri"/>
          <w:sz w:val="21"/>
          <w:szCs w:val="21"/>
        </w:rPr>
        <w:t xml:space="preserve"> que apruebe el plan y el catálogo anual de exigencias tecnológicas, con objetivos y calendario. Sin ese eslabón, la ficha de necesidad se rellenará con el mismo párrafo en todos los expedientes, que es justamente la justificación estereotipada que un tribunal rechaza. El modelo de acuerdo está en el Anexo VIII.</w:t>
      </w:r>
    </w:p>
    <w:p>
      <w:pPr>
        <w:pStyle w:val="ListParagraph"/>
        <w:numPr>
          <w:ilvl w:val="0"/>
          <w:numId w:val="1"/>
        </w:numPr>
        <w:spacing w:after="70" w:line="268"/>
      </w:pPr>
      <w:r>
        <w:rPr>
          <w:rFonts w:ascii="Calibri" w:cs="Calibri" w:eastAsia="Calibri" w:hAnsi="Calibri"/>
          <w:b/>
          <w:bCs/>
          <w:sz w:val="21"/>
          <w:szCs w:val="21"/>
        </w:rPr>
        <w:t xml:space="preserve">Anclaje de la formulación.</w:t>
      </w:r>
      <w:r>
        <w:rPr>
          <w:rFonts w:ascii="Calibri" w:cs="Calibri" w:eastAsia="Calibri" w:hAnsi="Calibri"/>
          <w:sz w:val="21"/>
          <w:szCs w:val="21"/>
        </w:rPr>
        <w:t xml:space="preserve"> El artículo 126.2 LCSP permite que las prescripciones técnicas se refieran a «un proceso específico de otra fase de su ciclo de vida […] incluso cuando dichos factores no formen parte de la sustancia material», siempre que estén vinculados al objeto y guarden proporción con su valor y objetivos. Es el precepto que sostiene una exigencia de interoperabilidad futura; no sostiene una exigencia universal.</w:t>
      </w:r>
    </w:p>
    <w:p>
      <w:pPr>
        <w:spacing w:after="140" w:line="276"/>
      </w:pPr>
      <w:r>
        <w:rPr>
          <w:rFonts w:ascii="Calibri" w:cs="Calibri" w:eastAsia="Calibri" w:hAnsi="Calibri"/>
          <w:b/>
          <w:bCs/>
          <w:sz w:val="21"/>
          <w:szCs w:val="21"/>
        </w:rPr>
        <w:t xml:space="preserve">Por qué el ámbito deja de ser universal.</w:t>
      </w:r>
      <w:r>
        <w:rPr>
          <w:rFonts w:ascii="Calibri" w:cs="Calibri" w:eastAsia="Calibri" w:hAnsi="Calibri"/>
          <w:sz w:val="21"/>
          <w:szCs w:val="21"/>
        </w:rPr>
        <w:t xml:space="preserve"> La redacción anterior extendía la obligación a «la totalidad de las aplicaciones municipales» y a «toda nueva plataforma, aplicación o ERP que se contrate». En un contrato con componente tecnológico accesorio, eso rompe la vinculación al objeto y es exactamente el supuesto de «artificioso al contrato». El ámbito modulado del apartado 2 lo corrige, y el Apéndice obliga a que alguien escriba los módulos concretos: si nadie puede escribirlos, la cláusula no se incorpora.</w:t>
      </w:r>
    </w:p>
    <w:p>
      <w:pPr>
        <w:spacing w:after="140" w:line="276"/>
      </w:pPr>
      <w:r>
        <w:rPr>
          <w:rFonts w:ascii="Calibri" w:cs="Calibri" w:eastAsia="Calibri" w:hAnsi="Calibri"/>
          <w:b/>
          <w:bCs/>
          <w:sz w:val="21"/>
          <w:szCs w:val="21"/>
        </w:rPr>
        <w:t xml:space="preserve">Por qué el pliego no nombra ningún protocolo, y por qué no puede hablarse de presunción de conformidad.</w:t>
      </w:r>
      <w:r>
        <w:rPr>
          <w:rFonts w:ascii="Calibri" w:cs="Calibri" w:eastAsia="Calibri" w:hAnsi="Calibri"/>
          <w:sz w:val="21"/>
          <w:szCs w:val="21"/>
        </w:rPr>
        <w:t xml:space="preserve"> El artículo 126.5.c) LCSP permite formular las prescripciones en términos funcionales «haciendo referencia, </w:t>
      </w:r>
      <w:r>
        <w:rPr>
          <w:rFonts w:ascii="Calibri" w:cs="Calibri" w:eastAsia="Calibri" w:hAnsi="Calibri"/>
          <w:b/>
          <w:bCs/>
          <w:sz w:val="21"/>
          <w:szCs w:val="21"/>
        </w:rPr>
        <w:t xml:space="preserve">como medio de presunción de conformidad</w:t>
      </w:r>
      <w:r>
        <w:rPr>
          <w:rFonts w:ascii="Calibri" w:cs="Calibri" w:eastAsia="Calibri" w:hAnsi="Calibri"/>
          <w:sz w:val="21"/>
          <w:szCs w:val="21"/>
        </w:rPr>
        <w:t xml:space="preserve"> con estos requisitos […] a las especificaciones contempladas en la letra b)». La letra b) es una lista cerrada: normas nacionales que incorporen normas europeas, evaluaciones técnicas europeas, especificaciones técnicas comunes, normas internacionales, otros sistemas de referencias técnicas elaborados por los organismos europeos de normalización, normas nacionales y documentos de idoneidad técnica nacionales. El artículo 125.2 reserva el término «norma» a lo aprobado por un organismo de normalización reconocido, y el 125.4 define «especificación técnica común» como la elaborada conforme a los artículos 13 y 14 del Reglamento (UE) n.º 1025/2012.</w:t>
      </w:r>
    </w:p>
    <w:p>
      <w:pPr>
        <w:spacing w:after="140" w:line="276"/>
      </w:pPr>
      <w:r>
        <w:rPr>
          <w:rFonts w:ascii="Calibri" w:cs="Calibri" w:eastAsia="Calibri" w:hAnsi="Calibri"/>
          <w:sz w:val="21"/>
          <w:szCs w:val="21"/>
        </w:rPr>
        <w:t xml:space="preserve">El Model Context Protocol es una especificación privada, bajo gobernanza de la Agentic AI Foundation de la Linux Foundation desde el 9 de diciembre de 2025. </w:t>
      </w:r>
      <w:r>
        <w:rPr>
          <w:rFonts w:ascii="Calibri" w:cs="Calibri" w:eastAsia="Calibri" w:hAnsi="Calibri"/>
          <w:b/>
          <w:bCs/>
          <w:sz w:val="21"/>
          <w:szCs w:val="21"/>
        </w:rPr>
        <w:t xml:space="preserve">No pertenece a ninguna de esas categorías.</w:t>
      </w:r>
      <w:r>
        <w:rPr>
          <w:rFonts w:ascii="Calibri" w:cs="Calibri" w:eastAsia="Calibri" w:hAnsi="Calibri"/>
          <w:sz w:val="21"/>
          <w:szCs w:val="21"/>
        </w:rPr>
        <w:t xml:space="preserve"> Atribuirle el efecto de presunción de conformidad del artículo 126.5.c) sería un error de construcción, no de motivación, y es exactamente el reproche que un letrado de licitador formularía en la primera alegación. Por eso:</w:t>
      </w:r>
    </w:p>
    <w:p>
      <w:pPr>
        <w:pStyle w:val="ListParagraph"/>
        <w:numPr>
          <w:ilvl w:val="0"/>
          <w:numId w:val="1"/>
        </w:numPr>
        <w:spacing w:after="70" w:line="268"/>
      </w:pPr>
      <w:r>
        <w:rPr>
          <w:rFonts w:ascii="Calibri" w:cs="Calibri" w:eastAsia="Calibri" w:hAnsi="Calibri"/>
          <w:sz w:val="21"/>
          <w:szCs w:val="21"/>
        </w:rPr>
        <w:t xml:space="preserve">La obligación se define </w:t>
      </w:r>
      <w:r>
        <w:rPr>
          <w:rFonts w:ascii="Calibri" w:cs="Calibri" w:eastAsia="Calibri" w:hAnsi="Calibri"/>
          <w:b/>
          <w:bCs/>
          <w:sz w:val="21"/>
          <w:szCs w:val="21"/>
        </w:rPr>
        <w:t xml:space="preserve">por lo que la interfaz debe hacer</w:t>
      </w:r>
      <w:r>
        <w:rPr>
          <w:rFonts w:ascii="Calibri" w:cs="Calibri" w:eastAsia="Calibri" w:hAnsi="Calibri"/>
          <w:sz w:val="21"/>
          <w:szCs w:val="21"/>
        </w:rPr>
        <w:t xml:space="preserve"> (art. 126.5.a): las letras a) a h) del apartado 3.</w:t>
      </w:r>
    </w:p>
    <w:p>
      <w:pPr>
        <w:pStyle w:val="ListParagraph"/>
        <w:numPr>
          <w:ilvl w:val="0"/>
          <w:numId w:val="1"/>
        </w:numPr>
        <w:spacing w:after="70" w:line="268"/>
      </w:pPr>
      <w:r>
        <w:rPr>
          <w:rFonts w:ascii="Calibri" w:cs="Calibri" w:eastAsia="Calibri" w:hAnsi="Calibri"/>
          <w:sz w:val="21"/>
          <w:szCs w:val="21"/>
        </w:rPr>
        <w:t xml:space="preserve">El protocolo es libre, y el pliego lo dice.</w:t>
      </w:r>
    </w:p>
    <w:p>
      <w:pPr>
        <w:pStyle w:val="ListParagraph"/>
        <w:numPr>
          <w:ilvl w:val="0"/>
          <w:numId w:val="1"/>
        </w:numPr>
        <w:spacing w:after="70" w:line="268"/>
      </w:pPr>
      <w:r>
        <w:rPr>
          <w:rFonts w:ascii="Calibri" w:cs="Calibri" w:eastAsia="Calibri" w:hAnsi="Calibri"/>
          <w:sz w:val="21"/>
          <w:szCs w:val="21"/>
        </w:rPr>
        <w:t xml:space="preserve">El Model Context Protocol se cita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 Su donación a la Linux Foundation, con gobernanza participada, es además el dato que acredita que no «caracteriza los productos de un empresario determinado» a efectos del artículo 126.6 LCSP, y conviene incorporarlo a la memoria.</w:t>
      </w:r>
    </w:p>
    <w:p>
      <w:pPr>
        <w:pStyle w:val="ListParagraph"/>
        <w:numPr>
          <w:ilvl w:val="0"/>
          <w:numId w:val="1"/>
        </w:numPr>
        <w:spacing w:after="70" w:line="268"/>
      </w:pPr>
      <w:r>
        <w:rPr>
          <w:rFonts w:ascii="Calibri" w:cs="Calibri" w:eastAsia="Calibri" w:hAnsi="Calibri"/>
          <w:b/>
          <w:bCs/>
          <w:sz w:val="21"/>
          <w:szCs w:val="21"/>
        </w:rPr>
        <w:t xml:space="preserve">Si, pese a todo, el órgano de contratación decide nombrarlo en el PPT</w:t>
      </w:r>
      <w:r>
        <w:rPr>
          <w:rFonts w:ascii="Calibri" w:cs="Calibri" w:eastAsia="Calibri" w:hAnsi="Calibri"/>
          <w:sz w:val="21"/>
          <w:szCs w:val="21"/>
        </w:rPr>
        <w:t xml:space="preserve"> por claridad para los licitadores, la única fórmula admisible es, dentro del apartado 4: «</w:t>
      </w:r>
      <w:r>
        <w:rPr>
          <w:rFonts w:ascii="Calibri" w:cs="Calibri" w:eastAsia="Calibri" w:hAnsi="Calibri"/>
          <w:i/>
          <w:iCs/>
          <w:sz w:val="21"/>
          <w:szCs w:val="21"/>
        </w:rPr>
        <w:t xml:space="preserve">A título meramente ilustrativo y no excluyente, una interfaz basada en el Model Context Protocol o en cualquier otro protocolo abierto documentado puede satisfacer las exigencias de la letra a) a h) del apartado 3; su empleo no exime de acreditar dicho cumplimiento</w:t>
      </w:r>
      <w:r>
        <w:rPr>
          <w:rFonts w:ascii="Calibri" w:cs="Calibri" w:eastAsia="Calibri" w:hAnsi="Calibri"/>
          <w:sz w:val="21"/>
          <w:szCs w:val="21"/>
        </w:rPr>
        <w:t xml:space="preserve">». Nunca como requisito, nunca como presunción de conformidad, y nunca sin la mención de no exclusión en la misma frase (STJUE C-424/23, ap. 61). La opción recomendada sigue siendo no nombrarlo.</w:t>
      </w:r>
    </w:p>
    <w:p>
      <w:pPr>
        <w:spacing w:after="140" w:line="276"/>
      </w:pPr>
      <w:r>
        <w:rPr>
          <w:rFonts w:ascii="Calibri" w:cs="Calibri" w:eastAsia="Calibri" w:hAnsi="Calibri"/>
          <w:b/>
          <w:bCs/>
          <w:sz w:val="21"/>
          <w:szCs w:val="21"/>
        </w:rPr>
        <w:t xml:space="preserve">Por qué desaparece la ventaja por disponibilidad previa (apartado 7).</w:t>
      </w:r>
      <w:r>
        <w:rPr>
          <w:rFonts w:ascii="Calibri" w:cs="Calibri" w:eastAsia="Calibri" w:hAnsi="Calibri"/>
          <w:sz w:val="21"/>
          <w:szCs w:val="21"/>
        </w:rPr>
        <w:t xml:space="preserve"> El artículo 40.b) LCSP declara anulables «todas aquellas disposiciones, resoluciones, cláusulas o actos […] que otorguen, de forma directa o indirecta, ventajas a las empresas que hayan contratado previamente con cualquier Administración». Puntuar la tenencia de una interfaz a fecha de licitación valora el estado previo del producto, no el mérito de la oferta. La vía correcta es puntuar el alcance comprometido y el plazo ofertado, y exigir la acreditación al licitador propuesto como adjudicatario en el trámite del artículo 150.2 LCSP.</w:t>
      </w:r>
    </w:p>
    <w:p>
      <w:pPr>
        <w:spacing w:after="140" w:line="276"/>
      </w:pPr>
      <w:r>
        <w:rPr>
          <w:rFonts w:ascii="Calibri" w:cs="Calibri" w:eastAsia="Calibri" w:hAnsi="Calibri"/>
          <w:b/>
          <w:bCs/>
          <w:sz w:val="21"/>
          <w:szCs w:val="21"/>
        </w:rPr>
        <w:t xml:space="preserve">Hasta dónde llega esa salvaguarda, dicho antes de que lo diga el recurso.</w:t>
      </w:r>
      <w:r>
        <w:rPr>
          <w:rFonts w:ascii="Calibri" w:cs="Calibri" w:eastAsia="Calibri" w:hAnsi="Calibri"/>
          <w:sz w:val="21"/>
          <w:szCs w:val="21"/>
        </w:rPr>
        <w:t xml:space="preserve"> El plazo ofertado sí puede reflejar indirectamente la disponibilidad previa: quien ya tiene la capacidad puede ofertar el mínimo. Por eso el criterio B del baremo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la ventaja del que ya la tiene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Lo que se valora es una cualidad de la prestación —cuándo estará disponible para el Ayuntamiento—, no una característica de la empresa. Esta motivación debe reproducirse en la ficha del criterio correspondiente del Anexo IV. Negar por escrito lo que se ve en la tabla siguiente es lo que convierte un criterio defendible en una contradicción.</w:t>
      </w:r>
    </w:p>
    <w:p>
      <w:pPr>
        <w:spacing w:after="140" w:line="276"/>
      </w:pPr>
      <w:r>
        <w:rPr>
          <w:rFonts w:ascii="Calibri" w:cs="Calibri" w:eastAsia="Calibri" w:hAnsi="Calibri"/>
          <w:b/>
          <w:bCs/>
          <w:sz w:val="21"/>
          <w:szCs w:val="21"/>
        </w:rPr>
        <w:t xml:space="preserve">Sobre la proporcionalidad de la esencialidad.</w:t>
      </w:r>
      <w:r>
        <w:rPr>
          <w:rFonts w:ascii="Calibri" w:cs="Calibri" w:eastAsia="Calibri" w:hAnsi="Calibri"/>
          <w:sz w:val="21"/>
          <w:szCs w:val="21"/>
        </w:rPr>
        <w:t xml:space="preserve"> Declarar esencial la entrega de esta interfaz en un contrato cuyo objeto principal es otro —una aplicación de contabilidad, por ejemplo— y anudarle la resolución del contrato es desproporcionado, y un tribunal lo verá. Véase el epígrafe 6.</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funciones expuestas, entregado y contrastado con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autenticación con credenciales municipales y matriz de permisos documentada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del registro de auditoría,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con historial de versiones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del entorno de pruebas y acta de disponibilidad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suspensión ejecutada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 la acreditación de DT-6·v3 y evidencia del tratamiento de datos en la interfaz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 configuración y documentación conforme 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técnica del protocolo empleado, en la oferta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el responsable del contrato; para la letra c), con presencia del órgano interventor cuando el módulo soporte información económico-financiera.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en la entrega; verificación de la letra f) al menos una vez al año; comprobación de la vigencia de la documentación en la revisión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w:t>
      </w:r>
      <w:r>
        <w:rPr>
          <w:rFonts w:ascii="Calibri" w:cs="Calibri" w:eastAsia="Calibri" w:hAnsi="Calibri"/>
          <w:b/>
          <w:bCs/>
          <w:sz w:val="21"/>
          <w:szCs w:val="21"/>
        </w:rPr>
        <w:t xml:space="preserve">acta de prueba de aceptación de la interfaz</w:t>
      </w:r>
      <w:r>
        <w:rPr>
          <w:rFonts w:ascii="Calibri" w:cs="Calibri" w:eastAsia="Calibri" w:hAnsi="Calibri"/>
          <w:sz w:val="21"/>
          <w:szCs w:val="21"/>
        </w:rPr>
        <w:t xml:space="preserve">, con una fila por cada letra del apartado 3 y el resultado de cada una. Sin esa acta, la entrega no se tiene por realizada.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12 a 16 horas la prueba de aceptación inicial; 4 horas la verificación anual. </w:t>
      </w:r>
      <w:r>
        <w:rPr>
          <w:rFonts w:ascii="Calibri" w:cs="Calibri" w:eastAsia="Calibri" w:hAnsi="Calibri"/>
          <w:b/>
          <w:bCs/>
          <w:sz w:val="21"/>
          <w:szCs w:val="21"/>
        </w:rPr>
        <w:t xml:space="preserve">12 a 16 horas el primer año, 4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Sólo cuando concurran las dos circunstancias siguientes, que deben constar en la ficha del Anexo II y en la memoria:</w:t>
      </w:r>
    </w:p>
    <w:p>
      <w:pPr>
        <w:pStyle w:val="ListParagraph"/>
        <w:numPr>
          <w:ilvl w:val="0"/>
          <w:numId w:val="2"/>
        </w:numPr>
        <w:spacing w:after="70" w:line="268"/>
      </w:pPr>
      <w:r>
        <w:rPr>
          <w:rFonts w:ascii="Calibri" w:cs="Calibri" w:eastAsia="Calibri" w:hAnsi="Calibri"/>
          <w:sz w:val="21"/>
          <w:szCs w:val="21"/>
        </w:rPr>
        <w:t xml:space="preserve">Que los módulos del Apéndice del apartado 2 constituyan una parte nuclear del objeto del contrato, y no una prestación accesoria.</w:t>
      </w:r>
    </w:p>
    <w:p>
      <w:pPr>
        <w:pStyle w:val="ListParagraph"/>
        <w:numPr>
          <w:ilvl w:val="0"/>
          <w:numId w:val="2"/>
        </w:numPr>
        <w:spacing w:after="70" w:line="268"/>
      </w:pPr>
      <w:r>
        <w:rPr>
          <w:rFonts w:ascii="Calibri" w:cs="Calibri" w:eastAsia="Calibri" w:hAnsi="Calibri"/>
          <w:sz w:val="21"/>
          <w:szCs w:val="21"/>
        </w:rPr>
        <w:t xml:space="preserve">Que la memoria justifique expresamente la proporcionalidad de anudar la resolución del contrato a esta obligación, ponderando el perjuicio de la resolución frente al del mantenimiento del contrato.</w:t>
      </w:r>
    </w:p>
    <w:p>
      <w:pPr>
        <w:spacing w:after="140" w:line="276"/>
      </w:pPr>
      <w:r>
        <w:rPr>
          <w:rFonts w:ascii="Calibri" w:cs="Calibri" w:eastAsia="Calibri" w:hAnsi="Calibri"/>
          <w:sz w:val="21"/>
          <w:szCs w:val="21"/>
        </w:rPr>
        <w:t xml:space="preserve">En ese caso, y sólo en ese caso, el incumplimiento del apartado 5 transcurrido el plazo más un mes de subsanación figura en la lista cerrada de ADM-6·v3, bloque B. </w:t>
      </w:r>
      <w:r>
        <w:rPr>
          <w:rFonts w:ascii="Calibri" w:cs="Calibri" w:eastAsia="Calibri" w:hAnsi="Calibri"/>
          <w:b/>
          <w:bCs/>
          <w:sz w:val="21"/>
          <w:szCs w:val="21"/>
        </w:rPr>
        <w:t xml:space="preserve">En cualquier otro caso, la obligación NO es esencial</w:t>
      </w:r>
      <w:r>
        <w:rPr>
          <w:rFonts w:ascii="Calibri" w:cs="Calibri" w:eastAsia="Calibri" w:hAnsi="Calibri"/>
          <w:sz w:val="21"/>
          <w:szCs w:val="21"/>
        </w:rPr>
        <w:t xml:space="preserve"> y su incumplimiento genera únicamente penalidad. Redactar como esencial la entrega de una interfaz para agentes en un contrato de contabilidad, y resolver el contrato por su falta, es el tipo de desproporción que un tribunal aprecia sin necesidad de entrar en el fondo.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 la documentación del ap. 3.d)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Indisponibilidad del entorno de pruebas del ap. 3.e) en la fecha comprometida; falta de entrega del inventario de funciones; incumplimiento del plazo ofertado por debajo del máximo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máximo del ap. 5; imposibilidad de ejecutar la suspensión del ap. 3.f) sin intervención del adjudicatario; imposibilidad de exportar el registro del ap. 3.c)</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el Apéndice de módulos no pueda cumplimentarse.</w:t>
      </w:r>
      <w:r>
        <w:rPr>
          <w:rFonts w:ascii="Calibri" w:cs="Calibri" w:eastAsia="Calibri" w:hAnsi="Calibri"/>
          <w:sz w:val="21"/>
          <w:szCs w:val="21"/>
        </w:rPr>
        <w:t xml:space="preserve"> Sin módulos identificados, no hay ámbito y no hay cláusula.</w:t>
      </w:r>
    </w:p>
    <w:p>
      <w:pPr>
        <w:pStyle w:val="ListParagraph"/>
        <w:numPr>
          <w:ilvl w:val="0"/>
          <w:numId w:val="1"/>
        </w:numPr>
        <w:spacing w:after="70" w:line="268"/>
      </w:pPr>
      <w:r>
        <w:rPr>
          <w:rFonts w:ascii="Calibri" w:cs="Calibri" w:eastAsia="Calibri" w:hAnsi="Calibri"/>
          <w:sz w:val="21"/>
          <w:szCs w:val="21"/>
        </w:rPr>
        <w:t xml:space="preserve">Contratos con componente tecnológico accesorio: exigir una interfaz para agentes sobre un sistema que no es el objeto del contrato es la definición de prestación ajena al objeto.</w:t>
      </w:r>
    </w:p>
    <w:p>
      <w:pPr>
        <w:pStyle w:val="ListParagraph"/>
        <w:numPr>
          <w:ilvl w:val="0"/>
          <w:numId w:val="1"/>
        </w:numPr>
        <w:spacing w:after="70" w:line="268"/>
      </w:pPr>
      <w:r>
        <w:rPr>
          <w:rFonts w:ascii="Calibri" w:cs="Calibri" w:eastAsia="Calibri" w:hAnsi="Calibri"/>
          <w:sz w:val="21"/>
          <w:szCs w:val="21"/>
        </w:rPr>
        <w:t xml:space="preserve">Contratos de suministro de bienes y contratos de obras.</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cuyo catálogo no admita añadir esta prestación.</w:t>
      </w:r>
    </w:p>
    <w:p>
      <w:pPr>
        <w:pStyle w:val="ListParagraph"/>
        <w:numPr>
          <w:ilvl w:val="0"/>
          <w:numId w:val="1"/>
        </w:numPr>
        <w:spacing w:after="70" w:line="268"/>
      </w:pPr>
      <w:r>
        <w:rPr>
          <w:rFonts w:ascii="Calibri" w:cs="Calibri" w:eastAsia="Calibri" w:hAnsi="Calibri"/>
          <w:sz w:val="21"/>
          <w:szCs w:val="21"/>
        </w:rPr>
        <w:t xml:space="preserve">Cuando no exista acuerdo del órgano de gobierno que apruebe el plan y el catálogo anual: sin ese eslabón, la necesidad institucional no tiene rango y la ficha se rellena con un párrafo genérico.</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deben suprimirse los criterios de adjudicación correlativos de ADM-7·v3 (alcance funcional adicional y plazo ofertado), las filas correspondientes del cuadro de penalidades de ADM-5·v3, el punto correspondiente de la lista de ADM-6·v3.B, la mención de ADM-10·v3 y la del Anexo VII (declaración responsable); y la remisión de DT-1·v3.6.d) al mecanismo de suspensión deberá redactarse de forma autónoma.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II.9 · DT-8·v3 — Reversibilidad, Inventario de Componentes y Dossier de Reversibilidad</w:t>
      </w:r>
    </w:p>
    <w:p>
      <w:pPr>
        <w:spacing w:after="140" w:line="276"/>
      </w:pPr>
      <w:r>
        <w:rPr>
          <w:rFonts w:ascii="Calibri" w:cs="Calibri" w:eastAsia="Calibri" w:hAnsi="Calibri"/>
          <w:i/>
          <w:iCs/>
          <w:sz w:val="21"/>
          <w:szCs w:val="21"/>
        </w:rPr>
        <w:t xml:space="preserve">(NUEVA, extraída de DT-5. Convierte la reversibilidad de promesa en obligación con fecha, formato, ensayo y dinero detrás, sin hacer depender el plazo de garantía de un acto discrecional del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DT-8. Reversibilidad, Inventario de Componentes y Dossier de Reversibilidad.</w:t>
            </w:r>
          </w:p>
          <w:p>
            <w:pPr>
              <w:spacing w:after="100" w:line="264"/>
            </w:pPr>
            <w:r>
              <w:rPr>
                <w:rFonts w:ascii="Georgia" w:cs="Georgia" w:eastAsia="Georgia" w:hAnsi="Georgia"/>
                <w:b/>
                <w:bCs/>
                <w:sz w:val="20"/>
                <w:szCs w:val="20"/>
              </w:rPr>
              <w:t xml:space="preserve">1. Objeto de la entrega.</w:t>
            </w:r>
            <w:r>
              <w:rPr>
                <w:rFonts w:ascii="Georgia" w:cs="Georgia" w:eastAsia="Georgia" w:hAnsi="Georgia"/>
                <w:sz w:val="20"/>
                <w:szCs w:val="20"/>
              </w:rPr>
              <w:t xml:space="preserve"> A la finalización del contrato por cualquier causa, el adjudicatario entregará de forma ordenada, sin coste adicional y en formatos abiertos, documentados y reutilizables conforme al Esquema Nacional de Interoperabilidad:</w:t>
            </w:r>
          </w:p>
          <w:p>
            <w:pPr>
              <w:spacing w:after="100" w:line="264"/>
            </w:pPr>
            <w:r>
              <w:rPr>
                <w:rFonts w:ascii="Georgia" w:cs="Georgia" w:eastAsia="Georgia" w:hAnsi="Georgia"/>
                <w:sz w:val="20"/>
                <w:szCs w:val="20"/>
              </w:rPr>
              <w:t xml:space="preserve">a) Los datos municipales y sus modelos, con el diccionario de datos previsto en la cláusula DT-5, apartado 4, actualizado a la fecha de la entrega.</w:t>
            </w:r>
          </w:p>
          <w:p>
            <w:pPr>
              <w:spacing w:after="100" w:line="264"/>
            </w:pPr>
            <w:r>
              <w:rPr>
                <w:rFonts w:ascii="Georgia" w:cs="Georgia" w:eastAsia="Georgia" w:hAnsi="Georgia"/>
                <w:sz w:val="20"/>
                <w:szCs w:val="20"/>
              </w:rPr>
              <w:t xml:space="preserve">b) El código fuente y el código objeto de los desarrollos realizados específicamente para el Ayuntamiento.</w:t>
            </w:r>
          </w:p>
          <w:p>
            <w:pPr>
              <w:spacing w:after="100" w:line="264"/>
            </w:pPr>
            <w:r>
              <w:rPr>
                <w:rFonts w:ascii="Georgia" w:cs="Georgia" w:eastAsia="Georgia" w:hAnsi="Georgia"/>
                <w:sz w:val="20"/>
                <w:szCs w:val="20"/>
              </w:rPr>
              <w:t xml:space="preserve">c) Las configuraciones, parametrizaciones, reglas de negocio, algoritmos de cálculo o de decisión diseñados específicamente para el Ayuntamiento, y su documentación técnica.</w:t>
            </w:r>
          </w:p>
          <w:p>
            <w:pPr>
              <w:spacing w:after="100" w:line="264"/>
            </w:pPr>
            <w:r>
              <w:rPr>
                <w:rFonts w:ascii="Georgia" w:cs="Georgia" w:eastAsia="Georgia" w:hAnsi="Georgia"/>
                <w:sz w:val="20"/>
                <w:szCs w:val="20"/>
              </w:rPr>
              <w:t xml:space="preserve">d) Los prompts corporativos, bases de conocimiento y modelos ajustados con datos municipales.</w:t>
            </w:r>
          </w:p>
          <w:p>
            <w:pPr>
              <w:spacing w:after="100" w:line="264"/>
            </w:pPr>
            <w:r>
              <w:rPr>
                <w:rFonts w:ascii="Georgia" w:cs="Georgia" w:eastAsia="Georgia" w:hAnsi="Georgia"/>
                <w:sz w:val="20"/>
                <w:szCs w:val="20"/>
              </w:rPr>
              <w:t xml:space="preserve">e) La documentación técnica, de construcción y de despliegue.</w:t>
            </w:r>
          </w:p>
          <w:p>
            <w:pPr>
              <w:spacing w:after="100" w:line="264"/>
            </w:pPr>
            <w:r>
              <w:rPr>
                <w:rFonts w:ascii="Georgia" w:cs="Georgia" w:eastAsia="Georgia" w:hAnsi="Georgia"/>
                <w:sz w:val="20"/>
                <w:szCs w:val="20"/>
              </w:rPr>
              <w:t xml:space="preserve">f) El Inventario de Componentes del apartado 2 y el Dossier de Reversibilidad del apartado 6.</w:t>
            </w:r>
          </w:p>
          <w:p>
            <w:pPr>
              <w:spacing w:after="100" w:line="264"/>
            </w:pPr>
            <w:r>
              <w:rPr>
                <w:rFonts w:ascii="Georgia" w:cs="Georgia" w:eastAsia="Georgia" w:hAnsi="Georgia"/>
                <w:b/>
                <w:bCs/>
                <w:sz w:val="20"/>
                <w:szCs w:val="20"/>
              </w:rPr>
              <w:t xml:space="preserve">Esta obligación no alcanza al código fuente del producto base, estándar o de mercado del adjudicatario ni al de terceros licenciantes</w:t>
            </w:r>
            <w:r>
              <w:rPr>
                <w:rFonts w:ascii="Georgia" w:cs="Georgia" w:eastAsia="Georgia" w:hAnsi="Georgia"/>
                <w:sz w:val="20"/>
                <w:szCs w:val="20"/>
              </w:rPr>
              <w:t xml:space="preserve">, en los términos y con la delimitación que establece la cláusula [ADM-8], apartado 4, del pliego de cláusulas administrativas particulares, a la que se remite íntegramente.</w:t>
            </w:r>
          </w:p>
          <w:p>
            <w:pPr>
              <w:spacing w:after="100" w:line="264"/>
            </w:pPr>
            <w:r>
              <w:rPr>
                <w:rFonts w:ascii="Georgia" w:cs="Georgia" w:eastAsia="Georgia" w:hAnsi="Georgia"/>
                <w:b/>
                <w:bCs/>
                <w:sz w:val="20"/>
                <w:szCs w:val="20"/>
              </w:rPr>
              <w:t xml:space="preserve">2. Inventario de Componentes.</w:t>
            </w:r>
            <w:r>
              <w:rPr>
                <w:rFonts w:ascii="Georgia" w:cs="Georgia" w:eastAsia="Georgia" w:hAnsi="Georgia"/>
                <w:sz w:val="20"/>
                <w:szCs w:val="20"/>
              </w:rPr>
              <w:t xml:space="preserve"> El adjudicatario mantendrá y entregará un Inventario de Componentes que identifique y separe: (a) el producto base o estándar; (b) los desarrollos realizados específicamente para el Ayuntamiento; (c) los componentes de terceros integrados, con su licencia y sus restricciones de uso; y (d) las configuraciones y parametrizaciones. Lo entregará por primera vez en el plazo de [X; se recomienda 30] días naturales desde la formalización del contrato y, a partir de entonces, actualizado </w:t>
            </w:r>
            <w:r>
              <w:rPr>
                <w:rFonts w:ascii="Georgia" w:cs="Georgia" w:eastAsia="Georgia" w:hAnsi="Georgia"/>
                <w:b/>
                <w:bCs/>
                <w:sz w:val="20"/>
                <w:szCs w:val="20"/>
              </w:rPr>
              <w:t xml:space="preserve">con cada versión puesta en producción</w:t>
            </w:r>
            <w:r>
              <w:rPr>
                <w:rFonts w:ascii="Georgia" w:cs="Georgia" w:eastAsia="Georgia" w:hAnsi="Georgia"/>
                <w:sz w:val="20"/>
                <w:szCs w:val="20"/>
              </w:rPr>
              <w:t xml:space="preserve">. </w:t>
            </w:r>
            <w:r>
              <w:rPr>
                <w:rFonts w:ascii="Georgia" w:cs="Georgia" w:eastAsia="Georgia" w:hAnsi="Georgia"/>
                <w:b/>
                <w:bCs/>
                <w:sz w:val="20"/>
                <w:szCs w:val="20"/>
              </w:rPr>
              <w:t xml:space="preserve">La falta de este inventario impide tener por cumplida la obligación de reversibilidad.</w:t>
            </w:r>
          </w:p>
          <w:p>
            <w:pPr>
              <w:spacing w:after="100" w:line="264"/>
            </w:pPr>
            <w:r>
              <w:rPr>
                <w:rFonts w:ascii="Georgia" w:cs="Georgia" w:eastAsia="Georgia" w:hAnsi="Georgia"/>
                <w:b/>
                <w:bCs/>
                <w:sz w:val="20"/>
                <w:szCs w:val="20"/>
              </w:rPr>
              <w:t xml:space="preserve">3. Plan de Reversibilidad y ensayo.</w:t>
            </w:r>
            <w:r>
              <w:rPr>
                <w:rFonts w:ascii="Georgia" w:cs="Georgia" w:eastAsia="Georgia" w:hAnsi="Georgia"/>
                <w:sz w:val="20"/>
                <w:szCs w:val="20"/>
              </w:rPr>
              <w:t xml:space="preserve"> El adjudicatario entregará un Plan de Reversibilidad en los [X; se recomienda 3] primeros meses de ejecución, lo actualizará anualmente y realizará, a su costa, al menos [X; se recomienda 1] ensayo de reversibilidad por cada [X; se recomienda 24] meses de vigencia y, en todo caso, uno durante el último año del contrato. El ensayo consistirá en la extracción y restitución efectivas de una muestra representativa de datos y configuraciones en un entorno ajeno a la infraestructura del adjudicatario, y se documentará en acta con el resultado y el tiempo empleado.</w:t>
            </w:r>
          </w:p>
          <w:p>
            <w:pPr>
              <w:spacing w:after="100" w:line="264"/>
            </w:pPr>
            <w:r>
              <w:rPr>
                <w:rFonts w:ascii="Georgia" w:cs="Georgia" w:eastAsia="Georgia" w:hAnsi="Georgia"/>
                <w:b/>
                <w:bCs/>
                <w:sz w:val="20"/>
                <w:szCs w:val="20"/>
              </w:rPr>
              <w:t xml:space="preserve">4. Calendario de la reversión.</w:t>
            </w:r>
            <w:r>
              <w:rPr>
                <w:rFonts w:ascii="Georgia" w:cs="Georgia" w:eastAsia="Georgia" w:hAnsi="Georgia"/>
                <w:sz w:val="20"/>
                <w:szCs w:val="20"/>
              </w:rPr>
              <w:t xml:space="preserve"> El período de reversión comenzará [X; se recomienda 3] meses antes de la fecha prevista de finalización del contrato o, en caso de resolución anticipada, desde la notificación del acuerdo de resolución. La entrega íntegra del apartado 1 deberá completarse dentro de ese período y, en todo caso, en el plazo máximo de [X; se recomienda 30] días naturales desde la finalización del contrato. </w:t>
            </w:r>
            <w:r>
              <w:rPr>
                <w:rFonts w:ascii="Georgia" w:cs="Georgia" w:eastAsia="Georgia" w:hAnsi="Georgia"/>
                <w:b/>
                <w:bCs/>
                <w:sz w:val="20"/>
                <w:szCs w:val="20"/>
              </w:rPr>
              <w:t xml:space="preserve">El período de reversión se computa dentro del plazo de ejecución del contrato, que este pliego fija incluyéndolo.</w:t>
            </w:r>
          </w:p>
          <w:p>
            <w:pPr>
              <w:spacing w:after="100" w:line="264"/>
            </w:pPr>
            <w:r>
              <w:rPr>
                <w:rFonts w:ascii="Georgia" w:cs="Georgia" w:eastAsia="Georgia" w:hAnsi="Georgia"/>
                <w:b/>
                <w:bCs/>
                <w:sz w:val="20"/>
                <w:szCs w:val="20"/>
              </w:rPr>
              <w:t xml:space="preserve">5. Licencia de continuidad.</w:t>
            </w:r>
            <w:r>
              <w:rPr>
                <w:rFonts w:ascii="Georgia" w:cs="Georgia" w:eastAsia="Georgia" w:hAnsi="Georgia"/>
                <w:sz w:val="20"/>
                <w:szCs w:val="20"/>
              </w:rPr>
              <w:t xml:space="preserve"> Durante el período de reversión y hasta [X; se recomienda 6] meses desde la finalización del contrato, el adjudicatario mantendrá vigente a favor del Ayuntamiento la licencia de uso del producto base estrictamente necesaria para continuar operando la solución hasta completar la migración. Esta licencia forma parte del objeto del contrato y se entiende retribuida con el precio de éste, habiéndose computado su coste en el presupuesto base de licitación conforme al artículo 100.2 LCSP.</w:t>
            </w:r>
          </w:p>
          <w:p>
            <w:pPr>
              <w:spacing w:after="100" w:line="264"/>
            </w:pPr>
            <w:r>
              <w:rPr>
                <w:rFonts w:ascii="Georgia" w:cs="Georgia" w:eastAsia="Georgia" w:hAnsi="Georgia"/>
                <w:b/>
                <w:bCs/>
                <w:sz w:val="20"/>
                <w:szCs w:val="20"/>
              </w:rPr>
              <w:t xml:space="preserve">6. Dossier de Reversibilidad.</w:t>
            </w:r>
            <w:r>
              <w:rPr>
                <w:rFonts w:ascii="Georgia" w:cs="Georgia" w:eastAsia="Georgia" w:hAnsi="Georgia"/>
                <w:sz w:val="20"/>
                <w:szCs w:val="20"/>
              </w:rPr>
              <w:t xml:space="preserve"> El adjudicatario mantendrá actualizado y entregará un Dossier de Reversibilidad que comprenda el modelo de datos, la relación de interfaces, el Inventario de Componentes, el procedimiento de migración y la estimación de esfuerzo de migración. El Ayuntamiento podrá incorporar dicho Dossier, depurado de información confidencial y de secretos técnicos o comerciales, al pliego de la licitación siguiente.</w:t>
            </w:r>
          </w:p>
          <w:p>
            <w:pPr>
              <w:spacing w:after="100" w:line="264"/>
            </w:pPr>
            <w:r>
              <w:rPr>
                <w:rFonts w:ascii="Georgia" w:cs="Georgia" w:eastAsia="Georgia" w:hAnsi="Georgia"/>
                <w:b/>
                <w:bCs/>
                <w:sz w:val="20"/>
                <w:szCs w:val="20"/>
              </w:rPr>
              <w:t xml:space="preserve">7. Datos personales.</w:t>
            </w:r>
            <w:r>
              <w:rPr>
                <w:rFonts w:ascii="Georgia" w:cs="Georgia" w:eastAsia="Georgia" w:hAnsi="Georgia"/>
                <w:sz w:val="20"/>
                <w:szCs w:val="20"/>
              </w:rPr>
              <w:t xml:space="preserve"> La devolución o supresión de los datos personales tratados por cuenta del Ayuntamiento se realizará conforme al artículo 28.3.g) del Reglamento (UE) 2016/679, con entrega de certificación de supresión de las copias existentes.</w:t>
            </w:r>
          </w:p>
          <w:p>
            <w:pPr>
              <w:spacing w:after="100" w:line="264"/>
            </w:pPr>
            <w:r>
              <w:rPr>
                <w:rFonts w:ascii="Georgia" w:cs="Georgia" w:eastAsia="Georgia" w:hAnsi="Georgia"/>
                <w:b/>
                <w:bCs/>
                <w:sz w:val="20"/>
                <w:szCs w:val="20"/>
              </w:rPr>
              <w:t xml:space="preserve">8. Acta de reversión y efectos.</w:t>
            </w:r>
            <w:r>
              <w:rPr>
                <w:rFonts w:ascii="Georgia" w:cs="Georgia" w:eastAsia="Georgia" w:hAnsi="Georgia"/>
                <w:sz w:val="20"/>
                <w:szCs w:val="20"/>
              </w:rPr>
              <w:t xml:space="preserve"> Completada la entrega, el Ayuntamiento levantará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en el plazo de [X; se recomienda 15] días hábiles desde que el adjudicatario comunique la entrega íntegra, haciendo constar en ella los defectos apreciados y el plazo de subsanación. Transcurrido dicho plazo sin que el Ayuntamiento levante el acta ni formule objeciones, la reversión se tendrá por conforme a todos los efectos. </w:t>
            </w:r>
            <w:r>
              <w:rPr>
                <w:rFonts w:ascii="Georgia" w:cs="Georgia" w:eastAsia="Georgia" w:hAnsi="Georgia"/>
                <w:b/>
                <w:bCs/>
                <w:sz w:val="20"/>
                <w:szCs w:val="20"/>
              </w:rPr>
              <w:t xml:space="preserve">El plazo de garantía del contrato es de [X; se recomienda 12] meses y se computa desde la fecha del acta de reversión o, en su defecto, desde el día siguiente al vencimiento del plazo previsto en este apartado para levantarla.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final, de finalización y entrega. Los apartados 4 (en cuanto al cómputo del plazo de ejecución), 5 (en cuanto al presupuesto base de licitación) y 8 (en cuanto al plazo de garantía) exigen </w:t>
      </w:r>
      <w:r>
        <w:rPr>
          <w:rFonts w:ascii="Calibri" w:cs="Calibri" w:eastAsia="Calibri" w:hAnsi="Calibri"/>
          <w:b/>
          <w:bCs/>
          <w:sz w:val="21"/>
          <w:szCs w:val="21"/>
        </w:rPr>
        <w:t xml:space="preserve">reflejo correlativo obligatorio en el PCAP</w:t>
      </w:r>
      <w:r>
        <w:rPr>
          <w:rFonts w:ascii="Calibri" w:cs="Calibri" w:eastAsia="Calibri" w:hAnsi="Calibri"/>
          <w:sz w:val="21"/>
          <w:szCs w:val="21"/>
        </w:rPr>
        <w:t xml:space="preserve">: el plazo de ejecución, el desglose del presupuesto y el plazo de garantía son cláusulas administrativas. Si el PPT dice una cosa y el PCAP otra, prevalece el PCAP y la cláusula queda sin efecto.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Reutilización y cesión entre administraciones.</w:t>
      </w:r>
      <w:r>
        <w:rPr>
          <w:rFonts w:ascii="Calibri" w:cs="Calibri" w:eastAsia="Calibri" w:hAnsi="Calibri"/>
          <w:sz w:val="21"/>
          <w:szCs w:val="21"/>
        </w:rPr>
        <w:t xml:space="preserve"> El artículo 157.1 de la Ley 40/2015 obliga a poner las aplicaciones a disposición de otras administraciones que las soliciten, pero </w:t>
      </w:r>
      <w:r>
        <w:rPr>
          <w:rFonts w:ascii="Calibri" w:cs="Calibri" w:eastAsia="Calibri" w:hAnsi="Calibri"/>
          <w:b/>
          <w:bCs/>
          <w:sz w:val="21"/>
          <w:szCs w:val="21"/>
        </w:rPr>
        <w:t xml:space="preserve">sólo respecto de aquellas «de cuyos derechos de propiedad intelectual sean titulares»</w:t>
      </w:r>
      <w:r>
        <w:rPr>
          <w:rFonts w:ascii="Calibri" w:cs="Calibri" w:eastAsia="Calibri" w:hAnsi="Calibri"/>
          <w:sz w:val="21"/>
          <w:szCs w:val="21"/>
        </w:rPr>
        <w:t xml:space="preserve">. Sin reversibilidad y sin titularidad delimitada, el Ayuntamiento no puede cumplir ese precepto. La necesidad la impone la ley, no un gestor.</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Los artículos 16 y 17 del Real Decreto 4/2010 fijan las condiciones de licenciamiento para la cesión y, para lo declarado de fuentes abiertas, la garantía de conocer el código fuente.</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Artículo 28.3.g) del Reglamento (UE) 2016/679.</w:t>
      </w:r>
    </w:p>
    <w:p>
      <w:pPr>
        <w:pStyle w:val="ListParagraph"/>
        <w:numPr>
          <w:ilvl w:val="0"/>
          <w:numId w:val="1"/>
        </w:numPr>
        <w:spacing w:after="70" w:line="268"/>
      </w:pPr>
      <w:r>
        <w:rPr>
          <w:rFonts w:ascii="Calibri" w:cs="Calibri" w:eastAsia="Calibri" w:hAnsi="Calibri"/>
          <w:b/>
          <w:bCs/>
          <w:sz w:val="21"/>
          <w:szCs w:val="21"/>
        </w:rPr>
        <w:t xml:space="preserve">Competencia.</w:t>
      </w:r>
      <w:r>
        <w:rPr>
          <w:rFonts w:ascii="Calibri" w:cs="Calibri" w:eastAsia="Calibri" w:hAnsi="Calibri"/>
          <w:sz w:val="21"/>
          <w:szCs w:val="21"/>
        </w:rPr>
        <w:t xml:space="preserve"> La Comunicación de la Comisión COM(2013) 455 final describe el fenómeno de la cautividad tecnológica en la contratación pública de TIC: «se habla de "cautividad" cuando la autoridad pública no puede cambiar fácilmente de proveedor tras expirar ese período de tiempo». La reversibilidad </w:t>
      </w:r>
      <w:r>
        <w:rPr>
          <w:rFonts w:ascii="Calibri" w:cs="Calibri" w:eastAsia="Calibri" w:hAnsi="Calibri"/>
          <w:b/>
          <w:bCs/>
          <w:sz w:val="21"/>
          <w:szCs w:val="21"/>
        </w:rPr>
        <w:t xml:space="preserve">abre</w:t>
      </w:r>
      <w:r>
        <w:rPr>
          <w:rFonts w:ascii="Calibri" w:cs="Calibri" w:eastAsia="Calibri" w:hAnsi="Calibri"/>
          <w:sz w:val="21"/>
          <w:szCs w:val="21"/>
        </w:rPr>
        <w:t xml:space="preserve"> mercado; no lo cierra. Es el argumento a incorporar a la memoria frente a una alegación de restricción de la concurrencia.</w:t>
      </w:r>
    </w:p>
    <w:p>
      <w:pPr>
        <w:spacing w:after="140" w:line="276"/>
      </w:pPr>
      <w:r>
        <w:rPr>
          <w:rFonts w:ascii="Calibri" w:cs="Calibri" w:eastAsia="Calibri" w:hAnsi="Calibri"/>
          <w:b/>
          <w:bCs/>
          <w:sz w:val="21"/>
          <w:szCs w:val="21"/>
        </w:rPr>
        <w:t xml:space="preserve">Por qué se delimita el código.</w:t>
      </w:r>
      <w:r>
        <w:rPr>
          <w:rFonts w:ascii="Calibri" w:cs="Calibri" w:eastAsia="Calibri" w:hAnsi="Calibri"/>
          <w:sz w:val="21"/>
          <w:szCs w:val="21"/>
        </w:rPr>
        <w:t xml:space="preserve"> La redacción anterior exigía la entrega de «código» sin matiz. Leída literalmente, comprende el código fuente del producto estándar del licitador, lo que ningún fabricante de software de mercado acepta: el riesgo no es sólo jurídico, es de concurrencia, porque disuade de licitar a proveedores solventes. Además, la Ley de Propiedad Intelectual ya concede al usuario legítimo la reproducción y transformación necesarias para el uso, incluida la corrección de errores (art. 100.1 del texto refundido aprobado por el Real Decreto Legislativo 1/1996), y la descompilación para lograr la interoperabilidad (art. 100.5); y el artículo 100.4 impide al autor oponerse a que el cesionario realice o autorice versiones sucesivas. No se pide el código del producto base porque no hace falta pedirlo. A mayor abundamiento: ni siquiera las autoridades europeas de vigilancia del mercado acceden al código fuente de un sistema de IA de alto riesgo salvo solicitud motivada y como último recurso (art. 74.13 del Reglamento (UE) 2024/1689).</w:t>
      </w:r>
    </w:p>
    <w:p>
      <w:pPr>
        <w:spacing w:after="140" w:line="276"/>
      </w:pPr>
      <w:r>
        <w:rPr>
          <w:rFonts w:ascii="Calibri" w:cs="Calibri" w:eastAsia="Calibri" w:hAnsi="Calibri"/>
          <w:b/>
          <w:bCs/>
          <w:sz w:val="21"/>
          <w:szCs w:val="21"/>
        </w:rPr>
        <w:t xml:space="preserve">Por qué el plazo de garantía se redacta así, y no como estaba previsto.</w:t>
      </w:r>
      <w:r>
        <w:rPr>
          <w:rFonts w:ascii="Calibri" w:cs="Calibri" w:eastAsia="Calibri" w:hAnsi="Calibri"/>
          <w:sz w:val="21"/>
          <w:szCs w:val="21"/>
        </w:rPr>
        <w:t xml:space="preserve"> La primera versión de esta cláusula vinculaba el plazo de garantía «a la certificación municipal de la reversión», con el argumento de que la garantía definitiva no se devuelve antes (art. 111.1 LCSP: «La garantía no será devuelta o cancelada hasta que se haya producido el vencimiento del plazo de garantía y cumplido satisfactoriamente el contrato»). La palanca es real, pero así redactada tiene un defecto que un letrado de licitador aprovecha de inmediato: </w:t>
      </w:r>
      <w:r>
        <w:rPr>
          <w:rFonts w:ascii="Calibri" w:cs="Calibri" w:eastAsia="Calibri" w:hAnsi="Calibri"/>
          <w:b/>
          <w:bCs/>
          <w:sz w:val="21"/>
          <w:szCs w:val="21"/>
        </w:rPr>
        <w:t xml:space="preserve">un plazo de garantía cuyo día inicial depende de un acto del Ayuntamiento que puede no producirse nunca no es un plazo.</w:t>
      </w:r>
      <w:r>
        <w:rPr>
          <w:rFonts w:ascii="Calibri" w:cs="Calibri" w:eastAsia="Calibri" w:hAnsi="Calibri"/>
          <w:sz w:val="21"/>
          <w:szCs w:val="21"/>
        </w:rPr>
        <w:t xml:space="preserve"> El artículo 111 fija plazos ciertos para el acuerdo de devolución, y prevé la devolución cuando la recepción formal no ha tenido lugar por causa no imputable al contratista.</w:t>
      </w:r>
    </w:p>
    <w:p>
      <w:pPr>
        <w:spacing w:after="140" w:line="276"/>
      </w:pPr>
      <w:r>
        <w:rPr>
          <w:rFonts w:ascii="Calibri" w:cs="Calibri" w:eastAsia="Calibri" w:hAnsi="Calibri"/>
          <w:sz w:val="21"/>
          <w:szCs w:val="21"/>
        </w:rPr>
        <w:t xml:space="preserve">La solución del apartado 8 conserva la palanca y elimina el defecto: la reversión tiene calendario cierto (apartado 4), el acta tiene plazo cierto para levantarse, y </w:t>
      </w:r>
      <w:r>
        <w:rPr>
          <w:rFonts w:ascii="Calibri" w:cs="Calibri" w:eastAsia="Calibri" w:hAnsi="Calibri"/>
          <w:b/>
          <w:bCs/>
          <w:sz w:val="21"/>
          <w:szCs w:val="21"/>
        </w:rPr>
        <w:t xml:space="preserve">el silencio del Ayuntamiento juega a favor del contratista</w:t>
      </w:r>
      <w:r>
        <w:rPr>
          <w:rFonts w:ascii="Calibri" w:cs="Calibri" w:eastAsia="Calibri" w:hAnsi="Calibri"/>
          <w:sz w:val="21"/>
          <w:szCs w:val="21"/>
        </w:rPr>
        <w:t xml:space="preserve">. El plazo de garantía tiene entonces un día inicial determinable en todo caso, y la garantía definitiva sigue sin devolverse antes de su vencimiento, ahora sin depender de una decisión discrecional.</w:t>
      </w:r>
    </w:p>
    <w:p>
      <w:pPr>
        <w:spacing w:after="140" w:line="276"/>
      </w:pPr>
      <w:r>
        <w:rPr>
          <w:rFonts w:ascii="Calibri" w:cs="Calibri" w:eastAsia="Calibri" w:hAnsi="Calibri"/>
          <w:b/>
          <w:bCs/>
          <w:sz w:val="21"/>
          <w:szCs w:val="21"/>
        </w:rPr>
        <w:t xml:space="preserve">Por qué la licencia de continuidad se redacta así.</w:t>
      </w:r>
      <w:r>
        <w:rPr>
          <w:rFonts w:ascii="Calibri" w:cs="Calibri" w:eastAsia="Calibri" w:hAnsi="Calibri"/>
          <w:sz w:val="21"/>
          <w:szCs w:val="21"/>
        </w:rPr>
        <w:t xml:space="preserve"> Una licencia gratuita de seis meses </w:t>
      </w:r>
      <w:r>
        <w:rPr>
          <w:rFonts w:ascii="Calibri" w:cs="Calibri" w:eastAsia="Calibri" w:hAnsi="Calibri"/>
          <w:b/>
          <w:bCs/>
          <w:sz w:val="21"/>
          <w:szCs w:val="21"/>
        </w:rPr>
        <w:t xml:space="preserve">posterior a la extinción del contrato</w:t>
      </w:r>
      <w:r>
        <w:rPr>
          <w:rFonts w:ascii="Calibri" w:cs="Calibri" w:eastAsia="Calibri" w:hAnsi="Calibri"/>
          <w:sz w:val="21"/>
          <w:szCs w:val="21"/>
        </w:rPr>
        <w:t xml:space="preserve"> es una prestación sin contraprestación y una prolongación material del vínculo al margen del régimen de duración. El apartado 5 lo evita con el único argumento que basta para sostenerlo: la licencia de continuidad no es una prestación gratuita posterior a la extinción, sino que </w:t>
      </w:r>
      <w:r>
        <w:rPr>
          <w:rFonts w:ascii="Calibri" w:cs="Calibri" w:eastAsia="Calibri" w:hAnsi="Calibri"/>
          <w:b/>
          <w:bCs/>
          <w:sz w:val="21"/>
          <w:szCs w:val="21"/>
        </w:rPr>
        <w:t xml:space="preserve">su coste se computa en el presupuesto base de licitación (art. 100.2 LCSP) y forma parte del objeto del contrato</w:t>
      </w:r>
      <w:r>
        <w:rPr>
          <w:rFonts w:ascii="Calibri" w:cs="Calibri" w:eastAsia="Calibri" w:hAnsi="Calibri"/>
          <w:sz w:val="21"/>
          <w:szCs w:val="21"/>
        </w:rPr>
        <w:t xml:space="preserve">, cuya ejecución comprende la fase de reversión. Es retribución, no liberalidad.</w:t>
      </w:r>
    </w:p>
    <w:p>
      <w:pPr>
        <w:spacing w:after="140" w:line="276"/>
      </w:pPr>
      <w:r>
        <w:rPr>
          <w:rFonts w:ascii="Calibri" w:cs="Calibri" w:eastAsia="Calibri" w:hAnsi="Calibri"/>
          <w:i/>
          <w:iCs/>
          <w:sz w:val="21"/>
          <w:szCs w:val="21"/>
        </w:rPr>
        <w:t xml:space="preserve">(No se invoca aquí un segundo argumento que se manejó en la redacción —que el período de reversión se computa dentro del plazo de ejecución conforme al apartado 4— porque no cubre el supuesto entero: el apartado 4 sitúa la reversión entre los tres meses anteriores y los treinta días posteriores a la finalización, y la licencia del apartado 5 se extiende hasta seis meses después. Los meses finales quedan fuera del plazo de ejecución, y sostener lo contrario es dar al letrado del licitador una contradicción gratuita.)</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con las cuatro categorías separadas, actualizado con cada versión en producción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Reversibilidad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en plazo, con actualizaciones fechadas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(ap.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ensayo de reversibilidad</w:t>
            </w:r>
            <w:r>
              <w:rPr>
                <w:rFonts w:ascii="Calibri" w:cs="Calibri" w:eastAsia="Calibri" w:hAnsi="Calibri"/>
                <w:b w:val="false"/>
                <w:bCs w:val="false"/>
                <w:sz w:val="18"/>
                <w:szCs w:val="18"/>
              </w:rPr>
              <w:t xml:space="preserve">, con muestra empleada, resultado y tiempo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entregables firmada, con soporte, formato y suma de verificación de cada uno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con fechas de inicio y fin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y versión depurada apta para publicar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devolución o supresión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(ap. 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o constancia del transcurso del plazo sin objeciones</w:t>
            </w:r>
          </w:p>
        </w:tc>
      </w:tr>
    </w:tbl>
    <w:p>
      <w:pPr>
        <w:spacing w:after="200"/>
      </w:pPr>
    </w:p>
    <w:p>
      <w:pPr>
        <w:spacing w:after="140" w:line="276"/>
      </w:pPr>
      <w:r>
        <w:rPr>
          <w:rFonts w:ascii="Calibri" w:cs="Calibri" w:eastAsia="Calibri" w:hAnsi="Calibri"/>
          <w:sz w:val="21"/>
          <w:szCs w:val="21"/>
        </w:rPr>
        <w:t xml:space="preserve">Los modelos de las dos actas —ensayo de reversibilidad y reversión— son los de los apartados B y C del </w:t>
      </w:r>
      <w:r>
        <w:rPr>
          <w:rFonts w:ascii="Calibri" w:cs="Calibri" w:eastAsia="Calibri" w:hAnsi="Calibri"/>
          <w:b/>
          <w:bCs/>
          <w:sz w:val="21"/>
          <w:szCs w:val="21"/>
        </w:rPr>
        <w:t xml:space="preserve">Anexo XVIII</w:t>
      </w:r>
      <w:r>
        <w:rPr>
          <w:rFonts w:ascii="Calibri" w:cs="Calibri" w:eastAsia="Calibri" w:hAnsi="Calibri"/>
          <w:sz w:val="21"/>
          <w:szCs w:val="21"/>
        </w:rPr>
        <w:t xml:space="preserve">. Se cumplimentan sin alterar sus columnas: son el único medio de acreditación tasado de esta cláusula.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el ensayo del apartado 3 lo presencia personal municipal.</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Inventario, en cada puesta en producción; Plan, a los [3; se recomienda 3] meses y anualmente; ensayo, según el apartado 3; entrega y acta, en el período de reversión.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ensayo de reversibilidad y acta de reversión. Son los dos documentos que convierten esta cláusula en exigible; sin ellos, no hay nada que reclamar.</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del Plan y del Inventario; 8 a 16 horas por ensayo de reversibilidad; 16 a 24 horas en el período de reversión, una sola vez por contrato. </w:t>
      </w:r>
      <w:r>
        <w:rPr>
          <w:rFonts w:ascii="Calibri" w:cs="Calibri" w:eastAsia="Calibri" w:hAnsi="Calibri"/>
          <w:b/>
          <w:bCs/>
          <w:sz w:val="21"/>
          <w:szCs w:val="21"/>
        </w:rPr>
        <w:t xml:space="preserve">En régimen ordinario, 4 a 12 horas al año.</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w:t>
      </w:r>
      <w:r>
        <w:rPr>
          <w:rFonts w:ascii="Georgia" w:cs="Georgia" w:eastAsia="Georgia" w:hAnsi="Georgia"/>
          <w:i/>
          <w:iCs/>
          <w:color w:val="595959"/>
          <w:sz w:val="20"/>
          <w:szCs w:val="20"/>
        </w:rPr>
        <w:t xml:space="preserve"> El ensayo del apartado 3 es lo único que distingue una reversibilidad real de una reversibilidad declarada. Un plan de reversión nunca probado se descubre inoperante el día en que hace falta, que es siempre el peor día posible. Si el expediente no puede comprometer las horas de personal municipal para presenciar el ensayo, la cláusula se incorpora sin él y se hace constar así en la ficha, en lugar de escribirlo y no hacerlo.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en un solo supuesto tasado: la falta de entrega de la reversibilidad completa, incluidos el Inventario de Componentes y el Dossier de Reversibilidad, en el período del apartado 4 y transcurrido un mes de subsanación desde requerimiento fehaciente. Figura como tal en la lista cerrada de ADM-6·v3, bloque B. El resto de los apartados </w:t>
      </w:r>
      <w:r>
        <w:rPr>
          <w:rFonts w:ascii="Calibri" w:cs="Calibri" w:eastAsia="Calibri" w:hAnsi="Calibri"/>
          <w:b/>
          <w:bCs/>
          <w:sz w:val="21"/>
          <w:szCs w:val="21"/>
        </w:rPr>
        <w:t xml:space="preserve">no</w:t>
      </w:r>
      <w:r>
        <w:rPr>
          <w:rFonts w:ascii="Calibri" w:cs="Calibri" w:eastAsia="Calibri" w:hAnsi="Calibri"/>
          <w:sz w:val="21"/>
          <w:szCs w:val="21"/>
        </w:rPr>
        <w:t xml:space="preserve"> son esenciales.</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actualización anual del Plan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Inventario de Componentes o su desactualización respecto de la versión en producción; falta de realización del ensayo del apartado 3 en el plazo previsto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Negativa a entregar la reversibilidad; entrega incompleta o en formato no reutilizable no subsanada; negativa a mantener la licencia de continuidad del apartado 5</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generen datos, configuraciones ni desarrollos municipales.</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w:t>
      </w:r>
      <w:r>
        <w:rPr>
          <w:rFonts w:ascii="Calibri" w:cs="Calibri" w:eastAsia="Calibri" w:hAnsi="Calibri"/>
          <w:sz w:val="21"/>
          <w:szCs w:val="21"/>
        </w:rPr>
        <w:t xml:space="preserve">: conforme al criterio de la Junta Consultiva de Contratación Pública del Estado (expediente 58/18), la adquisición de programas de ordenador es contrato de suministro salvo que se trate de programas confeccionados a medida. En un suministro de producto de mercado no cabe exigir titularidad ni entrega de código; sí caben los apartados 1.a), 4, 7 y 8, referidos a los datos.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letra d) es la entrega de los datos y de su diccionario en formato abierto al finalizar, sin coste por la extracción.</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 se aplica el régimen del contrato prorrogado.</w:t>
      </w:r>
    </w:p>
    <w:p>
      <w:pPr>
        <w:pStyle w:val="ListParagraph"/>
        <w:numPr>
          <w:ilvl w:val="0"/>
          <w:numId w:val="1"/>
        </w:numPr>
        <w:spacing w:after="70" w:line="268"/>
      </w:pPr>
      <w:r>
        <w:rPr>
          <w:rFonts w:ascii="Calibri" w:cs="Calibri" w:eastAsia="Calibri" w:hAnsi="Calibri"/>
          <w:sz w:val="21"/>
          <w:szCs w:val="21"/>
        </w:rPr>
        <w:t xml:space="preserve">El apartado 5 se suprime cuando la solución sea íntegramente de titularidad municipal o de fuentes abiertas.</w:t>
      </w:r>
    </w:p>
    <w:p>
      <w:pPr>
        <w:pStyle w:val="ListParagraph"/>
        <w:numPr>
          <w:ilvl w:val="0"/>
          <w:numId w:val="1"/>
        </w:numPr>
        <w:spacing w:after="70" w:line="268"/>
      </w:pPr>
      <w:r>
        <w:rPr>
          <w:rFonts w:ascii="Calibri" w:cs="Calibri" w:eastAsia="Calibri" w:hAnsi="Calibri"/>
          <w:sz w:val="21"/>
          <w:szCs w:val="21"/>
        </w:rPr>
        <w:t xml:space="preserve">El apartado 7 se suprime cuando no haya tratamiento de datos personales por cuenta del Ayuntamiento.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II.10 · DT-9·v3 — Exigencias tecnológicas determinadas del ejercicio</w:t>
      </w:r>
    </w:p>
    <w:p>
      <w:pPr>
        <w:spacing w:after="140" w:line="276"/>
      </w:pPr>
      <w:r>
        <w:rPr>
          <w:rFonts w:ascii="Calibri" w:cs="Calibri" w:eastAsia="Calibri" w:hAnsi="Calibri"/>
          <w:i/>
          <w:iCs/>
          <w:sz w:val="21"/>
          <w:szCs w:val="21"/>
        </w:rPr>
        <w:t xml:space="preserve">(NUEVA. Contiene el </w:t>
      </w:r>
      <w:r>
        <w:rPr>
          <w:rFonts w:ascii="Calibri" w:cs="Calibri" w:eastAsia="Calibri" w:hAnsi="Calibri"/>
          <w:i/>
          <w:iCs/>
          <w:sz w:val="21"/>
          <w:szCs w:val="21"/>
        </w:rPr>
        <w:t xml:space="preserve">régimen</w:t>
      </w:r>
      <w:r>
        <w:rPr>
          <w:rFonts w:ascii="Calibri" w:cs="Calibri" w:eastAsia="Calibri" w:hAnsi="Calibri"/>
          <w:i/>
          <w:iCs/>
          <w:sz w:val="21"/>
          <w:szCs w:val="21"/>
        </w:rPr>
        <w:t xml:space="preserve">: qué se exige, cómo se acepta y qué consecuencias tiene. </w:t>
      </w:r>
      <w:r>
        <w:rPr>
          <w:rFonts w:ascii="Calibri" w:cs="Calibri" w:eastAsia="Calibri" w:hAnsi="Calibri"/>
          <w:i/>
          <w:iCs/>
          <w:sz w:val="21"/>
          <w:szCs w:val="21"/>
        </w:rPr>
        <w:t xml:space="preserve">El catálogo del ejercicio no está aquí</w:t>
      </w:r>
      <w:r>
        <w:rPr>
          <w:rFonts w:ascii="Calibri" w:cs="Calibri" w:eastAsia="Calibri" w:hAnsi="Calibri"/>
          <w:i/>
          <w:iCs/>
          <w:sz w:val="21"/>
          <w:szCs w:val="21"/>
        </w:rPr>
        <w:t xml:space="preserve">: está en el Anexo V, fechado, versionado y con circuito de aprobación propio.)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DT-9. Exigencias tecnológicas determinadas del ejercicio.</w:t>
            </w:r>
          </w:p>
          <w:p>
            <w:pPr>
              <w:spacing w:after="100" w:line="264"/>
            </w:pPr>
            <w:r>
              <w:rPr>
                <w:rFonts w:ascii="Georgia" w:cs="Georgia" w:eastAsia="Georgia" w:hAnsi="Georgia"/>
                <w:b/>
                <w:bCs/>
                <w:sz w:val="20"/>
                <w:szCs w:val="20"/>
              </w:rPr>
              <w:t xml:space="preserve">1. Objeto y alcance.</w:t>
            </w:r>
            <w:r>
              <w:rPr>
                <w:rFonts w:ascii="Georgia" w:cs="Georgia" w:eastAsia="Georgia" w:hAnsi="Georgia"/>
                <w:sz w:val="20"/>
                <w:szCs w:val="20"/>
              </w:rPr>
              <w:t xml:space="preserve"> La solución objeto del contrato incorporará las capacidades tecnológicas relacionadas en el </w:t>
            </w:r>
            <w:r>
              <w:rPr>
                <w:rFonts w:ascii="Georgia" w:cs="Georgia" w:eastAsia="Georgia" w:hAnsi="Georgia"/>
                <w:b/>
                <w:bCs/>
                <w:sz w:val="20"/>
                <w:szCs w:val="20"/>
              </w:rPr>
              <w:t xml:space="preserve">Anexo de Exigencias Tecnológicas Determinadas, versión [núm.], de [fecha], aprobado por [órgano]</w:t>
            </w:r>
            <w:r>
              <w:rPr>
                <w:rFonts w:ascii="Georgia" w:cs="Georgia" w:eastAsia="Georgia" w:hAnsi="Georgia"/>
                <w:sz w:val="20"/>
                <w:szCs w:val="20"/>
              </w:rPr>
              <w:t xml:space="preserve">, que se transcribe íntegramente en el Apéndice [núm.] de este pliego, en los plazos y con los criterios de aceptación que en él se establecen. Dichas exigencias forman parte del alcance ordinario del contrato y se entienden retribuidas con el precio ofertado, sin que su cumplimiento dé lugar a facturación adicional ni requiera modificación contractual alguna.</w:t>
            </w:r>
          </w:p>
          <w:p>
            <w:pPr>
              <w:spacing w:after="100" w:line="264"/>
            </w:pPr>
            <w:r>
              <w:rPr>
                <w:rFonts w:ascii="Georgia" w:cs="Georgia" w:eastAsia="Georgia" w:hAnsi="Georgia"/>
                <w:b/>
                <w:bCs/>
                <w:sz w:val="20"/>
                <w:szCs w:val="20"/>
              </w:rPr>
              <w:t xml:space="preserve">2. Invariabilidad.</w:t>
            </w:r>
            <w:r>
              <w:rPr>
                <w:rFonts w:ascii="Georgia" w:cs="Georgia" w:eastAsia="Georgia" w:hAnsi="Georgia"/>
                <w:sz w:val="20"/>
                <w:szCs w:val="20"/>
              </w:rPr>
              <w:t xml:space="preserve"> El contenido del Apéndice [núm.] se determina en el momento de la licitación y </w:t>
            </w:r>
            <w:r>
              <w:rPr>
                <w:rFonts w:ascii="Georgia" w:cs="Georgia" w:eastAsia="Georgia" w:hAnsi="Georgia"/>
                <w:b/>
                <w:bCs/>
                <w:sz w:val="20"/>
                <w:szCs w:val="20"/>
              </w:rPr>
              <w:t xml:space="preserve">permanece invariable durante toda la vigencia del contrato y de sus prórrogas</w:t>
            </w:r>
            <w:r>
              <w:rPr>
                <w:rFonts w:ascii="Georgia" w:cs="Georgia" w:eastAsia="Georgia" w:hAnsi="Georgia"/>
                <w:sz w:val="20"/>
                <w:szCs w:val="20"/>
              </w:rPr>
              <w:t xml:space="preserve">. Las revisiones posteriores del Anexo de Exigencias Tecnológicas Determinadas no resultan exigibles a este contrato. Este pliego no remite a versiones futuras de dicho Anexo.</w:t>
            </w:r>
          </w:p>
          <w:p>
            <w:pPr>
              <w:spacing w:after="100" w:line="264"/>
            </w:pPr>
            <w:r>
              <w:rPr>
                <w:rFonts w:ascii="Georgia" w:cs="Georgia" w:eastAsia="Georgia" w:hAnsi="Georgia"/>
                <w:b/>
                <w:bCs/>
                <w:sz w:val="20"/>
                <w:szCs w:val="20"/>
              </w:rPr>
              <w:t xml:space="preserve">3. Agotamiento.</w:t>
            </w:r>
            <w:r>
              <w:rPr>
                <w:rFonts w:ascii="Georgia" w:cs="Georgia" w:eastAsia="Georgia" w:hAnsi="Georgia"/>
                <w:sz w:val="20"/>
                <w:szCs w:val="20"/>
              </w:rPr>
              <w:t xml:space="preserve"> Fuera del Apéndice [núm.] no existe obligación de evolución tecnológica exigible al amparo de este pliego. Lo que exceda de él se tramitará, en su caso, conforme a los artículos 203 y 204 LCSP o mediante nueva licitación.</w:t>
            </w:r>
          </w:p>
          <w:p>
            <w:pPr>
              <w:spacing w:after="100" w:line="264"/>
            </w:pPr>
            <w:r>
              <w:rPr>
                <w:rFonts w:ascii="Georgia" w:cs="Georgia" w:eastAsia="Georgia" w:hAnsi="Georgia"/>
                <w:b/>
                <w:bCs/>
                <w:sz w:val="20"/>
                <w:szCs w:val="20"/>
              </w:rPr>
              <w:t xml:space="preserve">4. Criterios de aceptación.</w:t>
            </w:r>
            <w:r>
              <w:rPr>
                <w:rFonts w:ascii="Georgia" w:cs="Georgia" w:eastAsia="Georgia" w:hAnsi="Georgia"/>
                <w:sz w:val="20"/>
                <w:szCs w:val="20"/>
              </w:rPr>
              <w:t xml:space="preserve"> Cada exigencia del Apéndice [núm.] va acompañada de criterios de aceptación </w:t>
            </w:r>
            <w:r>
              <w:rPr>
                <w:rFonts w:ascii="Georgia" w:cs="Georgia" w:eastAsia="Georgia" w:hAnsi="Georgia"/>
                <w:b/>
                <w:bCs/>
                <w:sz w:val="20"/>
                <w:szCs w:val="20"/>
              </w:rPr>
              <w:t xml:space="preserve">binarios y comprobables</w:t>
            </w:r>
            <w:r>
              <w:rPr>
                <w:rFonts w:ascii="Georgia" w:cs="Georgia" w:eastAsia="Georgia" w:hAnsi="Georgia"/>
                <w:sz w:val="20"/>
                <w:szCs w:val="20"/>
              </w:rPr>
              <w:t xml:space="preserve">, formulados de modo que su cumplimiento pueda determinarse mediante una prueba con resultado inequívoco. No se admiten criterios cuyo cumplimiento dependa de una apreciación de grado.</w:t>
            </w:r>
          </w:p>
          <w:p>
            <w:pPr>
              <w:spacing w:after="100" w:line="264"/>
            </w:pPr>
            <w:r>
              <w:rPr>
                <w:rFonts w:ascii="Georgia" w:cs="Georgia" w:eastAsia="Georgia" w:hAnsi="Georgia"/>
                <w:b/>
                <w:bCs/>
                <w:sz w:val="20"/>
                <w:szCs w:val="20"/>
              </w:rPr>
              <w:t xml:space="preserve">5. Verificación y aceptación.</w:t>
            </w:r>
            <w:r>
              <w:rPr>
                <w:rFonts w:ascii="Georgia" w:cs="Georgia" w:eastAsia="Georgia" w:hAnsi="Georgia"/>
                <w:sz w:val="20"/>
                <w:szCs w:val="20"/>
              </w:rPr>
              <w:t xml:space="preserve"> El cumplimiento de cada exigencia se verificará sobre el entorno de pruebas previsto en la cláusula DT-5, apartado 6, mediante las pruebas técnicas, funcionales y de seguridad que se estimen necesarias, y se documentará en </w:t>
            </w:r>
            <w:r>
              <w:rPr>
                <w:rFonts w:ascii="Georgia" w:cs="Georgia" w:eastAsia="Georgia" w:hAnsi="Georgia"/>
                <w:b/>
                <w:bCs/>
                <w:sz w:val="20"/>
                <w:szCs w:val="20"/>
              </w:rPr>
              <w:t xml:space="preserve">acta suscrita por el responsable del contrato</w:t>
            </w:r>
            <w:r>
              <w:rPr>
                <w:rFonts w:ascii="Georgia" w:cs="Georgia" w:eastAsia="Georgia" w:hAnsi="Georgia"/>
                <w:sz w:val="20"/>
                <w:szCs w:val="20"/>
              </w:rPr>
              <w:t xml:space="preserve">, con una fila por criterio y el resultado de cada uno. La exigencia cuya acta no recoja el resultado de todos sus criterios no se tiene por cumplida.</w:t>
            </w:r>
          </w:p>
          <w:p>
            <w:pPr>
              <w:spacing w:after="100" w:line="264"/>
            </w:pPr>
            <w:r>
              <w:rPr>
                <w:rFonts w:ascii="Georgia" w:cs="Georgia" w:eastAsia="Georgia" w:hAnsi="Georgia"/>
                <w:b/>
                <w:bCs/>
                <w:sz w:val="20"/>
                <w:szCs w:val="20"/>
              </w:rPr>
              <w:t xml:space="preserve">6. Mantenimiento de la capacidad.</w:t>
            </w:r>
            <w:r>
              <w:rPr>
                <w:rFonts w:ascii="Georgia" w:cs="Georgia" w:eastAsia="Georgia" w:hAnsi="Georgia"/>
                <w:sz w:val="20"/>
                <w:szCs w:val="20"/>
              </w:rPr>
              <w:t xml:space="preserve"> La aceptación no exime al adjudicatario de responsabilidad por defectos, errores, vulnerabilidades, incumplimientos normativos o degradación posterior de la capacidad verificada, que deberá mantenerse operativa durante el resto de la vigencia del contrato y de sus prórrogas. La degradación de una capacidad ya aceptada se tratará como incumplimiento sobrevenido de la exigencia correspondiente.</w:t>
            </w:r>
          </w:p>
          <w:p>
            <w:pPr>
              <w:spacing w:after="100" w:line="264"/>
            </w:pPr>
            <w:r>
              <w:rPr>
                <w:rFonts w:ascii="Georgia" w:cs="Georgia" w:eastAsia="Georgia" w:hAnsi="Georgia"/>
                <w:b/>
                <w:bCs/>
                <w:sz w:val="20"/>
                <w:szCs w:val="20"/>
              </w:rPr>
              <w:t xml:space="preserve">7. Versiones sucesoras.</w:t>
            </w:r>
            <w:r>
              <w:rPr>
                <w:rFonts w:ascii="Georgia" w:cs="Georgia" w:eastAsia="Georgia" w:hAnsi="Georgia"/>
                <w:sz w:val="20"/>
                <w:szCs w:val="20"/>
              </w:rPr>
              <w:t xml:space="preserve"> El adjudicatario pondrá a disposición del Ayuntamiento, sin coste adicional durante la vigencia del contrato y de sus prórrogas, las versiones sucesoras del producto contratado, con independencia de su denominación comercial, según la definición de «versión sucesora» del cuadro de definiciones de este pliego. El adjudicatario comunicará al Ayuntamiento la publicación de cada versión sucesora en el plazo de [X; se recomienda 30] días naturales desde su disponibilidad general.</w:t>
            </w:r>
          </w:p>
          <w:p>
            <w:pPr>
              <w:spacing w:after="100" w:line="264"/>
            </w:pPr>
            <w:r>
              <w:rPr>
                <w:rFonts w:ascii="Georgia" w:cs="Georgia" w:eastAsia="Georgia" w:hAnsi="Georgia"/>
                <w:b/>
                <w:bCs/>
                <w:sz w:val="20"/>
                <w:szCs w:val="20"/>
              </w:rPr>
              <w:t xml:space="preserve">8. Criterios de aceptación de aplicación general.</w:t>
            </w:r>
            <w:r>
              <w:rPr>
                <w:rFonts w:ascii="Georgia" w:cs="Georgia" w:eastAsia="Georgia" w:hAnsi="Georgia"/>
                <w:sz w:val="20"/>
                <w:szCs w:val="20"/>
              </w:rPr>
              <w:t xml:space="preserve"> Cuando el Apéndice [núm.] exija registro de la actuación de sistemas o agentes de inteligencia artificial, o mecanismos de suspensión de dicha actuación, los criterios de aceptación correspondientes serán, como mínimo, los siguientes:</w:t>
            </w:r>
          </w:p>
          <w:p>
            <w:pPr>
              <w:spacing w:after="100" w:line="264"/>
            </w:pPr>
            <w:r>
              <w:rPr>
                <w:rFonts w:ascii="Georgia" w:cs="Georgia" w:eastAsia="Georgia" w:hAnsi="Georgia"/>
                <w:b/>
                <w:bCs/>
                <w:sz w:val="20"/>
                <w:szCs w:val="20"/>
              </w:rPr>
              <w:t xml:space="preserve">8.1. Integridad verificable del registro.</w:t>
            </w:r>
            <w:r>
              <w:rPr>
                <w:rFonts w:ascii="Georgia" w:cs="Georgia" w:eastAsia="Georgia" w:hAnsi="Georgia"/>
                <w:sz w:val="20"/>
                <w:szCs w:val="20"/>
              </w:rPr>
              <w:t xml:space="preserve"> El registro incorpora, por cada asiento o por cada bloque de asientos correspondiente a un período no superior a [X; se recomienda 24] horas, un valor de integridad criptográfico encadenado con el anterior, de modo que cualquier alteración o supresión posterior de un asiento sea </w:t>
            </w:r>
            <w:r>
              <w:rPr>
                <w:rFonts w:ascii="Georgia" w:cs="Georgia" w:eastAsia="Georgia" w:hAnsi="Georgia"/>
                <w:b/>
                <w:bCs/>
                <w:sz w:val="20"/>
                <w:szCs w:val="20"/>
              </w:rPr>
              <w:t xml:space="preserve">detectable por el Ayuntamiento con herramienta propia y sin intervención del adjudicatario</w:t>
            </w:r>
            <w:r>
              <w:rPr>
                <w:rFonts w:ascii="Georgia" w:cs="Georgia" w:eastAsia="Georgia" w:hAnsi="Georgia"/>
                <w:sz w:val="20"/>
                <w:szCs w:val="20"/>
              </w:rPr>
              <w:t xml:space="preserve">. Se acredita ejecutando la verificación sobre una muestra y sobre una muestra deliberadamente alterada en el entorno de pruebas.</w:t>
            </w:r>
          </w:p>
          <w:p>
            <w:pPr>
              <w:spacing w:after="100" w:line="264"/>
            </w:pPr>
            <w:r>
              <w:rPr>
                <w:rFonts w:ascii="Georgia" w:cs="Georgia" w:eastAsia="Georgia" w:hAnsi="Georgia"/>
                <w:b/>
                <w:bCs/>
                <w:sz w:val="20"/>
                <w:szCs w:val="20"/>
              </w:rPr>
              <w:t xml:space="preserve">8.2. Retención garantizada.</w:t>
            </w:r>
            <w:r>
              <w:rPr>
                <w:rFonts w:ascii="Georgia" w:cs="Georgia" w:eastAsia="Georgia" w:hAnsi="Georgia"/>
                <w:sz w:val="20"/>
                <w:szCs w:val="20"/>
              </w:rPr>
              <w:t xml:space="preserve"> El registro se conserva por un plazo no inferior a [X; se recomienda 24] meses y no puede ser purgado antes de ese plazo mediante operación ordinaria del servicio. Se acredita mediante la configuración documentada de la política de retención y la comprobación de que la operación de purga anticipada no está disponible en los perfiles de operación.</w:t>
            </w:r>
          </w:p>
          <w:p>
            <w:pPr>
              <w:spacing w:after="100" w:line="264"/>
            </w:pPr>
            <w:r>
              <w:rPr>
                <w:rFonts w:ascii="Georgia" w:cs="Georgia" w:eastAsia="Georgia" w:hAnsi="Georgia"/>
                <w:b/>
                <w:bCs/>
                <w:sz w:val="20"/>
                <w:szCs w:val="20"/>
              </w:rPr>
              <w:t xml:space="preserve">8.3. Segregación de funciones.</w:t>
            </w:r>
            <w:r>
              <w:rPr>
                <w:rFonts w:ascii="Georgia" w:cs="Georgia" w:eastAsia="Georgia" w:hAnsi="Georgia"/>
                <w:sz w:val="20"/>
                <w:szCs w:val="20"/>
              </w:rPr>
              <w:t xml:space="preserve"> La modificación o supresión de asientos del registro requiere un perfil administrativo distinto del empleado para operar el servicio; toda actuación con ese perfil queda a su vez registrada y se notifica automáticamente al Ayuntamiento. Se acredita mediante la matriz de perfiles y una prueba de notificación.</w:t>
            </w:r>
          </w:p>
          <w:p>
            <w:pPr>
              <w:spacing w:after="100" w:line="264"/>
            </w:pPr>
            <w:r>
              <w:rPr>
                <w:rFonts w:ascii="Georgia" w:cs="Georgia" w:eastAsia="Georgia" w:hAnsi="Georgia"/>
                <w:b/>
                <w:bCs/>
                <w:sz w:val="20"/>
                <w:szCs w:val="20"/>
              </w:rPr>
              <w:t xml:space="preserve">8.4. Copia fuera del ámbito de operación.</w:t>
            </w:r>
            <w:r>
              <w:rPr>
                <w:rFonts w:ascii="Georgia" w:cs="Georgia" w:eastAsia="Georgia" w:hAnsi="Georgia"/>
                <w:sz w:val="20"/>
                <w:szCs w:val="20"/>
              </w:rPr>
              <w:t xml:space="preserve"> El registro se exporta automáticamente, con periodicidad [X; se recomienda diaria], a un repositorio designado por el Ayuntamiento, o se pone a disposición mediante interfaz que permita al Ayuntamiento extraerlo de forma autónoma. Se acredita mediante la ejecución de una exportación por personal municipal.</w:t>
            </w:r>
          </w:p>
          <w:p>
            <w:pPr>
              <w:spacing w:after="100" w:line="264"/>
            </w:pPr>
            <w:r>
              <w:rPr>
                <w:rFonts w:ascii="Georgia" w:cs="Georgia" w:eastAsia="Georgia" w:hAnsi="Georgia"/>
                <w:b/>
                <w:bCs/>
                <w:sz w:val="20"/>
                <w:szCs w:val="20"/>
              </w:rPr>
              <w:t xml:space="preserve">8.5. Suspensión accionable por el Ayuntamiento.</w:t>
            </w:r>
            <w:r>
              <w:rPr>
                <w:rFonts w:ascii="Georgia" w:cs="Georgia" w:eastAsia="Georgia" w:hAnsi="Georgia"/>
                <w:sz w:val="20"/>
                <w:szCs w:val="20"/>
              </w:rPr>
              <w:t xml:space="preserve"> Existe un control accionable con credenciales municipales, desde la interfaz de administración de la solución, que suspende la actuación de sistemas o agentes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con efecto en un plazo máximo de [X; se recomienda 5] minutos. Se acredita activando el control con usuario municipal en el entorno de pruebas y midiendo el tiempo transcurrido hasta que la siguiente invocación es rechazada.</w:t>
            </w:r>
          </w:p>
          <w:p>
            <w:pPr>
              <w:spacing w:after="100" w:line="264"/>
            </w:pPr>
            <w:r>
              <w:rPr>
                <w:rFonts w:ascii="Georgia" w:cs="Georgia" w:eastAsia="Georgia" w:hAnsi="Georgia"/>
                <w:b/>
                <w:bCs/>
                <w:sz w:val="20"/>
                <w:szCs w:val="20"/>
              </w:rPr>
              <w:t xml:space="preserve">8.6. Reversibilidad de las actuaciones.</w:t>
            </w:r>
            <w:r>
              <w:rPr>
                <w:rFonts w:ascii="Georgia" w:cs="Georgia" w:eastAsia="Georgia" w:hAnsi="Georgia"/>
                <w:sz w:val="20"/>
                <w:szCs w:val="20"/>
              </w:rPr>
              <w:t xml:space="preserve"> Toda operación ejecutada por un sistema o agente de inteligencia artificial es reversible </w:t>
            </w:r>
            <w:r>
              <w:rPr>
                <w:rFonts w:ascii="Georgia" w:cs="Georgia" w:eastAsia="Georgia" w:hAnsi="Georgia"/>
                <w:b/>
                <w:bCs/>
                <w:sz w:val="20"/>
                <w:szCs w:val="20"/>
              </w:rPr>
              <w:t xml:space="preserve">desde la propia solución</w:t>
            </w:r>
            <w:r>
              <w:rPr>
                <w:rFonts w:ascii="Georgia" w:cs="Georgia" w:eastAsia="Georgia" w:hAnsi="Georgia"/>
                <w:sz w:val="20"/>
                <w:szCs w:val="20"/>
              </w:rPr>
              <w:t xml:space="preserve">, sin intervención del personal del adjudicatario. Se acredita revirtiendo efectivamente, sobre el entorno de pruebas, al menos una operación de cada tipo, y documentándolo en acta.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El Apéndice al que remite el apartado 1 </w:t>
      </w:r>
      <w:r>
        <w:rPr>
          <w:rFonts w:ascii="Calibri" w:cs="Calibri" w:eastAsia="Calibri" w:hAnsi="Calibri"/>
          <w:b/>
          <w:bCs/>
          <w:sz w:val="21"/>
          <w:szCs w:val="21"/>
        </w:rPr>
        <w:t xml:space="preserve">se transcribe físicamente dentro del PPT</w:t>
      </w:r>
      <w:r>
        <w:rPr>
          <w:rFonts w:ascii="Calibri" w:cs="Calibri" w:eastAsia="Calibri" w:hAnsi="Calibri"/>
          <w:sz w:val="21"/>
          <w:szCs w:val="21"/>
        </w:rPr>
        <w:t xml:space="preserve">, con número de versión, fecha y órgano aprobante. No se incorpora por remisión a un documento municipal externo: un pliego que remite a un documento que se revisa cada año es un pliego indeterminado, y ése es el primer motivo de recurso que se formula contra él.</w:t>
      </w:r>
    </w:p>
    <w:p>
      <w:pPr>
        <w:spacing w:after="140" w:line="276"/>
      </w:pPr>
      <w:r>
        <w:rPr>
          <w:rFonts w:ascii="Calibri" w:cs="Calibri" w:eastAsia="Calibri" w:hAnsi="Calibri"/>
          <w:sz w:val="21"/>
          <w:szCs w:val="21"/>
        </w:rPr>
        <w:t xml:space="preserve">El régimen de consecuencias —condición especial de ejecución, plazos, medios de acreditación tasados, esencialidad y proporcionalidad— va al </w:t>
      </w:r>
      <w:r>
        <w:rPr>
          <w:rFonts w:ascii="Calibri" w:cs="Calibri" w:eastAsia="Calibri" w:hAnsi="Calibri"/>
          <w:b/>
          <w:bCs/>
          <w:sz w:val="21"/>
          <w:szCs w:val="21"/>
        </w:rPr>
        <w:t xml:space="preserve">PCAP</w:t>
      </w:r>
      <w:r>
        <w:rPr>
          <w:rFonts w:ascii="Calibri" w:cs="Calibri" w:eastAsia="Calibri" w:hAnsi="Calibri"/>
          <w:sz w:val="21"/>
          <w:szCs w:val="21"/>
        </w:rPr>
        <w:t xml:space="preserve">, en ADM-2·v3. Esta cláusula técnica dice qué hay que entregar y cómo se acepta; no dice qué pasa si no se entrega.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problema que esta cláusula resuelve es el que señalaron a la vez el área de contratación y el asesor externo: una obligación de «mantenerse actualizado» remite a una evolución del mercado que hoy se desconoce. El licitador no puede valorarla —o encarece su oferta con una provisión de riesgo, o la ignora y discutirá su alcance en ejecución— y la Administración no puede exigirla, porque acreditar en un procedimiento contradictorio que una determinada tecnología era necesaria es una apreciación técnica que no resiste a un contratista bien asesorado.</w:t>
      </w:r>
    </w:p>
    <w:p>
      <w:pPr>
        <w:spacing w:after="140" w:line="276"/>
      </w:pPr>
      <w:r>
        <w:rPr>
          <w:rFonts w:ascii="Calibri" w:cs="Calibri" w:eastAsia="Calibri" w:hAnsi="Calibri"/>
          <w:sz w:val="21"/>
          <w:szCs w:val="21"/>
        </w:rPr>
        <w:t xml:space="preserve">El anclaje legal de la solución está en dos preceptos: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«deberá ser determinado» y puede definirse «en atención a las necesidades o funcionalidades concretas que se pretenden satisfacer, sin cerrar el objeto del contrato a una solución única. En especial, se definirán de este modo en aquellos contratos en los que se estime que pueden incorporarse innovaciones tecnológicas». La ley quiere la solución abierta; exige el alcance determinado.</w:t>
      </w:r>
    </w:p>
    <w:p>
      <w:pPr>
        <w:pStyle w:val="ListParagraph"/>
        <w:numPr>
          <w:ilvl w:val="0"/>
          <w:numId w:val="1"/>
        </w:numPr>
        <w:spacing w:after="70" w:line="268"/>
      </w:pPr>
      <w:r>
        <w:rPr>
          <w:rFonts w:ascii="Calibri" w:cs="Calibri" w:eastAsia="Calibri" w:hAnsi="Calibri"/>
          <w:b/>
          <w:bCs/>
          <w:sz w:val="21"/>
          <w:szCs w:val="21"/>
        </w:rPr>
        <w:t xml:space="preserve">Artículo 126.2 LCSP:</w:t>
      </w:r>
      <w:r>
        <w:rPr>
          <w:rFonts w:ascii="Calibri" w:cs="Calibri" w:eastAsia="Calibri" w:hAnsi="Calibri"/>
          <w:sz w:val="21"/>
          <w:szCs w:val="21"/>
        </w:rPr>
        <w:t xml:space="preserve"> las prescripciones técnicas pueden referirse a «un proceso específico de otra fase de su ciclo de vida […] incluso cuando dichos factores no formen parte de la sustancia material», siempre que estén vinculados al objeto y guarden proporción con su valor y objetivos.</w:t>
      </w:r>
    </w:p>
    <w:p>
      <w:pPr>
        <w:spacing w:after="140" w:line="276"/>
      </w:pPr>
      <w:r>
        <w:rPr>
          <w:rFonts w:ascii="Calibri" w:cs="Calibri" w:eastAsia="Calibri" w:hAnsi="Calibri"/>
          <w:sz w:val="21"/>
          <w:szCs w:val="21"/>
        </w:rPr>
        <w:t xml:space="preserve">El estándar de precisión que hay que satisfacer es el del artículo 211.1.f).2.º LCSP —enumeración «precisa, clara e inequívoca», «no siendo admisibles cláusulas de tipo general»—, tal como se desprende, en materia de condiciones especiales de ejecución, de cuatro resoluciones del Tribunal Administrativo Central de Recursos Contractuales. Se citan con sus literales y sus enlaces en ADM-2·v3, epígrafe 3, y aquí sólo se identifican, con las cautelas que cada una exige:</w:t>
      </w:r>
    </w:p>
    <w:p>
      <w:pPr>
        <w:pStyle w:val="ListParagraph"/>
        <w:numPr>
          <w:ilvl w:val="0"/>
          <w:numId w:val="1"/>
        </w:numPr>
        <w:spacing w:after="70" w:line="268"/>
      </w:pPr>
      <w:r>
        <w:rPr>
          <w:rFonts w:ascii="Calibri" w:cs="Calibri" w:eastAsia="Calibri" w:hAnsi="Calibri"/>
          <w:b/>
          <w:bCs/>
          <w:sz w:val="21"/>
          <w:szCs w:val="21"/>
        </w:rPr>
        <w:t xml:space="preserve">Resolución 1071/2018, de 23 de noviembre de 2018</w:t>
      </w:r>
      <w:r>
        <w:rPr>
          <w:rFonts w:ascii="Calibri" w:cs="Calibri" w:eastAsia="Calibri" w:hAnsi="Calibri"/>
          <w:sz w:val="21"/>
          <w:szCs w:val="21"/>
        </w:rPr>
        <w:t xml:space="preserve">: una redacción «demasiado amplia y genérica» equivale a no haber establecido condición especial alguna. </w:t>
      </w:r>
      <w:r>
        <w:rPr>
          <w:rFonts w:ascii="Calibri" w:cs="Calibri" w:eastAsia="Calibri" w:hAnsi="Calibri"/>
          <w:b/>
          <w:bCs/>
          <w:sz w:val="21"/>
          <w:szCs w:val="21"/>
        </w:rPr>
        <w:t xml:space="preserve">Se cita según su reproducción literal en la Resolución 1111/2022, y no por el documento original</w:t>
      </w:r>
      <w:r>
        <w:rPr>
          <w:rFonts w:ascii="Calibri" w:cs="Calibri" w:eastAsia="Calibri" w:hAnsi="Calibri"/>
          <w:sz w:val="21"/>
          <w:szCs w:val="21"/>
        </w:rPr>
        <w:t xml:space="preserve">, que no se ha manejado.</w:t>
      </w:r>
    </w:p>
    <w:p>
      <w:pPr>
        <w:pStyle w:val="ListParagraph"/>
        <w:numPr>
          <w:ilvl w:val="0"/>
          <w:numId w:val="1"/>
        </w:numPr>
        <w:spacing w:after="70" w:line="268"/>
      </w:pP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y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anulan cláusulas por falta de concreción.</w:t>
      </w:r>
    </w:p>
    <w:p>
      <w:pPr>
        <w:pStyle w:val="ListParagraph"/>
        <w:numPr>
          <w:ilvl w:val="0"/>
          <w:numId w:val="1"/>
        </w:numPr>
        <w:spacing w:after="70" w:line="268"/>
      </w:pP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«las obligaciones genéricas o imprecisas no pueden configurarse como propias de un contrato […] menos aún pueden elevarse a categoría de obligaciones esenciales». </w:t>
      </w:r>
      <w:r>
        <w:rPr>
          <w:rFonts w:ascii="Calibri" w:cs="Calibri" w:eastAsia="Calibri" w:hAnsi="Calibri"/>
          <w:b/>
          <w:bCs/>
          <w:sz w:val="21"/>
          <w:szCs w:val="21"/>
        </w:rPr>
        <w:t xml:space="preserve">Cautela obligada:</w:t>
      </w:r>
      <w:r>
        <w:rPr>
          <w:rFonts w:ascii="Calibri" w:cs="Calibri" w:eastAsia="Calibri" w:hAnsi="Calibri"/>
          <w:sz w:val="21"/>
          <w:szCs w:val="21"/>
        </w:rPr>
        <w:t xml:space="preserve"> es una reclamación en sectores excluidos, resuelta bajo el Real Decreto-ley 3/2020, y el propio Tribunal advierte que la cláusula impugnada «lejos de remitir al artículo 211 de la LCSP […] remite a las generales previstas en el Derecho privado». No puede escribirse que «aplica» el artículo 211.1.f).2.º LCSP: la traslación es de materia </w:t>
      </w:r>
      <w:r>
        <w:rPr>
          <w:rFonts w:ascii="Calibri" w:cs="Calibri" w:eastAsia="Calibri" w:hAnsi="Calibri"/>
          <w:b/>
          <w:bCs/>
          <w:sz w:val="21"/>
          <w:szCs w:val="21"/>
        </w:rPr>
        <w:t xml:space="preserve">y de régimen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no existe doctrina sobre condiciones especiales de ejecución de contenido tecnológico-evolutivo, y no consta ninguna, a fecha de corte de 1 de septiembre de 2026, tras búsqueda en los repositorios de los tres tribunales citados en el apartado II.3.</w:t>
      </w:r>
    </w:p>
    <w:p>
      <w:pPr>
        <w:spacing w:after="140" w:line="276"/>
      </w:pPr>
      <w:r>
        <w:rPr>
          <w:rFonts w:ascii="Calibri" w:cs="Calibri" w:eastAsia="Calibri" w:hAnsi="Calibri"/>
          <w:b/>
          <w:bCs/>
          <w:sz w:val="21"/>
          <w:szCs w:val="21"/>
        </w:rPr>
        <w:t xml:space="preserve">Por qué el catálogo va a un anexo y no aquí.</w:t>
      </w:r>
      <w:r>
        <w:rPr>
          <w:rFonts w:ascii="Calibri" w:cs="Calibri" w:eastAsia="Calibri" w:hAnsi="Calibri"/>
          <w:sz w:val="21"/>
          <w:szCs w:val="21"/>
        </w:rPr>
        <w:t xml:space="preserve"> Si el catálogo entra en el cuerpo del clausulado, cada revisión anual obliga a reabrir y reaprobar el clausulado entero, lo que garantiza que no se revise nunca. Si el documento va entero como anexo informativo, no vincula y no sostiene ninguna consecuencia. Partirlo resuelve las dos cosas: el articulado es estable, y el catálogo es volátil, fechado y aprobado cada año sin tocar el clausulado.</w:t>
      </w:r>
    </w:p>
    <w:p>
      <w:pPr>
        <w:spacing w:after="140" w:line="276"/>
      </w:pPr>
      <w:r>
        <w:rPr>
          <w:rFonts w:ascii="Calibri" w:cs="Calibri" w:eastAsia="Calibri" w:hAnsi="Calibri"/>
          <w:b/>
          <w:bCs/>
          <w:sz w:val="21"/>
          <w:szCs w:val="21"/>
        </w:rPr>
        <w:t xml:space="preserve">Por qué se han reescrito dos criterios de aceptación.</w:t>
      </w:r>
      <w:r>
        <w:rPr>
          <w:rFonts w:ascii="Calibri" w:cs="Calibri" w:eastAsia="Calibri" w:hAnsi="Calibri"/>
          <w:sz w:val="21"/>
          <w:szCs w:val="21"/>
        </w:rPr>
        <w:t xml:space="preserve"> El catálogo de origen contenía dos criterios que, en una solución entregada como servicio y operada por el propio adjudicatario, </w:t>
      </w:r>
      <w:r>
        <w:rPr>
          <w:rFonts w:ascii="Calibri" w:cs="Calibri" w:eastAsia="Calibri" w:hAnsi="Calibri"/>
          <w:b/>
          <w:bCs/>
          <w:sz w:val="21"/>
          <w:szCs w:val="21"/>
        </w:rPr>
        <w:t xml:space="preserve">nadie puede acreditar</w:t>
      </w:r>
      <w:r>
        <w:rPr>
          <w:rFonts w:ascii="Calibri" w:cs="Calibri" w:eastAsia="Calibri" w:hAnsi="Calibri"/>
          <w:sz w:val="21"/>
          <w:szCs w:val="21"/>
        </w:rPr>
        <w:t xml:space="preserve">: que el registro sea «inalterable por el propio adjudicatario» y que la suspensión sea «accionable sin intervención del adjudicatario». Quien opera la infraestructura tiene, por definición, acceso administrativo a ella; y la suspensión se ejecuta sobre infraestructura suya. Un criterio de aceptación que nadie puede acreditar no protege: restringe, porque expulsa de la licitación a todo el mercado que opera en modalidad de servicio, o bien genera un incumplimiento generalizado desde el primer año.</w:t>
      </w:r>
    </w:p>
    <w:p>
      <w:pPr>
        <w:spacing w:after="140" w:line="276"/>
      </w:pPr>
      <w:r>
        <w:rPr>
          <w:rFonts w:ascii="Calibri" w:cs="Calibri" w:eastAsia="Calibri" w:hAnsi="Calibri"/>
          <w:sz w:val="21"/>
          <w:szCs w:val="21"/>
        </w:rPr>
        <w:t xml:space="preserve">El apartado 8 los sustituye por exigencias que sí son exigibles y sí son acreditables, y que consiguen el mismo efecto material: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Sustitución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inalterable por el propio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Imposible en un servicio operado por el adjudicatario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8.1 integridad verificable</w:t>
            </w:r>
            <w:r>
              <w:rPr>
                <w:rFonts w:ascii="Calibri" w:cs="Calibri" w:eastAsia="Calibri" w:hAnsi="Calibri"/>
                <w:b w:val="false"/>
                <w:bCs w:val="false"/>
                <w:sz w:val="18"/>
                <w:szCs w:val="18"/>
              </w:rPr>
              <w:t xml:space="preserve"> (la alteración es detectable por el Ayuntamiento) + </w:t>
            </w:r>
            <w:r>
              <w:rPr>
                <w:rFonts w:ascii="Calibri" w:cs="Calibri" w:eastAsia="Calibri" w:hAnsi="Calibri"/>
                <w:b/>
                <w:bCs/>
                <w:sz w:val="18"/>
                <w:szCs w:val="18"/>
              </w:rPr>
              <w:t xml:space="preserve">8.2 retención garantizada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8.3 segregación de funciones</w:t>
            </w:r>
            <w:r>
              <w:rPr>
                <w:rFonts w:ascii="Calibri" w:cs="Calibri" w:eastAsia="Calibri" w:hAnsi="Calibri"/>
                <w:b w:val="false"/>
                <w:bCs w:val="false"/>
                <w:sz w:val="18"/>
                <w:szCs w:val="18"/>
              </w:rPr>
              <w:t xml:space="preserve"> (alterar exige un perfil distinto y queda registrado y notificado) + </w:t>
            </w:r>
            <w:r>
              <w:rPr>
                <w:rFonts w:ascii="Calibri" w:cs="Calibri" w:eastAsia="Calibri" w:hAnsi="Calibri"/>
                <w:b/>
                <w:bCs/>
                <w:sz w:val="18"/>
                <w:szCs w:val="18"/>
              </w:rPr>
              <w:t xml:space="preserve">8.4 copia fuera del ámbito de operación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accionable sin intervención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Ambiguo: la infraestructura es suya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8.5</w:t>
            </w:r>
            <w:r>
              <w:rPr>
                <w:rFonts w:ascii="Calibri" w:cs="Calibri" w:eastAsia="Calibri" w:hAnsi="Calibri"/>
                <w:b w:val="false"/>
                <w:bCs w:val="false"/>
                <w:sz w:val="18"/>
                <w:szCs w:val="18"/>
              </w:rPr>
              <w:t xml:space="preserve">: sin que sea necesaria </w:t>
            </w:r>
            <w:r>
              <w:rPr>
                <w:rFonts w:ascii="Calibri" w:cs="Calibri" w:eastAsia="Calibri" w:hAnsi="Calibri"/>
                <w:b/>
                <w:bCs/>
                <w:sz w:val="18"/>
                <w:szCs w:val="18"/>
              </w:rPr>
              <w:t xml:space="preserve">solicitud, autorización, ticket ni actuación alguna del personal</w:t>
            </w:r>
            <w:r>
              <w:rPr>
                <w:rFonts w:ascii="Calibri" w:cs="Calibri" w:eastAsia="Calibri" w:hAnsi="Calibri"/>
                <w:b w:val="false"/>
                <w:bCs w:val="false"/>
                <w:sz w:val="18"/>
                <w:szCs w:val="18"/>
              </w:rPr>
              <w:t xml:space="preserve"> del adjudicatario, con tiempo máximo de efecto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«Reversibles, o consta el procedimiento documentado para revertir»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disyuntiva permitía cumplir con un documento sin prueba, y un criterio de aceptación con disyuntiva no es binario, contra el apartado 4 de esta misma cláusula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8.6</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se elimina la alternativa documental</w:t>
            </w:r>
            <w:r>
              <w:rPr>
                <w:rFonts w:ascii="Calibri" w:cs="Calibri" w:eastAsia="Calibri" w:hAnsi="Calibri"/>
                <w:b w:val="false"/>
                <w:bCs w:val="false"/>
                <w:sz w:val="18"/>
                <w:szCs w:val="18"/>
              </w:rPr>
              <w:t xml:space="preserve">. La reversión se ejecuta desde la propia solución y se acredita revirtiendo efectivamente una operación de cada tipo. Es la misma exigencia que el criterio 4 de ET-2 del Anexo V —reversión desde la propia solución, acreditada revirtiendo efectivamente una operación de cada tipo—, y ninguna de las dos puede admitir la alternativa documental que aquí se suprime</w:t>
            </w:r>
          </w:p>
        </w:tc>
      </w:tr>
    </w:tbl>
    <w:p>
      <w:pPr>
        <w:spacing w:after="200"/>
      </w:pPr>
    </w:p>
    <w:p>
      <w:pPr>
        <w:spacing w:after="140" w:line="276"/>
      </w:pPr>
      <w:r>
        <w:rPr>
          <w:rFonts w:ascii="Calibri" w:cs="Calibri" w:eastAsia="Calibri" w:hAnsi="Calibri"/>
          <w:b/>
          <w:bCs/>
          <w:sz w:val="21"/>
          <w:szCs w:val="21"/>
        </w:rPr>
        <w:t xml:space="preserve">Advertencia de expediente, obligatoria.</w:t>
      </w:r>
      <w:r>
        <w:rPr>
          <w:rFonts w:ascii="Calibri" w:cs="Calibri" w:eastAsia="Calibri" w:hAnsi="Calibri"/>
          <w:sz w:val="21"/>
          <w:szCs w:val="21"/>
        </w:rPr>
        <w:t xml:space="preserve"> Antes de incorporar el Apéndice a un pliego concreto, su contenido debe contrastarse con el mercado de la tipología de solución de que se trate, y ese contraste debe constar motivado en el expediente. Una exigencia que ningún proveedor del sector pueda cumplir en el plazo previsto no protege al Ayuntamiento: reduce la concurrencia o genera un incumplimiento generalizado desde el primer año. Ese contraste es el mismo trabajo que la consulta preliminar del mercado del artículo 115 LCSP: </w:t>
      </w:r>
      <w:r>
        <w:rPr>
          <w:rFonts w:ascii="Calibri" w:cs="Calibri" w:eastAsia="Calibri" w:hAnsi="Calibri"/>
          <w:b/>
          <w:bCs/>
          <w:sz w:val="21"/>
          <w:szCs w:val="21"/>
        </w:rPr>
        <w:t xml:space="preserve">hágase una vez al año, al aprobar el Anexo V, y reutilícese en cada expediente.</w:t>
      </w:r>
      <w:r>
        <w:rPr>
          <w:rFonts w:ascii="Calibri" w:cs="Calibri" w:eastAsia="Calibri" w:hAnsi="Calibri"/>
          <w:sz w:val="21"/>
          <w:szCs w:val="21"/>
        </w:rPr>
        <w:t xml:space="preserve"> Hacerlo por expediente es inasumible para un servicio de contratación, y quien lo intente acabará no haciéndolo.</w:t>
      </w:r>
    </w:p>
    <w:p>
      <w:pPr>
        <w:spacing w:after="140" w:line="276"/>
      </w:pPr>
      <w:r>
        <w:rPr>
          <w:rFonts w:ascii="Calibri" w:cs="Calibri" w:eastAsia="Calibri" w:hAnsi="Calibri"/>
          <w:b/>
          <w:bCs/>
          <w:sz w:val="21"/>
          <w:szCs w:val="21"/>
        </w:rPr>
        <w:t xml:space="preserve">Advertencia sobre el efecto de convertir una capacidad en requisito.</w:t>
      </w:r>
      <w:r>
        <w:rPr>
          <w:rFonts w:ascii="Calibri" w:cs="Calibri" w:eastAsia="Calibri" w:hAnsi="Calibri"/>
          <w:sz w:val="21"/>
          <w:szCs w:val="21"/>
        </w:rPr>
        <w:t xml:space="preserve"> Trasladar una capacidad tecnológica desde el baremo, donde se compensaba con otros criterios, hasta la categoría de requisito obligatorio con consecuencias, </w:t>
      </w:r>
      <w:r>
        <w:rPr>
          <w:rFonts w:ascii="Calibri" w:cs="Calibri" w:eastAsia="Calibri" w:hAnsi="Calibri"/>
          <w:b/>
          <w:bCs/>
          <w:sz w:val="21"/>
          <w:szCs w:val="21"/>
        </w:rPr>
        <w:t xml:space="preserve">agrava</w:t>
      </w:r>
      <w:r>
        <w:rPr>
          <w:rFonts w:ascii="Calibri" w:cs="Calibri" w:eastAsia="Calibri" w:hAnsi="Calibri"/>
          <w:sz w:val="21"/>
          <w:szCs w:val="21"/>
        </w:rPr>
        <w:t xml:space="preserve"> la restricción en lugar de reducirla: antes se podía licitar sin ella y perder puntos; ahora no se puede licitar. Es una decisión legítima, pero hay que tomarla a sabiendas y motivarla en la memoria, y es la razón por la que el contraste de mercado del párrafo anterior no es una recomendación.</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aceptación</w:t>
            </w:r>
            <w:r>
              <w:rPr>
                <w:rFonts w:ascii="Calibri" w:cs="Calibri" w:eastAsia="Calibri" w:hAnsi="Calibri"/>
                <w:b w:val="false"/>
                <w:bCs w:val="false"/>
                <w:sz w:val="18"/>
                <w:szCs w:val="18"/>
              </w:rPr>
              <w:t xml:space="preserve"> con una fila por criterio y resultado binario, ejecutada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 del registro (8.1)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sobre muestra íntegra y sobre muestra alterada,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Configuración documentada y comprobación de perfiles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Segregación (8.3)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Matriz de perfiles y prueba de notificación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externa (8.4)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ejecutada por personal municipal, con el fichero resultante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Activación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(8.6)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ejecutada sobre el entorno de pruebas,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 sucesora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nota técnica del fabricante, o publicación del catálogo del fabricante, o ruta de migración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Repetición de la prueba de aceptación en la revisión anual</w:t>
            </w:r>
          </w:p>
        </w:tc>
      </w:tr>
    </w:tbl>
    <w:p>
      <w:pPr>
        <w:spacing w:after="200"/>
      </w:pPr>
    </w:p>
    <w:p>
      <w:pPr>
        <w:spacing w:after="140" w:line="276"/>
      </w:pPr>
      <w:r>
        <w:rPr>
          <w:rFonts w:ascii="Calibri" w:cs="Calibri" w:eastAsia="Calibri" w:hAnsi="Calibri"/>
          <w:sz w:val="21"/>
          <w:szCs w:val="21"/>
        </w:rPr>
        <w:t xml:space="preserve">La ausencia de estos medios </w:t>
      </w:r>
      <w:r>
        <w:rPr>
          <w:rFonts w:ascii="Calibri" w:cs="Calibri" w:eastAsia="Calibri" w:hAnsi="Calibri"/>
          <w:b/>
          <w:bCs/>
          <w:sz w:val="21"/>
          <w:szCs w:val="21"/>
        </w:rPr>
        <w:t xml:space="preserve">no puede suplirse por apreciación discrecional</w:t>
      </w:r>
      <w:r>
        <w:rPr>
          <w:rFonts w:ascii="Calibri" w:cs="Calibri" w:eastAsia="Calibri" w:hAnsi="Calibri"/>
          <w:sz w:val="21"/>
          <w:szCs w:val="21"/>
        </w:rPr>
        <w:t xml:space="preserve"> del órgano de contratación. Es la regla que hace exigible el conjunto: si no hay acta, no hay incumplimiento acreditado, y tampoco hay cumplimiento acreditado.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para las exigencias que afecten a información económico-financiera, con presencia del órgano interventor.</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al vencimiento del plazo de cada exigencia; repetición anual de una muestra de criterios, para comprobar el apartado 6.</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exigencia, y punto en el acta anual de la Comisión de Seguimiento (ADM-4·v3) que deja constancia de la vigencia de las capacidades aceptadas.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a 12 horas por exigencia aceptada; 4 horas de comprobación anual. Con tres exigencias en el primer año: </w:t>
      </w:r>
      <w:r>
        <w:rPr>
          <w:rFonts w:ascii="Calibri" w:cs="Calibri" w:eastAsia="Calibri" w:hAnsi="Calibri"/>
          <w:b/>
          <w:bCs/>
          <w:sz w:val="21"/>
          <w:szCs w:val="21"/>
        </w:rPr>
        <w:t xml:space="preserve">28 a 40 horas el primer año y 4 a 8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en un solo supuesto tasado y con las mismas dos cautelas de DT-7·v3: la falta de implantación de una exigencia del Apéndice transcurrido su plazo más un mes de subsanación desde requerimiento fehaciente figura en la lista cerrada de ADM-6·v3, bloque B, </w:t>
      </w:r>
      <w:r>
        <w:rPr>
          <w:rFonts w:ascii="Calibri" w:cs="Calibri" w:eastAsia="Calibri" w:hAnsi="Calibri"/>
          <w:b/>
          <w:bCs/>
          <w:sz w:val="21"/>
          <w:szCs w:val="21"/>
        </w:rPr>
        <w:t xml:space="preserve">siempre que</w:t>
      </w:r>
      <w:r>
        <w:rPr>
          <w:rFonts w:ascii="Calibri" w:cs="Calibri" w:eastAsia="Calibri" w:hAnsi="Calibri"/>
          <w:sz w:val="21"/>
          <w:szCs w:val="21"/>
        </w:rPr>
        <w:t xml:space="preserve"> la exigencia recaiga sobre una parte nuclear del objeto y la memoria justifique la proporcionalidad de anudarle la resolución. En otro caso, la obligación </w:t>
      </w:r>
      <w:r>
        <w:rPr>
          <w:rFonts w:ascii="Calibri" w:cs="Calibri" w:eastAsia="Calibri" w:hAnsi="Calibri"/>
          <w:b/>
          <w:bCs/>
          <w:sz w:val="21"/>
          <w:szCs w:val="21"/>
        </w:rPr>
        <w:t xml:space="preserve">no</w:t>
      </w:r>
      <w:r>
        <w:rPr>
          <w:rFonts w:ascii="Calibri" w:cs="Calibri" w:eastAsia="Calibri" w:hAnsi="Calibri"/>
          <w:sz w:val="21"/>
          <w:szCs w:val="21"/>
        </w:rPr>
        <w:t xml:space="preserve"> es esencial y su incumplimiento genera penalidad.</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comunicación de una versión sucesora (ap.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 una exigencia del Apéndice sin causa justificada; falta de un criterio de aceptación en el acta; degradación de una capacidad aceptada, no subsanada en [X; se recomienda 30] días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implantación de una exigencia transcurrido el plazo más el mes de subsanación; falta de puesta a disposición de una versión sucesora en los términos del apartado 7</w:t>
            </w:r>
          </w:p>
        </w:tc>
      </w:tr>
    </w:tbl>
    <w:p>
      <w:pPr>
        <w:spacing w:after="200"/>
      </w:pPr>
    </w:p>
    <w:p>
      <w:pPr>
        <w:spacing w:after="140" w:line="276"/>
      </w:pPr>
      <w:r>
        <w:rPr>
          <w:rFonts w:ascii="Calibri" w:cs="Calibri" w:eastAsia="Calibri" w:hAnsi="Calibri"/>
          <w:b/>
          <w:bCs/>
          <w:sz w:val="21"/>
          <w:szCs w:val="21"/>
        </w:rPr>
        <w:t xml:space="preserve">Cautela sobre el apartado 7.</w:t>
      </w:r>
      <w:r>
        <w:rPr>
          <w:rFonts w:ascii="Calibri" w:cs="Calibri" w:eastAsia="Calibri" w:hAnsi="Calibri"/>
          <w:sz w:val="21"/>
          <w:szCs w:val="21"/>
        </w:rPr>
        <w:t xml:space="preserve"> Anudar consecuencias a que el fabricante publique o no una versión sucesora traslada al adjudicatario el riesgo del comportamiento de un tercero. Por eso la obligación del apartado 7 se formula como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no como obtener del fabricante que publique algo. Redactada de otro modo, configura una responsabilidad objetiva por hecho ajeno que es incompatible con el régimen de incumplimiento culpable, y un letrado de licitador lo alegará en primer lugar.</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no exista Anexo de Exigencias Tecnológicas Determinadas vigente, aprobado, fechado y versionado por órgano competente identificado.</w:t>
      </w:r>
      <w:r>
        <w:rPr>
          <w:rFonts w:ascii="Calibri" w:cs="Calibri" w:eastAsia="Calibri" w:hAnsi="Calibri"/>
          <w:sz w:val="21"/>
          <w:szCs w:val="21"/>
        </w:rPr>
        <w:t xml:space="preserve"> Sin él, no hay nada que transcribir y la cláusula no se incorpora.</w:t>
      </w:r>
    </w:p>
    <w:p>
      <w:pPr>
        <w:pStyle w:val="ListParagraph"/>
        <w:numPr>
          <w:ilvl w:val="0"/>
          <w:numId w:val="1"/>
        </w:numPr>
        <w:spacing w:after="70" w:line="268"/>
      </w:pPr>
      <w:r>
        <w:rPr>
          <w:rFonts w:ascii="Calibri" w:cs="Calibri" w:eastAsia="Calibri" w:hAnsi="Calibri"/>
          <w:b/>
          <w:bCs/>
          <w:sz w:val="21"/>
          <w:szCs w:val="21"/>
        </w:rPr>
        <w:t xml:space="preserve">Cuando no conste en el expediente el contraste de mercado documentado</w:t>
      </w:r>
      <w:r>
        <w:rPr>
          <w:rFonts w:ascii="Calibri" w:cs="Calibri" w:eastAsia="Calibri" w:hAnsi="Calibri"/>
          <w:sz w:val="21"/>
          <w:szCs w:val="21"/>
        </w:rPr>
        <w:t xml:space="preserve"> para la tipología de solución de que se trate.</w:t>
      </w:r>
    </w:p>
    <w:p>
      <w:pPr>
        <w:pStyle w:val="ListParagraph"/>
        <w:numPr>
          <w:ilvl w:val="0"/>
          <w:numId w:val="1"/>
        </w:numPr>
        <w:spacing w:after="70" w:line="268"/>
      </w:pPr>
      <w:r>
        <w:rPr>
          <w:rFonts w:ascii="Calibri" w:cs="Calibri" w:eastAsia="Calibri" w:hAnsi="Calibri"/>
          <w:sz w:val="21"/>
          <w:szCs w:val="21"/>
        </w:rPr>
        <w:t xml:space="preserve">Contratos cuyo objeto no sea una solución tecnológica susceptible de incorporar las capacidades del Anexo.</w:t>
      </w:r>
    </w:p>
    <w:p>
      <w:pPr>
        <w:pStyle w:val="ListParagraph"/>
        <w:numPr>
          <w:ilvl w:val="0"/>
          <w:numId w:val="1"/>
        </w:numPr>
        <w:spacing w:after="70" w:line="268"/>
      </w:pPr>
      <w:r>
        <w:rPr>
          <w:rFonts w:ascii="Calibri" w:cs="Calibri" w:eastAsia="Calibri" w:hAnsi="Calibri"/>
          <w:sz w:val="21"/>
          <w:szCs w:val="21"/>
        </w:rPr>
        <w:t xml:space="preserve">Contratos menores: desproporcionado por cuantía y por carga de verificación.</w:t>
      </w:r>
    </w:p>
    <w:p>
      <w:pPr>
        <w:pStyle w:val="ListParagraph"/>
        <w:numPr>
          <w:ilvl w:val="0"/>
          <w:numId w:val="1"/>
        </w:numPr>
        <w:spacing w:after="70" w:line="268"/>
      </w:pPr>
      <w:r>
        <w:rPr>
          <w:rFonts w:ascii="Calibri" w:cs="Calibri" w:eastAsia="Calibri" w:hAnsi="Calibri"/>
          <w:sz w:val="21"/>
          <w:szCs w:val="21"/>
        </w:rPr>
        <w:t xml:space="preserve">Contratos basados en acuerdo marco y adhesiones a centrales de compra: sólo si el instrumento admite añadir prescripciones. Habitualmente no lo admite; hágase constar en la ficha.</w:t>
      </w:r>
    </w:p>
    <w:p>
      <w:pPr>
        <w:pStyle w:val="ListParagraph"/>
        <w:numPr>
          <w:ilvl w:val="0"/>
          <w:numId w:val="1"/>
        </w:numPr>
        <w:spacing w:after="70" w:line="268"/>
      </w:pPr>
      <w:r>
        <w:rPr>
          <w:rFonts w:ascii="Calibri" w:cs="Calibri" w:eastAsia="Calibri" w:hAnsi="Calibri"/>
          <w:sz w:val="21"/>
          <w:szCs w:val="21"/>
        </w:rPr>
        <w:t xml:space="preserve">Prórrogas de contratos vivos: las exigencias del Anexo vigente en la licitación siguen siendo las del contrato. </w:t>
      </w:r>
      <w:r>
        <w:rPr>
          <w:rFonts w:ascii="Calibri" w:cs="Calibri" w:eastAsia="Calibri" w:hAnsi="Calibri"/>
          <w:b/>
          <w:bCs/>
          <w:sz w:val="21"/>
          <w:szCs w:val="21"/>
        </w:rPr>
        <w:t xml:space="preserve">No se introducen exigencias nuevas en la prórroga</w:t>
      </w:r>
      <w:r>
        <w:rPr>
          <w:rFonts w:ascii="Calibri" w:cs="Calibri" w:eastAsia="Calibri" w:hAnsi="Calibri"/>
          <w:sz w:val="21"/>
          <w:szCs w:val="21"/>
        </w:rPr>
        <w:t xml:space="preserve">, ni siquiera las del Anexo revisado.</w:t>
      </w:r>
    </w:p>
    <w:p>
      <w:pPr>
        <w:pStyle w:val="ListParagraph"/>
        <w:numPr>
          <w:ilvl w:val="0"/>
          <w:numId w:val="1"/>
        </w:numPr>
        <w:spacing w:after="70" w:line="268"/>
      </w:pPr>
      <w:r>
        <w:rPr>
          <w:rFonts w:ascii="Calibri" w:cs="Calibri" w:eastAsia="Calibri" w:hAnsi="Calibri"/>
          <w:sz w:val="21"/>
          <w:szCs w:val="21"/>
        </w:rPr>
        <w:t xml:space="preserve">El apartado 8 se incorpora sólo cuando el Apéndice contenga exigencias sobre actuación de sistemas o agentes de IA; en otro caso se suprime.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II.11 · Dependencias</w:t>
      </w:r>
    </w:p>
    <w:p>
      <w:pPr>
        <w:spacing w:after="140" w:line="276"/>
      </w:pPr>
      <w:r>
        <w:rPr>
          <w:rFonts w:ascii="Calibri" w:cs="Calibri" w:eastAsia="Calibri" w:hAnsi="Calibri"/>
          <w:sz w:val="21"/>
          <w:szCs w:val="21"/>
        </w:rPr>
        <w:t xml:space="preserve">Cuando una cláusula de esta Parte se marca NO APLICA, sus menciones sobreviven en el resto del pliego y producen un pliego contradictorio; la contradicción entre PPT y PCAP es un motivo de recurso barato. La tabla completa —cláusulas técnicas, cláusulas administrativas y dependencias en sentido inverso— es la del </w:t>
      </w:r>
      <w:r>
        <w:rPr>
          <w:rFonts w:ascii="Calibri" w:cs="Calibri" w:eastAsia="Calibri" w:hAnsi="Calibri"/>
          <w:b/>
          <w:bCs/>
          <w:sz w:val="21"/>
          <w:szCs w:val="21"/>
        </w:rPr>
        <w:t xml:space="preserve">Anexo VI</w:t>
      </w:r>
      <w:r>
        <w:rPr>
          <w:rFonts w:ascii="Calibri" w:cs="Calibri" w:eastAsia="Calibri" w:hAnsi="Calibri"/>
          <w:sz w:val="21"/>
          <w:szCs w:val="21"/>
        </w:rPr>
        <w:t xml:space="preserve">, que es la única fuente. </w:t>
      </w:r>
      <w:r>
        <w:rPr>
          <w:rFonts w:ascii="Calibri" w:cs="Calibri" w:eastAsia="Calibri" w:hAnsi="Calibri"/>
          <w:b/>
          <w:bCs/>
          <w:sz w:val="21"/>
          <w:szCs w:val="21"/>
        </w:rPr>
        <w:t xml:space="preserve">No se reproduce aquí para que las dos no puedan divergir.</w:t>
      </w:r>
      <w:r>
        <w:rPr>
          <w:rFonts w:ascii="Calibri" w:cs="Calibri" w:eastAsia="Calibri" w:hAnsi="Calibri"/>
          <w:sz w:val="21"/>
          <w:szCs w:val="21"/>
        </w:rPr>
        <w:t xml:space="preserve"> Su ejecución es obligatoria antes de aprobar el pliego y se marca en la casilla de cierre de la Ficha del Anexo II.</w:t>
      </w:r>
    </w:p>
    <w:p>
      <w:pPr>
        <w:spacing w:after="140" w:line="276"/>
      </w:pPr>
      <w:r>
        <w:rPr>
          <w:rFonts w:ascii="Calibri" w:cs="Calibri" w:eastAsia="Calibri" w:hAnsi="Calibri"/>
          <w:sz w:val="21"/>
          <w:szCs w:val="21"/>
        </w:rPr>
        <w:t xml:space="preserve">Dos advertencias que la tabla del Anexo VI recoge y que conviene leer antes de descartar nada:</w:t>
      </w:r>
    </w:p>
    <w:p>
      <w:pPr>
        <w:pStyle w:val="ListParagraph"/>
        <w:numPr>
          <w:ilvl w:val="0"/>
          <w:numId w:val="1"/>
        </w:numPr>
        <w:spacing w:after="70" w:line="268"/>
      </w:pPr>
      <w:r>
        <w:rPr>
          <w:rFonts w:ascii="Calibri" w:cs="Calibri" w:eastAsia="Calibri" w:hAnsi="Calibri"/>
          <w:b/>
          <w:bCs/>
          <w:sz w:val="21"/>
          <w:szCs w:val="21"/>
        </w:rPr>
        <w:t xml:space="preserve">DT-0·v3 no puede excluirse</w:t>
      </w:r>
      <w:r>
        <w:rPr>
          <w:rFonts w:ascii="Calibri" w:cs="Calibri" w:eastAsia="Calibri" w:hAnsi="Calibri"/>
          <w:sz w:val="21"/>
          <w:szCs w:val="21"/>
        </w:rPr>
        <w:t xml:space="preserve"> si el PPT cita algún estándar, red, protocolo, producto o metodología.</w:t>
      </w:r>
    </w:p>
    <w:p>
      <w:pPr>
        <w:pStyle w:val="ListParagraph"/>
        <w:numPr>
          <w:ilvl w:val="0"/>
          <w:numId w:val="1"/>
        </w:numPr>
        <w:spacing w:after="70" w:line="268"/>
      </w:pPr>
      <w:r>
        <w:rPr>
          <w:rFonts w:ascii="Calibri" w:cs="Calibri" w:eastAsia="Calibri" w:hAnsi="Calibri"/>
          <w:b/>
          <w:bCs/>
          <w:sz w:val="21"/>
          <w:szCs w:val="21"/>
        </w:rPr>
        <w:t xml:space="preserve">Descartar DT-6·v3 en un contrato con sistema de información contradice el artículo 2.3 del Real Decreto 311/2022</w:t>
      </w:r>
      <w:r>
        <w:rPr>
          <w:rFonts w:ascii="Calibri" w:cs="Calibri" w:eastAsia="Calibri" w:hAnsi="Calibri"/>
          <w:sz w:val="21"/>
          <w:szCs w:val="21"/>
        </w:rPr>
        <w:t xml:space="preserve">, y requiere motivación expresa en la memoria.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venir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II.12 · Carga imputable a las cláusulas técnicas, ya incluida en el total de ADM-4·v3</w:t>
      </w:r>
    </w:p>
    <w:p>
      <w:pPr>
        <w:spacing w:after="140" w:line="276"/>
      </w:pPr>
      <w:r>
        <w:rPr>
          <w:rFonts w:ascii="Calibri" w:cs="Calibri" w:eastAsia="Calibri" w:hAnsi="Calibri"/>
          <w:b/>
          <w:bCs/>
          <w:sz w:val="21"/>
          <w:szCs w:val="21"/>
        </w:rPr>
        <w:t xml:space="preserve">Este cuadro es un extracto.</w:t>
      </w:r>
      <w:r>
        <w:rPr>
          <w:rFonts w:ascii="Calibri" w:cs="Calibri" w:eastAsia="Calibri" w:hAnsi="Calibri"/>
          <w:sz w:val="21"/>
          <w:szCs w:val="21"/>
        </w:rPr>
        <w:t xml:space="preserve"> La tabla única de carga de verificación del catálogo, con su desglose por actor, documento, horas por acto y horas al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lo que sigue son sus filas de la Parte II, reproducidas aquí para que el redactor del PPT no tenga que ir a buscarlas. Las horas de estas filas </w:t>
      </w:r>
      <w:r>
        <w:rPr>
          <w:rFonts w:ascii="Calibri" w:cs="Calibri" w:eastAsia="Calibri" w:hAnsi="Calibri"/>
          <w:b/>
          <w:bCs/>
          <w:sz w:val="21"/>
          <w:szCs w:val="21"/>
        </w:rPr>
        <w:t xml:space="preserve">no se suman</w:t>
      </w:r>
      <w:r>
        <w:rPr>
          <w:rFonts w:ascii="Calibri" w:cs="Calibri" w:eastAsia="Calibri" w:hAnsi="Calibri"/>
          <w:sz w:val="21"/>
          <w:szCs w:val="21"/>
        </w:rPr>
        <w:t xml:space="preserve"> a las de aquella tabla: ya están dentro.</w:t>
      </w:r>
    </w:p>
    <w:p>
      <w:pPr>
        <w:spacing w:after="140" w:line="276"/>
      </w:pPr>
      <w:r>
        <w:rPr>
          <w:rFonts w:ascii="Calibri" w:cs="Calibri" w:eastAsia="Calibri" w:hAnsi="Calibri"/>
          <w:sz w:val="21"/>
          <w:szCs w:val="21"/>
        </w:rPr>
        <w:t xml:space="preserve">La regla que gobierna el cuadro es la de la Parte I, §7.9: </w:t>
      </w:r>
      <w:r>
        <w:rPr>
          <w:rFonts w:ascii="Calibri" w:cs="Calibri" w:eastAsia="Calibri" w:hAnsi="Calibri"/>
          <w:b/>
          <w:bCs/>
          <w:sz w:val="21"/>
          <w:szCs w:val="21"/>
        </w:rPr>
        <w:t xml:space="preserve">no se incorpora ninguna cláusula cuya verificación no tenga actor municipal designado y periodicidad.</w:t>
      </w:r>
    </w:p>
    <w:p>
      <w:pPr>
        <w:spacing w:after="140" w:line="276"/>
      </w:pPr>
      <w:r>
        <w:rPr>
          <w:rFonts w:ascii="Calibri" w:cs="Calibri" w:eastAsia="Calibri" w:hAnsi="Calibri"/>
          <w:sz w:val="21"/>
          <w:szCs w:val="21"/>
        </w:rPr>
        <w:t xml:space="preserve">Estimación orientativa, para un contrato tecnológico de tamaño medio que aplique todas las cláusulas de aplicación ordinaria (DT-0, DT-1, DT-4, DT-5, DT-6, DT-7, DT-8 y DT-9). Los valores deben ajustarse por el servicio municipal antes de aprobar 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primer año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años siguientes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funcionalidad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automatización +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Intervención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integración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por incidente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ensayo +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exigencia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orientativo (sin DT-2 ni DT-3, que no aplican por defecto, y sin DT-0)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horas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horas</w:t>
            </w:r>
          </w:p>
        </w:tc>
      </w:tr>
    </w:tbl>
    <w:p>
      <w:pPr>
        <w:spacing w:after="200"/>
      </w:pPr>
    </w:p>
    <w:p>
      <w:pPr>
        <w:spacing w:after="140" w:line="276"/>
      </w:pPr>
      <w:r>
        <w:rPr>
          <w:rFonts w:ascii="Calibri" w:cs="Calibri" w:eastAsia="Calibri" w:hAnsi="Calibri"/>
          <w:b/>
          <w:bCs/>
          <w:sz w:val="21"/>
          <w:szCs w:val="21"/>
        </w:rPr>
        <w:t xml:space="preserve">Cómo está hecha la suma, porque la base no es la misma en todas las filas.</w:t>
      </w:r>
      <w:r>
        <w:rPr>
          <w:rFonts w:ascii="Calibri" w:cs="Calibri" w:eastAsia="Calibri" w:hAnsi="Calibri"/>
          <w:sz w:val="21"/>
          <w:szCs w:val="21"/>
        </w:rPr>
        <w:t xml:space="preserve"> El total </w:t>
      </w:r>
      <w:r>
        <w:rPr>
          <w:rFonts w:ascii="Calibri" w:cs="Calibri" w:eastAsia="Calibri" w:hAnsi="Calibri"/>
          <w:b/>
          <w:bCs/>
          <w:sz w:val="21"/>
          <w:szCs w:val="21"/>
        </w:rPr>
        <w:t xml:space="preserve">excluye DT-0·v3</w:t>
      </w:r>
      <w:r>
        <w:rPr>
          <w:rFonts w:ascii="Calibri" w:cs="Calibri" w:eastAsia="Calibri" w:hAnsi="Calibri"/>
          <w:sz w:val="21"/>
          <w:szCs w:val="21"/>
        </w:rPr>
        <w:t xml:space="preserve">: su carga es de licitación y no de ejecución (6 a 18 horas por licitación que invoque equivalencia), y sumarla a un total anual mezclaría dos magnitudes distintas. Con DT-0·v3 incluida, el primer año sería de 122 a 174 horas.</w:t>
      </w:r>
    </w:p>
    <w:p>
      <w:pPr>
        <w:spacing w:after="140" w:line="276"/>
      </w:pPr>
      <w:r>
        <w:rPr>
          <w:rFonts w:ascii="Calibri" w:cs="Calibri" w:eastAsia="Calibri" w:hAnsi="Calibri"/>
          <w:sz w:val="21"/>
          <w:szCs w:val="21"/>
        </w:rPr>
        <w:t xml:space="preserve">A esta carga hay que añadir la de las cláusulas administrativas de la Parte III (Comisión de Seguimiento, Plan Anual, verificación del depósito de código, acceso de la Intervención) y la de la preparación del expediente. </w:t>
      </w:r>
      <w:r>
        <w:rPr>
          <w:rFonts w:ascii="Calibri" w:cs="Calibri" w:eastAsia="Calibri" w:hAnsi="Calibri"/>
          <w:b/>
          <w:bCs/>
          <w:sz w:val="21"/>
          <w:szCs w:val="21"/>
        </w:rPr>
        <w:t xml:space="preserve">Si el servicio no puede comprometer estas horas, la respuesta correcta no es escribir las cláusulas igual: es reducir el número de cláusulas incorporadas hasta lo que se pueda verificar.</w:t>
      </w:r>
      <w:r>
        <w:rPr>
          <w:rFonts w:ascii="Calibri" w:cs="Calibri" w:eastAsia="Calibri" w:hAnsi="Calibri"/>
          <w:sz w:val="21"/>
          <w:szCs w:val="21"/>
        </w:rPr>
        <w:t xml:space="preserve"> Un pliego con cuatro obligaciones comprobadas vale más que uno con doce declaradas.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II.13 · Cuadro de parámetros de la Parte II</w:t>
      </w:r>
    </w:p>
    <w:p>
      <w:pPr>
        <w:spacing w:after="140" w:line="276"/>
      </w:pPr>
      <w:r>
        <w:rPr>
          <w:rFonts w:ascii="Calibri" w:cs="Calibri" w:eastAsia="Calibri" w:hAnsi="Calibri"/>
          <w:sz w:val="21"/>
          <w:szCs w:val="21"/>
        </w:rPr>
        <w:t xml:space="preserve">Todos los corchetes de esta Parte, con su valor recomendado por defecto y el criterio para moverlo. Se reproduce, junto con los de la Parte III, en la tabla consolidada del Anexo X.</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precedencia.</w:t>
      </w:r>
      <w:r>
        <w:rPr>
          <w:rFonts w:ascii="Georgia" w:cs="Georgia" w:eastAsia="Georgia" w:hAnsi="Georgia"/>
          <w:i/>
          <w:iCs/>
          <w:color w:val="595959"/>
          <w:sz w:val="20"/>
          <w:szCs w:val="20"/>
        </w:rPr>
        <w:t xml:space="preserve"> Este cuadro reproduce; no decide. </w:t>
      </w:r>
      <w:r>
        <w:rPr>
          <w:rFonts w:ascii="Georgia" w:cs="Georgia" w:eastAsia="Georgia" w:hAnsi="Georgia"/>
          <w:b/>
          <w:bCs/>
          <w:i/>
          <w:iCs/>
          <w:color w:val="595959"/>
          <w:sz w:val="20"/>
          <w:szCs w:val="20"/>
        </w:rPr>
        <w:t xml:space="preserve">En caso de discrepancia entre un valor de este cuadro y el de la cláusula correspondiente, prevalece el de la cláusula.</w:t>
      </w:r>
      <w:r>
        <w:rPr>
          <w:rFonts w:ascii="Georgia" w:cs="Georgia" w:eastAsia="Georgia" w:hAnsi="Georgia"/>
          <w:i/>
          <w:iCs/>
          <w:color w:val="595959"/>
          <w:sz w:val="20"/>
          <w:szCs w:val="20"/>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abierta (la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archivos de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que resulte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«elige»: se determina y se motiva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Subsanación de vulnerabilidades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cuando el plazo de impugnación de los actos soportados sea mayor. </w:t>
            </w:r>
            <w:r>
              <w:rPr>
                <w:rFonts w:ascii="Calibri" w:cs="Calibri" w:eastAsia="Calibri" w:hAnsi="Calibri"/>
                <w:b/>
                <w:bCs/>
                <w:sz w:val="18"/>
                <w:szCs w:val="18"/>
              </w:rPr>
              <w:t xml:space="preserve">El criterio de aceptación ET-1 del Anexo V debe llevar este mismo valor</w:t>
            </w:r>
            <w:r>
              <w:rPr>
                <w:rFonts w:ascii="Calibri" w:cs="Calibri" w:eastAsia="Calibri" w:hAnsi="Calibri"/>
                <w:b w:val="false"/>
                <w:bCs w:val="false"/>
                <w:sz w:val="18"/>
                <w:szCs w:val="18"/>
              </w:rPr>
              <w:t xml:space="preserve">: son dos textos que van al mismo PPT sobre el mismo registro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del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minuto en módulos con operaciones de escritura sobre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reducir por debajo de 6: por debajo, el contraste de mercado deja de sostenerlo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Primera entrega del 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después de la primera entrega el inventario se actualiza con cada versión puesta en producción, y sin plazo cierto de inicio la penalidad por incumplirlo no tiene día desde el que contarse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sólo en soluciones con implantación superior a un 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Frecuencia del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cada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criticidad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soluciones con ciclo de publicación rápido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encadenamiento de 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hora en registros de alta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copia externa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en registros de baja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DT-7·v3.3.f)</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desde el requerimiento para subsanar la pérdida de la acreditación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sin motivación: por encima, la pérdida de la acreditación deja de tener consecuencia práctica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o 30 días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II.14 · Lo que esta Parte no promete</w:t>
      </w:r>
    </w:p>
    <w:p>
      <w:pPr>
        <w:spacing w:after="140" w:line="276"/>
      </w:pPr>
      <w:r>
        <w:rPr>
          <w:rFonts w:ascii="Calibri" w:cs="Calibri" w:eastAsia="Calibri" w:hAnsi="Calibri"/>
          <w:sz w:val="21"/>
          <w:szCs w:val="21"/>
        </w:rPr>
        <w:t xml:space="preserve">No se promete que ningún tribunal pueda anular un pliego que incorpore estas cláusulas. Sobre las materias propias de esta Parte —condiciones especiales de ejecución de contenido tecnológico-evolutivo, interfaces de acceso para agentes de inteligencia artificial e infraestructuras de registro distribuido en pliegos—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en los términos y con las cautelas que expone la Parte 0, §0.3, y desarrolla la Parte IV, M8. El primer pliego que las incorpore y sea recurrido creará el precedente.</w:t>
      </w:r>
    </w:p>
    <w:p>
      <w:pPr>
        <w:spacing w:after="140" w:line="276"/>
      </w:pPr>
      <w:r>
        <w:rPr>
          <w:rFonts w:ascii="Calibri" w:cs="Calibri" w:eastAsia="Calibri" w:hAnsi="Calibri"/>
          <w:sz w:val="21"/>
          <w:szCs w:val="21"/>
        </w:rPr>
        <w:t xml:space="preserve">Lo que sí se ha diseñado, y es comprobable cláusula por cláusula, es esto: cada exigencia de esta Parte tiene </w:t>
      </w:r>
      <w:r>
        <w:rPr>
          <w:rFonts w:ascii="Calibri" w:cs="Calibri" w:eastAsia="Calibri" w:hAnsi="Calibri"/>
          <w:b/>
          <w:bCs/>
          <w:sz w:val="21"/>
          <w:szCs w:val="21"/>
        </w:rPr>
        <w:t xml:space="preserve">necesidad identificada, instrumento correcto, medio de acreditación tasado, forma de verificación con actor y periodicidad, y consecuencia tasada</w:t>
      </w:r>
      <w:r>
        <w:rPr>
          <w:rFonts w:ascii="Calibri" w:cs="Calibri" w:eastAsia="Calibri" w:hAnsi="Calibri"/>
          <w:sz w:val="21"/>
          <w:szCs w:val="21"/>
        </w:rPr>
        <w:t xml:space="preserve">; y la caída de una pieza no arrastra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que son pocas, están escritas con nombre y apellidos y existen precisamente para que retirar una cláusula sea una operación limpia y no una avería.</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III · CLÁUSULAS ADMINISTRATIVAS (PCAP)</w:t>
      </w:r>
    </w:p>
    <w:p>
      <w:pPr>
        <w:pStyle w:val="Heading2"/>
        <w:keepNext/>
        <w:spacing w:after="140" w:before="320"/>
      </w:pPr>
      <w:r>
        <w:rPr>
          <w:rFonts w:ascii="Georgia" w:cs="Georgia" w:eastAsia="Georgia" w:hAnsi="Georgia"/>
          <w:b/>
          <w:bCs/>
          <w:color w:val="1F3864"/>
          <w:sz w:val="26"/>
          <w:szCs w:val="26"/>
        </w:rPr>
        <w:t xml:space="preserve">Cómo se lee esta parte</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Cláusulas Administrativas Particulares</w:t>
      </w:r>
      <w:r>
        <w:rPr>
          <w:rFonts w:ascii="Calibri" w:cs="Calibri" w:eastAsia="Calibri" w:hAnsi="Calibri"/>
          <w:sz w:val="21"/>
          <w:szCs w:val="21"/>
        </w:rPr>
        <w:t xml:space="preserve">. Ninguna de ellas produce efecto si se reproduce en el Pliego de Prescripciones Técnicas: las condiciones especiales de ejecución, las penalidades, las obligaciones esenciales y la cláusula de modificación prevista son materia del PCAP, y su copia en el PPT carece de efectos (regla de ubicación, Parte I, §7).</w:t>
      </w:r>
    </w:p>
    <w:p>
      <w:pPr>
        <w:spacing w:after="140" w:line="276"/>
      </w:pPr>
      <w:r>
        <w:rPr>
          <w:rFonts w:ascii="Calibri" w:cs="Calibri" w:eastAsia="Calibri" w:hAnsi="Calibri"/>
          <w:sz w:val="21"/>
          <w:szCs w:val="21"/>
        </w:rPr>
        <w:t xml:space="preserve">Cada cláusula se presenta con </w:t>
      </w:r>
      <w:r>
        <w:rPr>
          <w:rFonts w:ascii="Calibri" w:cs="Calibri" w:eastAsia="Calibri" w:hAnsi="Calibri"/>
          <w:b/>
          <w:bCs/>
          <w:sz w:val="21"/>
          <w:szCs w:val="21"/>
        </w:rPr>
        <w:t xml:space="preserve">siete epígrafes fijos</w:t>
      </w:r>
      <w:r>
        <w:rPr>
          <w:rFonts w:ascii="Calibri" w:cs="Calibri" w:eastAsia="Calibri" w:hAnsi="Calibri"/>
          <w:sz w:val="21"/>
          <w:szCs w:val="21"/>
        </w:rPr>
        <w:t xml:space="preserve">. Sólo el primero se copia al pliego, y sólo lo que va dentro del bloque delimitado. Todo lo demás —motivo, norma, riesgo, advertencias— es para quien redacta y para quien fiscaliza, y </w:t>
      </w:r>
      <w:r>
        <w:rPr>
          <w:rFonts w:ascii="Calibri" w:cs="Calibri" w:eastAsia="Calibri" w:hAnsi="Calibri"/>
          <w:b/>
          <w:bCs/>
          <w:sz w:val="21"/>
          <w:szCs w:val="21"/>
        </w:rPr>
        <w:t xml:space="preserve">nunca</w:t>
      </w:r>
      <w:r>
        <w:rPr>
          <w:rFonts w:ascii="Calibri" w:cs="Calibri" w:eastAsia="Calibri" w:hAnsi="Calibri"/>
          <w:sz w:val="21"/>
          <w:szCs w:val="21"/>
        </w:rPr>
        <w:t xml:space="preserve"> entra en el pliego.</w:t>
      </w:r>
    </w:p>
    <w:p>
      <w:pPr>
        <w:spacing w:after="140" w:line="276"/>
      </w:pPr>
      <w:r>
        <w:rPr>
          <w:rFonts w:ascii="Calibri" w:cs="Calibri" w:eastAsia="Calibri" w:hAnsi="Calibri"/>
          <w:sz w:val="21"/>
          <w:szCs w:val="21"/>
        </w:rPr>
        <w:t xml:space="preserve">Tres reglas de uso que gobiernan toda la Parte III:</w:t>
      </w:r>
    </w:p>
    <w:p>
      <w:pPr>
        <w:pStyle w:val="ListParagraph"/>
        <w:numPr>
          <w:ilvl w:val="0"/>
          <w:numId w:val="2"/>
        </w:numPr>
        <w:spacing w:after="70" w:line="268"/>
      </w:pPr>
      <w:r>
        <w:rPr>
          <w:rFonts w:ascii="Calibri" w:cs="Calibri" w:eastAsia="Calibri" w:hAnsi="Calibri"/>
          <w:b/>
          <w:bCs/>
          <w:sz w:val="21"/>
          <w:szCs w:val="21"/>
        </w:rPr>
        <w:t xml:space="preserve">Regla de motivación.</w:t>
      </w:r>
      <w:r>
        <w:rPr>
          <w:rFonts w:ascii="Calibri" w:cs="Calibri" w:eastAsia="Calibri" w:hAnsi="Calibri"/>
          <w:sz w:val="21"/>
          <w:szCs w:val="21"/>
        </w:rPr>
        <w:t xml:space="preserve"> Ninguna cláusula se incorpora sin la Ficha de Aplicabilidad del Anexo II firmada y sin el Informe de Necesidad del Anexo III. En su defecto se marca NO APLICA. No es formalismo: el TACP de la Comunidad de Madrid anuló los pliegos del Ayuntamiento de Parla porque la memoria justificativa del expediente no justificaba una exigencia de certificación, y precisó que esa justificación no es admisible en sede de recurso (Resolución 383/2024, de 3 de octubre de 2024, expediente y recurso 383/2024, Tecnologías Viales Aplicadas TEVA, S.L.; </w:t>
      </w:r>
      <w:r>
        <w:rPr>
          <w:rFonts w:ascii="Calibri" w:cs="Calibri" w:eastAsia="Calibri" w:hAnsi="Calibri"/>
          <w:b/>
          <w:bCs/>
          <w:sz w:val="21"/>
          <w:szCs w:val="21"/>
        </w:rPr>
        <w:t xml:space="preserve">estimatoria</w:t>
      </w:r>
      <w:r>
        <w:rPr>
          <w:rFonts w:ascii="Calibri" w:cs="Calibri" w:eastAsia="Calibri" w:hAnsi="Calibri"/>
          <w:sz w:val="21"/>
          <w:szCs w:val="21"/>
        </w:rPr>
        <w:t xml:space="preserve">: el ACUERDA se limita a estimar el recurso y la anulación de los pliegos se declara en el fundamento de derecho quinto; </w:t>
      </w:r>
      <w:hyperlink w:history="1" r:id="rIdm0xuljtxmkze70p740q-s">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El tratamiento completo de esta resolución, con su literal, está en la Parte IV, §M8.2, y en la Parte V, §V.5.6, y no se repite aquí. Este catálogo no es la memoria justificativa de ningún expediente. Si la memoria del expediente se limita a remitirse a él, la justificación es estereotipada y el defecto no se puede reparar cuando llegue el recurso.</w:t>
      </w:r>
    </w:p>
    <w:p>
      <w:pPr>
        <w:pStyle w:val="ListParagraph"/>
        <w:numPr>
          <w:ilvl w:val="0"/>
          <w:numId w:val="2"/>
        </w:numPr>
        <w:spacing w:after="70" w:line="268"/>
      </w:pPr>
      <w:r>
        <w:rPr>
          <w:rFonts w:ascii="Calibri" w:cs="Calibri" w:eastAsia="Calibri" w:hAnsi="Calibri"/>
          <w:b/>
          <w:bCs/>
          <w:sz w:val="21"/>
          <w:szCs w:val="21"/>
        </w:rPr>
        <w:t xml:space="preserve">Regla de separación de instrumentos.</w:t>
      </w:r>
      <w:r>
        <w:rPr>
          <w:rFonts w:ascii="Calibri" w:cs="Calibri" w:eastAsia="Calibri" w:hAnsi="Calibri"/>
          <w:sz w:val="21"/>
          <w:szCs w:val="21"/>
        </w:rPr>
        <w:t xml:space="preserve"> Cada exigencia aparece </w:t>
      </w:r>
      <w:r>
        <w:rPr>
          <w:rFonts w:ascii="Calibri" w:cs="Calibri" w:eastAsia="Calibri" w:hAnsi="Calibri"/>
          <w:b/>
          <w:bCs/>
          <w:sz w:val="21"/>
          <w:szCs w:val="21"/>
        </w:rPr>
        <w:t xml:space="preserve">una sola vez</w:t>
      </w:r>
      <w:r>
        <w:rPr>
          <w:rFonts w:ascii="Calibri" w:cs="Calibri" w:eastAsia="Calibri" w:hAnsi="Calibri"/>
          <w:sz w:val="21"/>
          <w:szCs w:val="21"/>
        </w:rPr>
        <w:t xml:space="preserve"> y con un único instrumento: prescripción técnica, solvencia, adscripción de medios, condición especial de ejecución, criterio de adjudicación o documento del expediente. El enunciado de la regla, con las tres combinaciones prohibidas, está en la Parte I, §7.3; el Cuadro Maestro del Anexo I es la hoja donde se comprueba.</w:t>
      </w:r>
    </w:p>
    <w:p>
      <w:pPr>
        <w:pStyle w:val="ListParagraph"/>
        <w:numPr>
          <w:ilvl w:val="0"/>
          <w:numId w:val="2"/>
        </w:numPr>
        <w:spacing w:after="70" w:line="268"/>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No se incorpora ninguna cláusula cuya verificación no tenga actor municipal designado, periodicidad y horas disponibles (Parte I, §7.9). La cuantificación de esa carga está en ADM-4·v3, epígrafe 5, que es la tabla única de horas de todo el catálogo.</w:t>
      </w:r>
    </w:p>
    <w:p>
      <w:pPr>
        <w:spacing w:after="140" w:line="276"/>
      </w:pPr>
      <w:r>
        <w:rPr>
          <w:rFonts w:ascii="Calibri" w:cs="Calibri" w:eastAsia="Calibri" w:hAnsi="Calibri"/>
          <w:b/>
          <w:bCs/>
          <w:sz w:val="21"/>
          <w:szCs w:val="21"/>
        </w:rPr>
        <w:t xml:space="preserve">Sobre los parámetros.</w:t>
      </w:r>
      <w:r>
        <w:rPr>
          <w:rFonts w:ascii="Calibri" w:cs="Calibri" w:eastAsia="Calibri" w:hAnsi="Calibri"/>
          <w:sz w:val="21"/>
          <w:szCs w:val="21"/>
        </w:rPr>
        <w:t xml:space="preserve"> Todo valor que fija el órgano de contratación se escribe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N]</w:t>
      </w:r>
      <w:r>
        <w:rPr>
          <w:rFonts w:ascii="Calibri" w:cs="Calibri" w:eastAsia="Calibri" w:hAnsi="Calibri"/>
          <w:sz w:val="21"/>
          <w:szCs w:val="21"/>
        </w:rPr>
        <w:t xml:space="preserve">. El valor recomendado es el que debe usarse salvo que concurra la circunstancia que se indica a continuación de cada uno. La tabla consolidada de los corchetes de </w:t>
      </w:r>
      <w:r>
        <w:rPr>
          <w:rFonts w:ascii="Calibri" w:cs="Calibri" w:eastAsia="Calibri" w:hAnsi="Calibri"/>
          <w:b/>
          <w:bCs/>
          <w:sz w:val="21"/>
          <w:szCs w:val="21"/>
        </w:rPr>
        <w:t xml:space="preserve">decisión económica, de calendario y de configuración del expediente</w:t>
      </w:r>
      <w:r>
        <w:rPr>
          <w:rFonts w:ascii="Calibri" w:cs="Calibri" w:eastAsia="Calibri" w:hAnsi="Calibri"/>
          <w:sz w:val="21"/>
          <w:szCs w:val="21"/>
        </w:rPr>
        <w:t xml:space="preserve"> está en el Anexo X. Cuatro </w:t>
      </w:r>
      <w:r>
        <w:rPr>
          <w:rFonts w:ascii="Calibri" w:cs="Calibri" w:eastAsia="Calibri" w:hAnsi="Calibri"/>
          <w:b/>
          <w:bCs/>
          <w:sz w:val="21"/>
          <w:szCs w:val="21"/>
        </w:rPr>
        <w:t xml:space="preserve">plazos y umbrales de trámite interno</w:t>
      </w:r>
      <w:r>
        <w:rPr>
          <w:rFonts w:ascii="Calibri" w:cs="Calibri" w:eastAsia="Calibri" w:hAnsi="Calibri"/>
          <w:sz w:val="21"/>
          <w:szCs w:val="21"/>
        </w:rPr>
        <w:t xml:space="preserve"> no se consolidan allí y se quedan en el texto de pliego de la cláusula que los fija, que es su sede: la audiencia previa a la penalidad y el umbral de penalidades acumuladas (ADM-5·v3), la audiencia previa a la liberación del depósito (ADM-11·v3) y los umbrales de no constitución de la Comisión de Seguimiento (ADM-4·v3). El Anexo X cierra su apartado X.1 con esa misma relación.</w:t>
      </w:r>
    </w:p>
    <w:p>
      <w:pPr>
        <w:spacing w:after="140" w:line="276"/>
      </w:pPr>
      <w:r>
        <w:rPr>
          <w:rFonts w:ascii="Calibri" w:cs="Calibri" w:eastAsia="Calibri" w:hAnsi="Calibri"/>
          <w:b/>
          <w:bCs/>
          <w:sz w:val="21"/>
          <w:szCs w:val="21"/>
        </w:rPr>
        <w:t xml:space="preserve">Sobre la reutilización por otras administraciones.</w:t>
      </w:r>
      <w:r>
        <w:rPr>
          <w:rFonts w:ascii="Calibri" w:cs="Calibri" w:eastAsia="Calibri" w:hAnsi="Calibri"/>
          <w:sz w:val="21"/>
          <w:szCs w:val="21"/>
        </w:rPr>
        <w:t xml:space="preserve"> Cada regla se escribe primero en general y después se ejemplifica con el régimen de Pozuelo de Alarcón entre paréntesis. Donde se lee «el órgano al que corresponda el informe jurídico preceptivo», el redactor debe sustituir por el suyo: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en los municipios de gran población del Título X de la Ley 7/1985 (es el caso de Pozuelo de Alarcón, por la disposición adicional 3.ª.8 LCSP en relación con la disposición adicional 8.ª LBRL), y la </w:t>
      </w:r>
      <w:r>
        <w:rPr>
          <w:rFonts w:ascii="Calibri" w:cs="Calibri" w:eastAsia="Calibri" w:hAnsi="Calibri"/>
          <w:b/>
          <w:bCs/>
          <w:sz w:val="21"/>
          <w:szCs w:val="21"/>
        </w:rPr>
        <w:t xml:space="preserve">Secretaría</w:t>
      </w:r>
      <w:r>
        <w:rPr>
          <w:rFonts w:ascii="Calibri" w:cs="Calibri" w:eastAsia="Calibri" w:hAnsi="Calibri"/>
          <w:sz w:val="21"/>
          <w:szCs w:val="21"/>
        </w:rPr>
        <w:t xml:space="preserve"> en el régimen común.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 · ADM-1·v3 — Solvencia técnica, sistema de gestión de la IA y certificaciones exigibles</w:t>
      </w:r>
    </w:p>
    <w:p>
      <w:pPr>
        <w:spacing w:after="140" w:line="276"/>
      </w:pPr>
      <w:r>
        <w:rPr>
          <w:rFonts w:ascii="Calibri" w:cs="Calibri" w:eastAsia="Calibri" w:hAnsi="Calibri"/>
          <w:i/>
          <w:iCs/>
          <w:sz w:val="21"/>
          <w:szCs w:val="21"/>
        </w:rPr>
        <w:t xml:space="preserve">(Sustituye a ADM-1 de v2. Recoge la ISO/IEC 42001, que en v2 estaba a la vez en la Parte II, en esta cláusula y en el baremo de ADM-7. A partir de v3 vive </w:t>
      </w:r>
      <w:r>
        <w:rPr>
          <w:rFonts w:ascii="Calibri" w:cs="Calibri" w:eastAsia="Calibri" w:hAnsi="Calibri"/>
          <w:i/>
          <w:iCs/>
          <w:sz w:val="21"/>
          <w:szCs w:val="21"/>
        </w:rPr>
        <w:t xml:space="preserve">sólo aquí</w:t>
      </w:r>
      <w:r>
        <w:rPr>
          <w:rFonts w:ascii="Calibri" w:cs="Calibri" w:eastAsia="Calibri" w:hAnsi="Calibri"/>
          <w:sz w:val="21"/>
          <w:szCs w:val="21"/>
        </w:rPr>
        <w:t xml:space="preserve">* y </w:t>
      </w:r>
      <w:r>
        <w:rPr>
          <w:rFonts w:ascii="Calibri" w:cs="Calibri" w:eastAsia="Calibri" w:hAnsi="Calibri"/>
          <w:b/>
          <w:bCs/>
          <w:sz w:val="21"/>
          <w:szCs w:val="21"/>
        </w:rPr>
        <w:t xml:space="preserve">no se puntúa nunca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sz w:val="21"/>
          <w:szCs w:val="21"/>
        </w:rPr>
        <w:t xml:space="preserve">Esta cláusula tiene tres modalidades excluyentes entre sí. </w:t>
      </w:r>
      <w:r>
        <w:rPr>
          <w:rFonts w:ascii="Calibri" w:cs="Calibri" w:eastAsia="Calibri" w:hAnsi="Calibri"/>
          <w:b/>
          <w:bCs/>
          <w:sz w:val="21"/>
          <w:szCs w:val="21"/>
        </w:rPr>
        <w:t xml:space="preserve">Se copia una sola.</w:t>
      </w:r>
      <w:r>
        <w:rPr>
          <w:rFonts w:ascii="Calibri" w:cs="Calibri" w:eastAsia="Calibri" w:hAnsi="Calibri"/>
          <w:sz w:val="21"/>
          <w:szCs w:val="21"/>
        </w:rPr>
        <w:t xml:space="preserve"> La elección se motiva en el Informe de Necesidad (Anexo III) y se refleja en el Cuadro Maestro (Anexo I). La modalidad recomendada por defecto es la B.</w:t>
      </w:r>
    </w:p>
    <w:p>
      <w:pPr>
        <w:spacing w:after="140" w:line="276"/>
      </w:pPr>
      <w:r>
        <w:rPr>
          <w:rFonts w:ascii="Calibri" w:cs="Calibri" w:eastAsia="Calibri" w:hAnsi="Calibri"/>
          <w:b/>
          <w:bCs/>
          <w:sz w:val="21"/>
          <w:szCs w:val="21"/>
        </w:rPr>
        <w:t xml:space="preserve">Modalidad A — Solvencia técnica.</w:t>
      </w:r>
      <w:r>
        <w:rPr>
          <w:rFonts w:ascii="Calibri" w:cs="Calibri" w:eastAsia="Calibri" w:hAnsi="Calibri"/>
          <w:sz w:val="21"/>
          <w:szCs w:val="21"/>
        </w:rPr>
        <w:t xml:space="preserve"> Sólo cuando concurran acumulativamente: contrato sujeto a regulación armonizada, y sistema de inteligencia artificial que constituya elemento determinante de la prestación (no accesorio).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Solvencia técnica. Medidas de gestión de la calidad aplicables a los sistemas de inteligencia artificial.</w:t>
            </w:r>
          </w:p>
          <w:p>
            <w:pPr>
              <w:pStyle w:val="ListParagraph"/>
              <w:numPr>
                <w:ilvl w:val="0"/>
                <w:numId w:val="2"/>
              </w:numPr>
              <w:spacing w:after="60" w:line="264"/>
            </w:pPr>
            <w:r>
              <w:rPr>
                <w:rFonts w:ascii="Georgia" w:cs="Georgia" w:eastAsia="Georgia" w:hAnsi="Georgia"/>
                <w:sz w:val="20"/>
                <w:szCs w:val="20"/>
              </w:rPr>
              <w:t xml:space="preserve">El licitador acreditará que aplica un sistema de gestión de la inteligencia artificial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las actividades que constituyen el objeto de este contrato.</w:t>
            </w:r>
          </w:p>
          <w:p>
            <w:pPr>
              <w:pStyle w:val="ListParagraph"/>
              <w:numPr>
                <w:ilvl w:val="0"/>
                <w:numId w:val="2"/>
              </w:numPr>
              <w:spacing w:after="60" w:line="264"/>
            </w:pPr>
            <w:r>
              <w:rPr>
                <w:rFonts w:ascii="Georgia" w:cs="Georgia" w:eastAsia="Georgia" w:hAnsi="Georgia"/>
                <w:sz w:val="20"/>
                <w:szCs w:val="20"/>
              </w:rPr>
              <w:t xml:space="preserve">La acreditación podrá realizarse indistintamente mediante:</w:t>
            </w:r>
          </w:p>
          <w:p>
            <w:pPr>
              <w:spacing w:after="100" w:line="264"/>
            </w:pPr>
            <w:r>
              <w:rPr>
                <w:rFonts w:ascii="Georgia" w:cs="Georgia" w:eastAsia="Georgia" w:hAnsi="Georgia"/>
                <w:sz w:val="20"/>
                <w:szCs w:val="20"/>
              </w:rPr>
              <w:t xml:space="preserve">a) Certificado en vigor expedido por entidad de certificación acreditada.</w:t>
            </w:r>
          </w:p>
          <w:p>
            <w:pPr>
              <w:spacing w:after="100" w:line="264"/>
            </w:pPr>
            <w:r>
              <w:rPr>
                <w:rFonts w:ascii="Georgia" w:cs="Georgia" w:eastAsia="Georgia" w:hAnsi="Georgia"/>
                <w:sz w:val="20"/>
                <w:szCs w:val="20"/>
              </w:rPr>
              <w:t xml:space="preserve">b) Certificado equivalente expedido por organismo establecido en cualquier Estado miembro de la Unión Europea.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Otras pruebas de medidas equivalentes de garantía de la calidad</w:t>
            </w:r>
            <w:r>
              <w:rPr>
                <w:rFonts w:ascii="Georgia" w:cs="Georgia" w:eastAsia="Georgia" w:hAnsi="Georgia"/>
                <w:sz w:val="20"/>
                <w:szCs w:val="20"/>
              </w:rPr>
              <w:t xml:space="preserve">, conforme al artículo 93.2 de la Ley 9/2017, de Contratos del Sector Público. A estos efectos se admitirán, y bastarán, los siguientes documentos referidos a la organización del licitador y en vigor a la fecha final de presentación de ofertas: (i) política de gestión de la inteligencia artificial aprobada por el órgano de dirección; (ii) procedimiento documentado de identificación, análisis y tratamiento de los riesgos de los sistemas de inteligencia artificial; (iii) procedimiento documentado de supervisión humana, con identificación de los puestos que la ejercen; (iv) registro de incidencias y de cambios de modelo o de versión; (v) informe de la última revisión interna o externa del sistema de gestión, de antigüedad no superior a [X; se recomienda 24] meses.</w:t>
            </w:r>
          </w:p>
          <w:p>
            <w:pPr>
              <w:pStyle w:val="ListParagraph"/>
              <w:numPr>
                <w:ilvl w:val="0"/>
                <w:numId w:val="2"/>
              </w:numPr>
              <w:spacing w:after="60" w:line="264"/>
            </w:pPr>
            <w:r>
              <w:rPr>
                <w:rFonts w:ascii="Georgia" w:cs="Georgia" w:eastAsia="Georgia" w:hAnsi="Georgia"/>
                <w:sz w:val="20"/>
                <w:szCs w:val="20"/>
              </w:rPr>
              <w:t xml:space="preserve">La designación de la norma se entiende hecha a la </w:t>
            </w:r>
            <w:r>
              <w:rPr>
                <w:rFonts w:ascii="Georgia" w:cs="Georgia" w:eastAsia="Georgia" w:hAnsi="Georgia"/>
                <w:b/>
                <w:bCs/>
                <w:sz w:val="20"/>
                <w:szCs w:val="20"/>
              </w:rPr>
              <w:t xml:space="preserve">versión vigente a la fecha de publicación del anuncio de licitación</w:t>
            </w:r>
            <w:r>
              <w:rPr>
                <w:rFonts w:ascii="Georgia" w:cs="Georgia" w:eastAsia="Georgia" w:hAnsi="Georgia"/>
                <w:sz w:val="20"/>
                <w:szCs w:val="20"/>
              </w:rPr>
              <w:t xml:space="preserve">. La publicación posterior de una revisión, o su sustitución por otra norma, no modificará el contenido de esta exigencia ni el alcance de las obligaciones asumidas por el adjudicatario.</w:t>
            </w:r>
          </w:p>
          <w:p>
            <w:pPr>
              <w:pStyle w:val="ListParagraph"/>
              <w:numPr>
                <w:ilvl w:val="0"/>
                <w:numId w:val="2"/>
              </w:numPr>
              <w:spacing w:after="60" w:line="264"/>
            </w:pPr>
            <w:r>
              <w:rPr>
                <w:rFonts w:ascii="Georgia" w:cs="Georgia" w:eastAsia="Georgia" w:hAnsi="Georgia"/>
                <w:sz w:val="20"/>
                <w:szCs w:val="20"/>
              </w:rPr>
              <w:t xml:space="preserve">El cumplimiento de este requisito no se valora en la adjudicación.</w:t>
            </w:r>
          </w:p>
        </w:tc>
      </w:tr>
    </w:tbl>
    <w:p>
      <w:pPr>
        <w:spacing w:after="220"/>
      </w:pPr>
    </w:p>
    <w:p>
      <w:pPr>
        <w:spacing w:after="140" w:line="276"/>
      </w:pPr>
      <w:r>
        <w:rPr>
          <w:rFonts w:ascii="Calibri" w:cs="Calibri" w:eastAsia="Calibri" w:hAnsi="Calibri"/>
          <w:b/>
          <w:bCs/>
          <w:sz w:val="21"/>
          <w:szCs w:val="21"/>
        </w:rPr>
        <w:t xml:space="preserve">Modalidad B — Condición especial de ejecución.</w:t>
      </w:r>
      <w:r>
        <w:rPr>
          <w:rFonts w:ascii="Calibri" w:cs="Calibri" w:eastAsia="Calibri" w:hAnsi="Calibri"/>
          <w:sz w:val="21"/>
          <w:szCs w:val="21"/>
        </w:rPr>
        <w:t xml:space="preserve"> Modalidad recomendada. Aplicable a cualquier contrato, sujeto o no a regulación armonizada, en cuya ejecución intervengan sistemas de inteligencia artificial sobre datos o procesos municipales.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Sistema de gestión de la inteligencia artificial aplicado a la solución contratada.</w:t>
            </w:r>
          </w:p>
          <w:p>
            <w:pPr>
              <w:pStyle w:val="ListParagraph"/>
              <w:numPr>
                <w:ilvl w:val="0"/>
                <w:numId w:val="2"/>
              </w:numPr>
              <w:spacing w:after="60" w:line="264"/>
            </w:pPr>
            <w:r>
              <w:rPr>
                <w:rFonts w:ascii="Georgia" w:cs="Georgia" w:eastAsia="Georgia" w:hAnsi="Georgia"/>
                <w:b/>
                <w:bCs/>
                <w:sz w:val="20"/>
                <w:szCs w:val="20"/>
              </w:rPr>
              <w:t xml:space="preserve">Objeto.</w:t>
            </w:r>
            <w:r>
              <w:rPr>
                <w:rFonts w:ascii="Georgia" w:cs="Georgia" w:eastAsia="Georgia" w:hAnsi="Georgia"/>
                <w:sz w:val="20"/>
                <w:szCs w:val="20"/>
              </w:rPr>
              <w:t xml:space="preserve"> Durante toda la ejecución del contrato y de sus prórrogas, el contratista aplicará </w:t>
            </w:r>
            <w:r>
              <w:rPr>
                <w:rFonts w:ascii="Georgia" w:cs="Georgia" w:eastAsia="Georgia" w:hAnsi="Georgia"/>
                <w:b/>
                <w:bCs/>
                <w:sz w:val="20"/>
                <w:szCs w:val="20"/>
              </w:rPr>
              <w:t xml:space="preserve">a la solución objeto de este contrato y al equipo adscrito a su ejecución</w:t>
            </w:r>
            <w:r>
              <w:rPr>
                <w:rFonts w:ascii="Georgia" w:cs="Georgia" w:eastAsia="Georgia" w:hAnsi="Georgia"/>
                <w:sz w:val="20"/>
                <w:szCs w:val="20"/>
              </w:rPr>
              <w:t xml:space="preserve"> un sistema de gestión de la inteligencia artificial que comprenda, como mínimo:</w:t>
            </w:r>
          </w:p>
          <w:p>
            <w:pPr>
              <w:spacing w:after="100" w:line="264"/>
            </w:pPr>
            <w:r>
              <w:rPr>
                <w:rFonts w:ascii="Georgia" w:cs="Georgia" w:eastAsia="Georgia" w:hAnsi="Georgia"/>
                <w:sz w:val="20"/>
                <w:szCs w:val="20"/>
              </w:rPr>
              <w:t xml:space="preserve">a) Inventario, actualizado y a disposición del responsable del contrato, de los sistemas de inteligencia artificial que intervienen en la prestación, con indicación de proveedor, finalidad y datos municipales tratados.</w:t>
            </w:r>
          </w:p>
          <w:p>
            <w:pPr>
              <w:spacing w:after="100" w:line="264"/>
            </w:pPr>
            <w:r>
              <w:rPr>
                <w:rFonts w:ascii="Georgia" w:cs="Georgia" w:eastAsia="Georgia" w:hAnsi="Georgia"/>
                <w:sz w:val="20"/>
                <w:szCs w:val="20"/>
              </w:rPr>
              <w:t xml:space="preserve">b) Análisis documentado de los riesgos de esos sistemas referido a los datos y procesos municipales de este contrato, y medidas de tratamiento adoptadas.</w:t>
            </w:r>
          </w:p>
          <w:p>
            <w:pPr>
              <w:spacing w:after="100" w:line="264"/>
            </w:pPr>
            <w:r>
              <w:rPr>
                <w:rFonts w:ascii="Georgia" w:cs="Georgia" w:eastAsia="Georgia" w:hAnsi="Georgia"/>
                <w:sz w:val="20"/>
                <w:szCs w:val="20"/>
              </w:rPr>
              <w:t xml:space="preserve">c) Identificación de las operaciones sujetas a supervisión humana y de los perfiles que la ejercen, con la formación acreditada de las personas que operan los sistemas.</w:t>
            </w:r>
          </w:p>
          <w:p>
            <w:pPr>
              <w:spacing w:after="100" w:line="264"/>
            </w:pPr>
            <w:r>
              <w:rPr>
                <w:rFonts w:ascii="Georgia" w:cs="Georgia" w:eastAsia="Georgia" w:hAnsi="Georgia"/>
                <w:sz w:val="20"/>
                <w:szCs w:val="20"/>
              </w:rPr>
              <w:t xml:space="preserve">d) Registro de incidencias, de cambios de modelo y de cambios de versión que afecten a la prestación, con comunicación al responsable del contrato de los que alteren el comportamiento funcional.</w:t>
            </w:r>
          </w:p>
          <w:p>
            <w:pPr>
              <w:spacing w:after="100" w:line="264"/>
            </w:pPr>
            <w:r>
              <w:rPr>
                <w:rFonts w:ascii="Georgia" w:cs="Georgia" w:eastAsia="Georgia" w:hAnsi="Georgia"/>
                <w:sz w:val="20"/>
                <w:szCs w:val="20"/>
              </w:rPr>
              <w:t xml:space="preserve">e) Revisión documentada, al menos anual, del funcionamiento de las letras anteriores.</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se acredita, a elección del contratista, mediante: (i) certificado en vigor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 prestación objeto de este contrato, o certificado equivalente, o (ii) la documentación descrita en el apartado 1, mantenida actualizada y puesta a disposición del responsable del contrato en el plazo de [X; se recomienda 10] días hábiles desde su requerimiento.</w:t>
            </w:r>
          </w:p>
          <w:p>
            <w:pPr>
              <w:pStyle w:val="ListParagraph"/>
              <w:numPr>
                <w:ilvl w:val="0"/>
                <w:numId w:val="2"/>
              </w:numPr>
              <w:spacing w:after="60" w:line="264"/>
            </w:pPr>
            <w:r>
              <w:rPr>
                <w:rFonts w:ascii="Georgia" w:cs="Georgia" w:eastAsia="Georgia" w:hAnsi="Georgia"/>
                <w:b/>
                <w:bCs/>
                <w:sz w:val="20"/>
                <w:szCs w:val="20"/>
              </w:rPr>
              <w:t xml:space="preserve">Plazo.</w:t>
            </w:r>
            <w:r>
              <w:rPr>
                <w:rFonts w:ascii="Georgia" w:cs="Georgia" w:eastAsia="Georgia" w:hAnsi="Georgia"/>
                <w:sz w:val="20"/>
                <w:szCs w:val="20"/>
              </w:rPr>
              <w:t xml:space="preserve"> [Sólo si el pliego exige certificación:] El contratista dispondrá de [X; se recomienda 12] meses desde la formalización del contrato para obtener la certificación indicada en el apartado 2.(i). Hasta entonces, y en caso de no obtenerla, el cumplimiento se acredita por la vía del apartado 2.(ii), sin que ello constituya incumplimiento. </w:t>
            </w:r>
            <w:r>
              <w:rPr>
                <w:rFonts w:ascii="Georgia" w:cs="Georgia" w:eastAsia="Georgia" w:hAnsi="Georgia"/>
                <w:b/>
                <w:bCs/>
                <w:sz w:val="20"/>
                <w:szCs w:val="20"/>
              </w:rPr>
              <w:t xml:space="preserve">Las penalidades previstas en este pliego operan sobre la falta de acreditación por cualquiera de las dos vías del apartado 2, nunca sobre la pérdida del certificado en sí.</w:t>
            </w:r>
          </w:p>
          <w:p>
            <w:pPr>
              <w:pStyle w:val="ListParagraph"/>
              <w:numPr>
                <w:ilvl w:val="0"/>
                <w:numId w:val="2"/>
              </w:numPr>
              <w:spacing w:after="60" w:line="264"/>
            </w:pPr>
            <w:r>
              <w:rPr>
                <w:rFonts w:ascii="Georgia" w:cs="Georgia" w:eastAsia="Georgia" w:hAnsi="Georgia"/>
                <w:b/>
                <w:bCs/>
                <w:sz w:val="20"/>
                <w:szCs w:val="20"/>
              </w:rPr>
              <w:t xml:space="preserve">No exigencia previa.</w:t>
            </w:r>
            <w:r>
              <w:rPr>
                <w:rFonts w:ascii="Georgia" w:cs="Georgia" w:eastAsia="Georgia" w:hAnsi="Georgia"/>
                <w:sz w:val="20"/>
                <w:szCs w:val="20"/>
              </w:rPr>
              <w:t xml:space="preserve"> No se exige disponer de certificación alguna a la fecha de presentación de ofertas, ni se valora su tenencia en la adjudicación.</w:t>
            </w:r>
          </w:p>
          <w:p>
            <w:pPr>
              <w:pStyle w:val="ListParagraph"/>
              <w:numPr>
                <w:ilvl w:val="0"/>
                <w:numId w:val="2"/>
              </w:numPr>
              <w:spacing w:after="60" w:line="264"/>
            </w:pPr>
            <w:r>
              <w:rPr>
                <w:rFonts w:ascii="Georgia" w:cs="Georgia" w:eastAsia="Georgia" w:hAnsi="Georgia"/>
                <w:b/>
                <w:bCs/>
                <w:sz w:val="20"/>
                <w:szCs w:val="20"/>
              </w:rPr>
              <w:t xml:space="preserve">Referencia estática.</w:t>
            </w:r>
            <w:r>
              <w:rPr>
                <w:rFonts w:ascii="Georgia" w:cs="Georgia" w:eastAsia="Georgia" w:hAnsi="Georgia"/>
                <w:sz w:val="20"/>
                <w:szCs w:val="20"/>
              </w:rPr>
              <w:t xml:space="preserve"> La designación de la norma se entiende hecha a la versión vigente a la fecha de publicación del anuncio de licitación. La publicación posterior de una revisión, o su sustitución por otra norma, no modificará el contenido de esta obligación. El contratista podrá acogerse voluntariamente a la versión posterior.</w:t>
            </w:r>
          </w:p>
          <w:p>
            <w:pPr>
              <w:pStyle w:val="ListParagraph"/>
              <w:numPr>
                <w:ilvl w:val="0"/>
                <w:numId w:val="2"/>
              </w:numPr>
              <w:spacing w:after="60" w:line="264"/>
            </w:pPr>
            <w:r>
              <w:rPr>
                <w:rFonts w:ascii="Georgia" w:cs="Georgia" w:eastAsia="Georgia" w:hAnsi="Georgia"/>
                <w:b/>
                <w:bCs/>
                <w:sz w:val="20"/>
                <w:szCs w:val="20"/>
              </w:rPr>
              <w:t xml:space="preserve">Naturaleza.</w:t>
            </w:r>
            <w:r>
              <w:rPr>
                <w:rFonts w:ascii="Georgia" w:cs="Georgia" w:eastAsia="Georgia" w:hAnsi="Georgia"/>
                <w:sz w:val="20"/>
                <w:szCs w:val="20"/>
              </w:rPr>
              <w:t xml:space="preserve"> Esta condición especial de ejecución se establece al amparo de los artículos 202.1 y 202.2 de la Ley 9/2017, está vinculada al objeto del contrato en el sentido del artículo 145.6 de la misma ley y se ejecuta durante el cumplimiento de la prestación contratada. Su incumplimiento dará lugar a las penalidades de la cláusula de penalidades de este pliego. </w:t>
            </w:r>
            <w:r>
              <w:rPr>
                <w:rFonts w:ascii="Georgia" w:cs="Georgia" w:eastAsia="Georgia" w:hAnsi="Georgia"/>
                <w:b/>
                <w:bCs/>
                <w:sz w:val="20"/>
                <w:szCs w:val="20"/>
              </w:rPr>
              <w:t xml:space="preserve">No tiene carácter de obligación contractual esencial.</w:t>
            </w:r>
          </w:p>
        </w:tc>
      </w:tr>
    </w:tbl>
    <w:p>
      <w:pPr>
        <w:spacing w:after="220"/>
      </w:pPr>
    </w:p>
    <w:p>
      <w:pPr>
        <w:spacing w:after="140" w:line="276"/>
      </w:pPr>
      <w:r>
        <w:rPr>
          <w:rFonts w:ascii="Calibri" w:cs="Calibri" w:eastAsia="Calibri" w:hAnsi="Calibri"/>
          <w:b/>
          <w:bCs/>
          <w:sz w:val="21"/>
          <w:szCs w:val="21"/>
        </w:rPr>
        <w:t xml:space="preserve">Modalidad C — Otras certificaciones.</w:t>
      </w:r>
      <w:r>
        <w:rPr>
          <w:rFonts w:ascii="Calibri" w:cs="Calibri" w:eastAsia="Calibri" w:hAnsi="Calibri"/>
          <w:sz w:val="21"/>
          <w:szCs w:val="21"/>
        </w:rPr>
        <w:t xml:space="preserve"> Bloque complementario, se copia junto a la A o a la B cuando proceda.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Otras certificaciones y marcos aplicables.</w:t>
            </w:r>
          </w:p>
          <w:p>
            <w:pPr>
              <w:pStyle w:val="ListParagraph"/>
              <w:numPr>
                <w:ilvl w:val="0"/>
                <w:numId w:val="2"/>
              </w:numPr>
              <w:spacing w:after="60" w:line="264"/>
            </w:pPr>
            <w:r>
              <w:rPr>
                <w:rFonts w:ascii="Georgia" w:cs="Georgia" w:eastAsia="Georgia" w:hAnsi="Georgia"/>
                <w:b/>
                <w:bCs/>
                <w:sz w:val="20"/>
                <w:szCs w:val="20"/>
              </w:rPr>
              <w:t xml:space="preserve">Esquema Nacional de Seguridad.</w:t>
            </w:r>
            <w:r>
              <w:rPr>
                <w:rFonts w:ascii="Georgia" w:cs="Georgia" w:eastAsia="Georgia" w:hAnsi="Georgia"/>
                <w:sz w:val="20"/>
                <w:szCs w:val="20"/>
              </w:rPr>
              <w:t xml:space="preserve"> La conformidad con el Esquema Nacional de Seguridad se exige en los términos de la cláusula técnica correspondiente de este pliego, </w:t>
            </w:r>
            <w:r>
              <w:rPr>
                <w:rFonts w:ascii="Georgia" w:cs="Georgia" w:eastAsia="Georgia" w:hAnsi="Georgia"/>
                <w:b/>
                <w:bCs/>
                <w:sz w:val="20"/>
                <w:szCs w:val="20"/>
              </w:rPr>
              <w:t xml:space="preserve">en la categoría que resulte del anexo I del Real Decreto 311/2022</w:t>
            </w:r>
            <w:r>
              <w:rPr>
                <w:rFonts w:ascii="Georgia" w:cs="Georgia" w:eastAsia="Georgia" w:hAnsi="Georgia"/>
                <w:sz w:val="20"/>
                <w:szCs w:val="20"/>
              </w:rPr>
              <w:t xml:space="preserve"> para el sistema de información de que se trate, según conste determinada en el expediente. No se exige categoría alguna con carácter general ni por remisión a un nivel predeterminado.</w:t>
            </w:r>
          </w:p>
          <w:p>
            <w:pPr>
              <w:pStyle w:val="ListParagraph"/>
              <w:numPr>
                <w:ilvl w:val="0"/>
                <w:numId w:val="2"/>
              </w:numPr>
              <w:spacing w:after="60" w:line="264"/>
            </w:pPr>
            <w:r>
              <w:rPr>
                <w:rFonts w:ascii="Georgia" w:cs="Georgia" w:eastAsia="Georgia" w:hAnsi="Georgia"/>
                <w:b/>
                <w:bCs/>
                <w:sz w:val="20"/>
                <w:szCs w:val="20"/>
              </w:rPr>
              <w:t xml:space="preserve">Sistemas de gestión de la seguridad de la información y de la privacidad.</w:t>
            </w:r>
            <w:r>
              <w:rPr>
                <w:rFonts w:ascii="Georgia" w:cs="Georgia" w:eastAsia="Georgia" w:hAnsi="Georgia"/>
                <w:sz w:val="20"/>
                <w:szCs w:val="20"/>
              </w:rPr>
              <w:t xml:space="preserve"> [Sólo si el Informe de Necesidad lo motiva:] Se exige la aplicación de un sistema de gestión conforme a </w:t>
            </w:r>
            <w:r>
              <w:rPr>
                <w:rFonts w:ascii="Georgia" w:cs="Georgia" w:eastAsia="Georgia" w:hAnsi="Georgia"/>
                <w:b/>
                <w:bCs/>
                <w:sz w:val="20"/>
                <w:szCs w:val="20"/>
              </w:rPr>
              <w:t xml:space="preserve">UNE-EN ISO/IEC 27001:[año vigente]</w:t>
            </w:r>
            <w:r>
              <w:rPr>
                <w:rFonts w:ascii="Georgia" w:cs="Georgia" w:eastAsia="Georgia" w:hAnsi="Georgia"/>
                <w:sz w:val="20"/>
                <w:szCs w:val="20"/>
              </w:rPr>
              <w:t xml:space="preserve"> [y </w:t>
            </w:r>
            <w:r>
              <w:rPr>
                <w:rFonts w:ascii="Georgia" w:cs="Georgia" w:eastAsia="Georgia" w:hAnsi="Georgia"/>
                <w:b/>
                <w:bCs/>
                <w:sz w:val="20"/>
                <w:szCs w:val="20"/>
              </w:rPr>
              <w:t xml:space="preserve">UNE-EN ISO/IEC 27701:[año vigente]</w:t>
            </w:r>
            <w:r>
              <w:rPr>
                <w:rFonts w:ascii="Georgia" w:cs="Georgia" w:eastAsia="Georgia" w:hAnsi="Georgia"/>
                <w:sz w:val="20"/>
                <w:szCs w:val="20"/>
              </w:rPr>
              <w:t xml:space="preserve">], acreditada mediante certificado en vigor, certificado equivalente expedido por organismo de cualquier Estado miembro, u otras pruebas de medidas equivalentes conforme al artículo 93.2 de la Ley 9/2017. Se aplica a esta exigencia la regla de referencia estática del apartado anterior.</w:t>
            </w:r>
          </w:p>
          <w:p>
            <w:pPr>
              <w:pStyle w:val="ListParagraph"/>
              <w:numPr>
                <w:ilvl w:val="0"/>
                <w:numId w:val="2"/>
              </w:numPr>
              <w:spacing w:after="60" w:line="264"/>
            </w:pPr>
            <w:r>
              <w:rPr>
                <w:rFonts w:ascii="Georgia" w:cs="Georgia" w:eastAsia="Georgia" w:hAnsi="Georgia"/>
                <w:b/>
                <w:bCs/>
                <w:sz w:val="20"/>
                <w:szCs w:val="20"/>
              </w:rPr>
              <w:t xml:space="preserve">Servicios electrónicos de confianza.</w:t>
            </w:r>
            <w:r>
              <w:rPr>
                <w:rFonts w:ascii="Georgia" w:cs="Georgia" w:eastAsia="Georgia" w:hAnsi="Georgia"/>
                <w:sz w:val="20"/>
                <w:szCs w:val="20"/>
              </w:rPr>
              <w:t xml:space="preserve"> Cuando el objeto comprenda la prestación de servicios electrónicos de confianza, se exigirá la condición de prestador cualificado en los términos de la normativa europea de identificación electrónica y servicios de confianza.</w:t>
            </w:r>
          </w:p>
          <w:p>
            <w:pPr>
              <w:pStyle w:val="ListParagraph"/>
              <w:numPr>
                <w:ilvl w:val="0"/>
                <w:numId w:val="2"/>
              </w:numPr>
              <w:spacing w:after="60" w:line="264"/>
            </w:pPr>
            <w:r>
              <w:rPr>
                <w:rFonts w:ascii="Georgia" w:cs="Georgia" w:eastAsia="Georgia" w:hAnsi="Georgia"/>
                <w:b/>
                <w:bCs/>
                <w:sz w:val="20"/>
                <w:szCs w:val="20"/>
              </w:rPr>
              <w:t xml:space="preserve">Regla común.</w:t>
            </w:r>
            <w:r>
              <w:rPr>
                <w:rFonts w:ascii="Georgia" w:cs="Georgia" w:eastAsia="Georgia" w:hAnsi="Georgia"/>
                <w:sz w:val="20"/>
                <w:szCs w:val="20"/>
              </w:rPr>
              <w:t xml:space="preserve"> Ninguna de las certificaciones o marcos de este pliego se valora como criterio de adjudicación.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La </w:t>
      </w:r>
      <w:r>
        <w:rPr>
          <w:rFonts w:ascii="Calibri" w:cs="Calibri" w:eastAsia="Calibri" w:hAnsi="Calibri"/>
          <w:b/>
          <w:bCs/>
          <w:sz w:val="21"/>
          <w:szCs w:val="21"/>
        </w:rPr>
        <w:t xml:space="preserve">modalidad A</w:t>
      </w:r>
      <w:r>
        <w:rPr>
          <w:rFonts w:ascii="Calibri" w:cs="Calibri" w:eastAsia="Calibri" w:hAnsi="Calibri"/>
          <w:sz w:val="21"/>
          <w:szCs w:val="21"/>
        </w:rPr>
        <w:t xml:space="preserve">, en el cuadro de características, apartado de solvencia técnica o profesional, y en la cláusula de acreditación de la solvencia. La </w:t>
      </w:r>
      <w:r>
        <w:rPr>
          <w:rFonts w:ascii="Calibri" w:cs="Calibri" w:eastAsia="Calibri" w:hAnsi="Calibri"/>
          <w:b/>
          <w:bCs/>
          <w:sz w:val="21"/>
          <w:szCs w:val="21"/>
        </w:rPr>
        <w:t xml:space="preserve">modalidad B</w:t>
      </w:r>
      <w:r>
        <w:rPr>
          <w:rFonts w:ascii="Calibri" w:cs="Calibri" w:eastAsia="Calibri" w:hAnsi="Calibri"/>
          <w:sz w:val="21"/>
          <w:szCs w:val="21"/>
        </w:rPr>
        <w:t xml:space="preserve">, en la cláusula de condiciones especiales de ejecución, </w:t>
      </w:r>
      <w:r>
        <w:rPr>
          <w:rFonts w:ascii="Calibri" w:cs="Calibri" w:eastAsia="Calibri" w:hAnsi="Calibri"/>
          <w:b/>
          <w:bCs/>
          <w:sz w:val="21"/>
          <w:szCs w:val="21"/>
        </w:rPr>
        <w:t xml:space="preserve">y además en el anuncio de licitación</w:t>
      </w:r>
      <w:r>
        <w:rPr>
          <w:rFonts w:ascii="Calibri" w:cs="Calibri" w:eastAsia="Calibri" w:hAnsi="Calibri"/>
          <w:sz w:val="21"/>
          <w:szCs w:val="21"/>
        </w:rPr>
        <w:t xml:space="preserve">: el artículo 202.1 LCSP exige que las condiciones especiales se indiquen en el anuncio y en los pliegos, y su omisión en el anuncio es un defecto que no se subsana después. La </w:t>
      </w:r>
      <w:r>
        <w:rPr>
          <w:rFonts w:ascii="Calibri" w:cs="Calibri" w:eastAsia="Calibri" w:hAnsi="Calibri"/>
          <w:b/>
          <w:bCs/>
          <w:sz w:val="21"/>
          <w:szCs w:val="21"/>
        </w:rPr>
        <w:t xml:space="preserve">modalidad C</w:t>
      </w:r>
      <w:r>
        <w:rPr>
          <w:rFonts w:ascii="Calibri" w:cs="Calibri" w:eastAsia="Calibri" w:hAnsi="Calibri"/>
          <w:sz w:val="21"/>
          <w:szCs w:val="21"/>
        </w:rPr>
        <w:t xml:space="preserve">, en la cláusula de obligaciones del contratista, con remisión cruzada a la cláusula técnica de seguridad (DT-6·v3).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no es «tener una empresa certificada». Es que </w:t>
      </w:r>
      <w:r>
        <w:rPr>
          <w:rFonts w:ascii="Calibri" w:cs="Calibri" w:eastAsia="Calibri" w:hAnsi="Calibri"/>
          <w:b/>
          <w:bCs/>
          <w:sz w:val="21"/>
          <w:szCs w:val="21"/>
        </w:rPr>
        <w:t xml:space="preserve">el Ayuntamiento, como responsable del despliegue de sistemas de inteligencia artificial sobre datos municipales, pueda acreditar cómo se gobiernan esos sistemas</w:t>
      </w:r>
      <w:r>
        <w:rPr>
          <w:rFonts w:ascii="Calibri" w:cs="Calibri" w:eastAsia="Calibri" w:hAnsi="Calibri"/>
          <w:sz w:val="21"/>
          <w:szCs w:val="21"/>
        </w:rPr>
        <w:t xml:space="preserve"> —quién los inventaría, quién analiza sus riesgos, quién supervisa sus decisiones y quién registra sus incidencias— y que esa capacidad esté disponible en el contrato, no en un folleto.</w:t>
      </w:r>
    </w:p>
    <w:p>
      <w:pPr>
        <w:pStyle w:val="ListParagraph"/>
        <w:numPr>
          <w:ilvl w:val="0"/>
          <w:numId w:val="1"/>
        </w:numPr>
        <w:spacing w:after="70" w:line="268"/>
      </w:pPr>
      <w:r>
        <w:rPr>
          <w:rFonts w:ascii="Calibri" w:cs="Calibri" w:eastAsia="Calibri" w:hAnsi="Calibri"/>
          <w:b/>
          <w:bCs/>
          <w:sz w:val="21"/>
          <w:szCs w:val="21"/>
        </w:rPr>
        <w:t xml:space="preserve">Artículo 4 del Reglamento (UE) 2024/1689, en su redacción vigente</w:t>
      </w:r>
      <w:r>
        <w:rPr>
          <w:rFonts w:ascii="Calibri" w:cs="Calibri" w:eastAsia="Calibri" w:hAnsi="Calibri"/>
          <w:sz w:val="21"/>
          <w:szCs w:val="21"/>
        </w:rPr>
        <w:t xml:space="preserve">: proveedores y responsables del despliegue «adoptarán medidas para apoyar la promoción de la alfabetización en materia de IA de su personal y demás personas que se encarguen en su nombre del funcionamiento y la utilización de sistemas de IA». El propio precepto advierte que esta obligación «no exige que los proveedores o los responsables del despliegue garanticen un nivel específico de alfabetización en materia de IA de ninguna persona en particular»: por tanto el pliego no puede presentar un nivel concreto de formación como obligación legal, pero sí puede establecerlo como obligación contractual, que es lo que hace la letra c) del apartado 1 de la modalidad B.</w:t>
      </w:r>
    </w:p>
    <w:p>
      <w:pPr>
        <w:pStyle w:val="ListParagraph"/>
        <w:numPr>
          <w:ilvl w:val="0"/>
          <w:numId w:val="1"/>
        </w:numPr>
        <w:spacing w:after="70" w:line="268"/>
      </w:pPr>
      <w:r>
        <w:rPr>
          <w:rFonts w:ascii="Calibri" w:cs="Calibri" w:eastAsia="Calibri" w:hAnsi="Calibri"/>
          <w:b/>
          <w:bCs/>
          <w:sz w:val="21"/>
          <w:szCs w:val="21"/>
        </w:rPr>
        <w:t xml:space="preserve">Artículo 93.1 y 93.2 LCSP</w:t>
      </w:r>
      <w:r>
        <w:rPr>
          <w:rFonts w:ascii="Calibri" w:cs="Calibri" w:eastAsia="Calibri" w:hAnsi="Calibri"/>
          <w:sz w:val="21"/>
          <w:szCs w:val="21"/>
        </w:rPr>
        <w:t xml:space="preserve">: habilita la exigencia de certificados de sistemas de gestión de la calidad en los contratos sujetos a regulación armonizada y obliga, en todo caso, a reconocer certificados equivalentes «y también [a aceptar] otras pruebas de medidas equivalentes de garantía de la calidad que presenten los empresarios».</w:t>
      </w:r>
    </w:p>
    <w:p>
      <w:pPr>
        <w:pStyle w:val="ListParagraph"/>
        <w:numPr>
          <w:ilvl w:val="0"/>
          <w:numId w:val="1"/>
        </w:numPr>
        <w:spacing w:after="70" w:line="268"/>
      </w:pPr>
      <w:r>
        <w:rPr>
          <w:rFonts w:ascii="Calibri" w:cs="Calibri" w:eastAsia="Calibri" w:hAnsi="Calibri"/>
          <w:b/>
          <w:bCs/>
          <w:sz w:val="21"/>
          <w:szCs w:val="21"/>
        </w:rPr>
        <w:t xml:space="preserve">Artículos 202.1 y 202.2 LCSP</w:t>
      </w:r>
      <w:r>
        <w:rPr>
          <w:rFonts w:ascii="Calibri" w:cs="Calibri" w:eastAsia="Calibri" w:hAnsi="Calibri"/>
          <w:sz w:val="21"/>
          <w:szCs w:val="21"/>
        </w:rPr>
        <w:t xml:space="preserve">: las condiciones especiales de ejecución pueden referirse «en especial» a consideraciones «relacionadas con la innovación».</w:t>
      </w:r>
    </w:p>
    <w:p>
      <w:pPr>
        <w:pStyle w:val="ListParagraph"/>
        <w:numPr>
          <w:ilvl w:val="0"/>
          <w:numId w:val="1"/>
        </w:numPr>
        <w:spacing w:after="70" w:line="268"/>
      </w:pPr>
      <w:r>
        <w:rPr>
          <w:rFonts w:ascii="Calibri" w:cs="Calibri" w:eastAsia="Calibri" w:hAnsi="Calibri"/>
          <w:b/>
          <w:bCs/>
          <w:sz w:val="21"/>
          <w:szCs w:val="21"/>
        </w:rPr>
        <w:t xml:space="preserve">Artículo 2.3 del Real Decreto 311/2022</w:t>
      </w:r>
      <w:r>
        <w:rPr>
          <w:rFonts w:ascii="Calibri" w:cs="Calibri" w:eastAsia="Calibri" w:hAnsi="Calibri"/>
          <w:sz w:val="21"/>
          <w:szCs w:val="21"/>
        </w:rPr>
        <w:t xml:space="preserve">, para el bloque de seguridad de la modalidad C: los pliegos «contemplarán todos aquellos requisitos necesarios para asegurar la conformidad con el ENS de los sistemas de información en los que se sustenten los servicios prestados por los contratistas», y la cautela se extiende a la cadena de suministro.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Modalidad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aporta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oferta, o al ser requerido como propuesto adjudicatario según el sistema que elija 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 certificado equivalente de otro Estado miembro · los cinco documentos del apartado 2.c)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Licitador; en su caso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Durante la ejecución, a requerimiento del responsable del contrato, y en todo caso 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o los cinco elementos del apartado 1 del bloque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del inicio de la prestación y en cada renovación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conformidad con el ENS (categorías MEDIA y ALTA) o declaración de conformidad por autoevaluación (categoría BÁSICA), conforme al artículo 38.1 del RD 311/2022; certificados 27001/27701 o pruebas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bl>
    <w:p>
      <w:pPr>
        <w:spacing w:after="200"/>
      </w:pPr>
    </w:p>
    <w:p>
      <w:pPr>
        <w:spacing w:after="140" w:line="276"/>
      </w:pPr>
      <w:r>
        <w:rPr>
          <w:rFonts w:ascii="Calibri" w:cs="Calibri" w:eastAsia="Calibri" w:hAnsi="Calibri"/>
          <w:sz w:val="21"/>
          <w:szCs w:val="21"/>
        </w:rPr>
        <w:t xml:space="preserve">Regla común de acreditación: </w:t>
      </w:r>
      <w:r>
        <w:rPr>
          <w:rFonts w:ascii="Calibri" w:cs="Calibri" w:eastAsia="Calibri" w:hAnsi="Calibri"/>
          <w:b/>
          <w:bCs/>
          <w:sz w:val="21"/>
          <w:szCs w:val="21"/>
        </w:rPr>
        <w:t xml:space="preserve">la carga de probar la equivalencia corresponde a quien la invoca, y su apreciación corresponde al órgano de contratación</w:t>
      </w:r>
      <w:r>
        <w:rPr>
          <w:rFonts w:ascii="Calibri" w:cs="Calibri" w:eastAsia="Calibri" w:hAnsi="Calibri"/>
          <w:sz w:val="21"/>
          <w:szCs w:val="21"/>
        </w:rPr>
        <w:t xml:space="preserve">, que debe motivarla por escrito. Es la doctrina general que, trasladada por analogía, se extrae de la Resolución 535/2025, de 18 de diciembre de 2025, del TACP de la Comunidad de Madrid (recurso 526/2025, SOPRA STERIA c. Agencia de Ciberseguridad de la Comunidad de Madrid; </w:t>
      </w:r>
      <w:hyperlink w:history="1" r:id="rId4_hboqlqaksyldbtjfx5f">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w:t>
      </w:r>
      <w:r>
        <w:rPr>
          <w:rFonts w:ascii="Calibri" w:cs="Calibri" w:eastAsia="Calibri" w:hAnsi="Calibri"/>
          <w:b/>
          <w:bCs/>
          <w:sz w:val="21"/>
          <w:szCs w:val="21"/>
        </w:rPr>
        <w:t xml:space="preserve">Es una resolución desestimatoria y resuelve por discrecionalidad técnica</w:t>
      </w:r>
      <w:r>
        <w:rPr>
          <w:rFonts w:ascii="Calibri" w:cs="Calibri" w:eastAsia="Calibri" w:hAnsi="Calibri"/>
          <w:sz w:val="21"/>
          <w:szCs w:val="21"/>
        </w:rPr>
        <w:t xml:space="preserve">: no convalida ninguna redacción, y no se cita aquí para eso.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certificado o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al mes [12; se recomienda 12] si hay compromiso de obtención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incorporada al expediente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inventario de sistemas de IA y del registro de incidencias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apoyo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en cada cambio comunicado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en el acta de la Comisión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Formación acreditada del personal que opera los sistemas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nominal aportada por 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w:t>
            </w:r>
          </w:p>
        </w:tc>
      </w:tr>
    </w:tbl>
    <w:p>
      <w:pPr>
        <w:spacing w:after="200"/>
      </w:pPr>
    </w:p>
    <w:p>
      <w:pPr>
        <w:spacing w:after="140" w:line="276"/>
      </w:pPr>
      <w:r>
        <w:rPr>
          <w:rFonts w:ascii="Calibri" w:cs="Calibri" w:eastAsia="Calibri" w:hAnsi="Calibri"/>
          <w:b/>
          <w:bCs/>
          <w:sz w:val="21"/>
          <w:szCs w:val="21"/>
        </w:rPr>
        <w:t xml:space="preserve">Carga estimada: 3,5 horas por contrato y año</w:t>
      </w:r>
      <w:r>
        <w:rPr>
          <w:rFonts w:ascii="Calibri" w:cs="Calibri" w:eastAsia="Calibri" w:hAnsi="Calibri"/>
          <w:sz w:val="21"/>
          <w:szCs w:val="21"/>
        </w:rPr>
        <w:t xml:space="preserve"> (4,5 en el primer año si hay compromiso de obtención de certificación). Es una estimación propia de este catálogo, no una medición; cada Ayuntamiento debe ajustarla y consignarla en la Ficha del Anexo II.</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Modalidad A: no es obligación de ejecución. Su falta a la fecha de presentación de ofertas determina la exclusión por falta de solvencia, resuelta en el momento de la calificación de la documentación, nunca después.</w:t>
      </w:r>
    </w:p>
    <w:p>
      <w:pPr>
        <w:pStyle w:val="ListParagraph"/>
        <w:numPr>
          <w:ilvl w:val="0"/>
          <w:numId w:val="1"/>
        </w:numPr>
        <w:spacing w:after="70" w:line="268"/>
      </w:pPr>
      <w:r>
        <w:rPr>
          <w:rFonts w:ascii="Calibri" w:cs="Calibri" w:eastAsia="Calibri" w:hAnsi="Calibri"/>
          <w:sz w:val="21"/>
          <w:szCs w:val="21"/>
        </w:rPr>
        <w:t xml:space="preserve">Modalidad B: penalidad </w:t>
      </w:r>
      <w:r>
        <w:rPr>
          <w:rFonts w:ascii="Calibri" w:cs="Calibri" w:eastAsia="Calibri" w:hAnsi="Calibri"/>
          <w:b/>
          <w:bCs/>
          <w:sz w:val="21"/>
          <w:szCs w:val="21"/>
        </w:rPr>
        <w:t xml:space="preserve">leve</w:t>
      </w:r>
      <w:r>
        <w:rPr>
          <w:rFonts w:ascii="Calibri" w:cs="Calibri" w:eastAsia="Calibri" w:hAnsi="Calibri"/>
          <w:sz w:val="21"/>
          <w:szCs w:val="21"/>
        </w:rPr>
        <w:t xml:space="preserve"> por falta de remisión de la documentación en plazo (tipo L3 de ADM-5·v3); penalidad </w:t>
      </w:r>
      <w:r>
        <w:rPr>
          <w:rFonts w:ascii="Calibri" w:cs="Calibri" w:eastAsia="Calibri" w:hAnsi="Calibri"/>
          <w:b/>
          <w:bCs/>
          <w:sz w:val="21"/>
          <w:szCs w:val="21"/>
        </w:rPr>
        <w:t xml:space="preserve">grave</w:t>
      </w:r>
      <w:r>
        <w:rPr>
          <w:rFonts w:ascii="Calibri" w:cs="Calibri" w:eastAsia="Calibri" w:hAnsi="Calibri"/>
          <w:sz w:val="21"/>
          <w:szCs w:val="21"/>
        </w:rPr>
        <w:t xml:space="preserve"> por pérdida de la certificación exigida cuando el contratista no acredite el cumplimiento por la vía documental del apartado 2.(ii), subsanada en [X; se recomienda 3] meses (tipo G8); penalidad </w:t>
      </w:r>
      <w:r>
        <w:rPr>
          <w:rFonts w:ascii="Calibri" w:cs="Calibri" w:eastAsia="Calibri" w:hAnsi="Calibri"/>
          <w:b/>
          <w:bCs/>
          <w:sz w:val="21"/>
          <w:szCs w:val="21"/>
        </w:rPr>
        <w:t xml:space="preserve">muy grave</w:t>
      </w:r>
      <w:r>
        <w:rPr>
          <w:rFonts w:ascii="Calibri" w:cs="Calibri" w:eastAsia="Calibri" w:hAnsi="Calibri"/>
          <w:sz w:val="21"/>
          <w:szCs w:val="21"/>
        </w:rPr>
        <w:t xml:space="preserve"> por falta de acreditación por cualquiera de las dos vías del apartado 2, no subsanada en ese plazo (tipo M7). </w:t>
      </w:r>
      <w:r>
        <w:rPr>
          <w:rFonts w:ascii="Calibri" w:cs="Calibri" w:eastAsia="Calibri" w:hAnsi="Calibri"/>
          <w:b/>
          <w:bCs/>
          <w:sz w:val="21"/>
          <w:szCs w:val="21"/>
        </w:rPr>
        <w:t xml:space="preserve">La pérdida del certificado, por sí sola, no es sancionable</w:t>
      </w:r>
      <w:r>
        <w:rPr>
          <w:rFonts w:ascii="Calibri" w:cs="Calibri" w:eastAsia="Calibri" w:hAnsi="Calibri"/>
          <w:sz w:val="21"/>
          <w:szCs w:val="21"/>
        </w:rPr>
        <w:t xml:space="preserve">: mientras el contratista mantenga la documentación del apartado 1 a disposición del responsable del contrato, el requisito está acreditado.</w:t>
      </w:r>
    </w:p>
    <w:p>
      <w:pPr>
        <w:pStyle w:val="ListParagraph"/>
        <w:numPr>
          <w:ilvl w:val="0"/>
          <w:numId w:val="1"/>
        </w:numPr>
        <w:spacing w:after="70" w:line="268"/>
      </w:pPr>
      <w:r>
        <w:rPr>
          <w:rFonts w:ascii="Calibri" w:cs="Calibri" w:eastAsia="Calibri" w:hAnsi="Calibri"/>
          <w:sz w:val="21"/>
          <w:szCs w:val="21"/>
        </w:rPr>
        <w:t xml:space="preserve">Modalidad C: mismo régimen, más el específico de la cláusula técnica de seguridad.</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 en la modalidad A ni en la B ni en la C. Resolver un contrato porque el contratista perdió una certificación de sistema de gestión, sin más, es desproporcionado y convierte la cláusula en munición contra el pliego.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w:t>
      </w:r>
      <w:r>
        <w:rPr>
          <w:rFonts w:ascii="Calibri" w:cs="Calibri" w:eastAsia="Calibri" w:hAnsi="Calibri"/>
          <w:b/>
          <w:bCs/>
          <w:sz w:val="21"/>
          <w:szCs w:val="21"/>
        </w:rPr>
        <w:t xml:space="preserve">no intervienen sistemas de inteligencia artificial</w:t>
      </w:r>
      <w:r>
        <w:rPr>
          <w:rFonts w:ascii="Calibri" w:cs="Calibri" w:eastAsia="Calibri" w:hAnsi="Calibri"/>
          <w:sz w:val="21"/>
          <w:szCs w:val="21"/>
        </w:rPr>
        <w:t xml:space="preserve"> sobre datos o procesos municipales. Es el supuesto más frecuente: no se marca la casilla y no se escribe 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 de mercado</w:t>
      </w:r>
      <w:r>
        <w:rPr>
          <w:rFonts w:ascii="Calibri" w:cs="Calibri" w:eastAsia="Calibri" w:hAnsi="Calibri"/>
          <w:sz w:val="21"/>
          <w:szCs w:val="21"/>
        </w:rPr>
        <w:t xml:space="preserve"> sin desarrollo ni operación por el contratista, cuando el proveedor no trata datos municipales.</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no procede, porque no incorporan pliegos. Lo único que cabe en el encargo o en la aceptación de oferta de un contrato menor está enumerado, de forma cerrada y única para todo el catálogo, en la Parte V, §V.7.1.</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y adhesiones a sistemas de contratación centralizada</w:t>
      </w:r>
      <w:r>
        <w:rPr>
          <w:rFonts w:ascii="Calibri" w:cs="Calibri" w:eastAsia="Calibri" w:hAnsi="Calibri"/>
          <w:sz w:val="21"/>
          <w:szCs w:val="21"/>
        </w:rPr>
        <w:t xml:space="preserve">: no procede. Las condiciones son las del acuerdo marco o del sistema. La vía correcta es proponer la incorporación de esta cláusula al pliego del propio acuerdo marco cuando se licite.</w:t>
      </w:r>
    </w:p>
    <w:p>
      <w:pPr>
        <w:pStyle w:val="ListParagraph"/>
        <w:numPr>
          <w:ilvl w:val="0"/>
          <w:numId w:val="1"/>
        </w:numPr>
        <w:spacing w:after="70" w:line="268"/>
      </w:pPr>
      <w:r>
        <w:rPr>
          <w:rFonts w:ascii="Calibri" w:cs="Calibri" w:eastAsia="Calibri" w:hAnsi="Calibri"/>
          <w:b/>
          <w:bCs/>
          <w:sz w:val="21"/>
          <w:szCs w:val="21"/>
        </w:rPr>
        <w:t xml:space="preserve">Prórrogas de contratos en vigor</w:t>
      </w:r>
      <w:r>
        <w:rPr>
          <w:rFonts w:ascii="Calibri" w:cs="Calibri" w:eastAsia="Calibri" w:hAnsi="Calibri"/>
          <w:sz w:val="21"/>
          <w:szCs w:val="21"/>
        </w:rPr>
        <w:t xml:space="preserve">: no procede. La prórroga no permite introducir obligaciones nuevas. La vía es la licitación siguiente.</w:t>
      </w:r>
    </w:p>
    <w:p>
      <w:pPr>
        <w:pStyle w:val="ListParagraph"/>
        <w:numPr>
          <w:ilvl w:val="0"/>
          <w:numId w:val="1"/>
        </w:numPr>
        <w:spacing w:after="70" w:line="268"/>
      </w:pPr>
      <w:r>
        <w:rPr>
          <w:rFonts w:ascii="Calibri" w:cs="Calibri" w:eastAsia="Calibri" w:hAnsi="Calibri"/>
          <w:sz w:val="21"/>
          <w:szCs w:val="21"/>
        </w:rPr>
        <w:t xml:space="preserve">Modalidad A: no se usa nunca en contratos </w:t>
      </w:r>
      <w:r>
        <w:rPr>
          <w:rFonts w:ascii="Calibri" w:cs="Calibri" w:eastAsia="Calibri" w:hAnsi="Calibri"/>
          <w:b/>
          <w:bCs/>
          <w:sz w:val="21"/>
          <w:szCs w:val="21"/>
        </w:rPr>
        <w:t xml:space="preserve">no sujetos a regulación armonizada</w:t>
      </w:r>
      <w:r>
        <w:rPr>
          <w:rFonts w:ascii="Calibri" w:cs="Calibri" w:eastAsia="Calibri" w:hAnsi="Calibri"/>
          <w:sz w:val="21"/>
          <w:szCs w:val="21"/>
        </w:rPr>
        <w:t xml:space="preserve">, ni cuando el componente de inteligencia artificial sea accesorio.</w:t>
      </w:r>
    </w:p>
    <w:p>
      <w:pPr>
        <w:pStyle w:val="Heading3"/>
        <w:keepNext/>
        <w:spacing w:after="140" w:before="320"/>
      </w:pPr>
      <w:r>
        <w:rPr>
          <w:rFonts w:ascii="Georgia" w:cs="Georgia" w:eastAsia="Georgia" w:hAnsi="Georgia"/>
          <w:b/>
          <w:bCs/>
          <w:color w:val="2F5496"/>
          <w:sz w:val="22"/>
          <w:szCs w:val="22"/>
        </w:rPr>
        <w:t xml:space="preserve">Nota al redactor · Por qué la objeción del abogado del licitador no tumba esta cláusula, y qué habría que hacer para que la tumbara</w:t>
      </w:r>
    </w:p>
    <w:p>
      <w:pPr>
        <w:spacing w:after="140" w:line="276"/>
      </w:pPr>
      <w:r>
        <w:rPr>
          <w:rFonts w:ascii="Calibri" w:cs="Calibri" w:eastAsia="Calibri" w:hAnsi="Calibri"/>
          <w:sz w:val="21"/>
          <w:szCs w:val="21"/>
        </w:rPr>
        <w:t xml:space="preserve">La objeción tiene dos mitades y ambas son ciertas </w:t>
      </w:r>
      <w:r>
        <w:rPr>
          <w:rFonts w:ascii="Calibri" w:cs="Calibri" w:eastAsia="Calibri" w:hAnsi="Calibri"/>
          <w:i/>
          <w:iCs/>
          <w:sz w:val="21"/>
          <w:szCs w:val="21"/>
        </w:rPr>
        <w:t xml:space="preserve">de la ISO 42001 tal y como la exigía el v2</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«Como condición especial de ejecución es una condición sobre la empresa y no sobre la ejecución (el art. 202.1 exige vinculación al objeto en el sentido del art. 145). Como solvencia, restringe.»</w:t>
      </w:r>
    </w:p>
    <w:p>
      <w:pPr>
        <w:spacing w:after="140" w:line="276"/>
      </w:pPr>
      <w:r>
        <w:rPr>
          <w:rFonts w:ascii="Calibri" w:cs="Calibri" w:eastAsia="Calibri" w:hAnsi="Calibri"/>
          <w:sz w:val="21"/>
          <w:szCs w:val="21"/>
        </w:rPr>
        <w:t xml:space="preserve">Se resuelve </w:t>
      </w:r>
      <w:r>
        <w:rPr>
          <w:rFonts w:ascii="Calibri" w:cs="Calibri" w:eastAsia="Calibri" w:hAnsi="Calibri"/>
          <w:b/>
          <w:bCs/>
          <w:sz w:val="21"/>
          <w:szCs w:val="21"/>
        </w:rPr>
        <w:t xml:space="preserve">cambiando el objeto de la obligación</w:t>
      </w:r>
      <w:r>
        <w:rPr>
          <w:rFonts w:ascii="Calibri" w:cs="Calibri" w:eastAsia="Calibri" w:hAnsi="Calibri"/>
          <w:sz w:val="21"/>
          <w:szCs w:val="21"/>
        </w:rPr>
        <w:t xml:space="preserve">, no buscándole mejor cobertura.</w:t>
      </w:r>
    </w:p>
    <w:p>
      <w:pPr>
        <w:spacing w:after="140" w:line="276"/>
      </w:pPr>
      <w:r>
        <w:rPr>
          <w:rFonts w:ascii="Calibri" w:cs="Calibri" w:eastAsia="Calibri" w:hAnsi="Calibri"/>
          <w:b/>
          <w:bCs/>
          <w:sz w:val="21"/>
          <w:szCs w:val="21"/>
        </w:rPr>
        <w:t xml:space="preserve">Primero: la condición especial no recae sobre la certificación, recae sobre la aplicación de un sistema de gestión a esta solución y a este equipo, durante esta ejecución.</w:t>
      </w:r>
      <w:r>
        <w:rPr>
          <w:rFonts w:ascii="Calibri" w:cs="Calibri" w:eastAsia="Calibri" w:hAnsi="Calibri"/>
          <w:sz w:val="21"/>
          <w:szCs w:val="21"/>
        </w:rPr>
        <w:t xml:space="preserve"> El criterio de vinculación que aplica el tribunal es el de la Junta Consultiva de Contratación Pública del Estado, Informe 1/2020, según su reproducción literal en las Resoluciones del TACRC 1111/2022 y 1113/2022: </w:t>
      </w:r>
      <w:r>
        <w:rPr>
          <w:rFonts w:ascii="Calibri" w:cs="Calibri" w:eastAsia="Calibri" w:hAnsi="Calibri"/>
          <w:i/>
          <w:iCs/>
          <w:sz w:val="21"/>
          <w:szCs w:val="21"/>
        </w:rPr>
        <w:t xml:space="preserve">«La vinculación al objeto del contrato, en el caso de las condiciones especiales de ejecución exige que la condición se efectúe durante el cumplimiento y en la ejecución de la prestación contratada, no en otra.»</w:t>
      </w:r>
      <w:r>
        <w:rPr>
          <w:rFonts w:ascii="Calibri" w:cs="Calibri" w:eastAsia="Calibri" w:hAnsi="Calibri"/>
          <w:sz w:val="21"/>
          <w:szCs w:val="21"/>
        </w:rPr>
        <w:t xml:space="preserve"> Un certificado que la empresa ya tenía antes de licitar no se «efectúa» en esta ejecución: describe a la empresa. Un inventario de los sistemas de IA que intervienen en </w:t>
      </w:r>
      <w:r>
        <w:rPr>
          <w:rFonts w:ascii="Calibri" w:cs="Calibri" w:eastAsia="Calibri" w:hAnsi="Calibri"/>
          <w:b/>
          <w:bCs/>
          <w:sz w:val="21"/>
          <w:szCs w:val="21"/>
        </w:rPr>
        <w:t xml:space="preserve">este</w:t>
      </w:r>
      <w:r>
        <w:rPr>
          <w:rFonts w:ascii="Calibri" w:cs="Calibri" w:eastAsia="Calibri" w:hAnsi="Calibri"/>
          <w:sz w:val="21"/>
          <w:szCs w:val="21"/>
        </w:rPr>
        <w:t xml:space="preserve"> contrato, un análisis de riesgos referido a </w:t>
      </w:r>
      <w:r>
        <w:rPr>
          <w:rFonts w:ascii="Calibri" w:cs="Calibri" w:eastAsia="Calibri" w:hAnsi="Calibri"/>
          <w:b/>
          <w:bCs/>
          <w:sz w:val="21"/>
          <w:szCs w:val="21"/>
        </w:rPr>
        <w:t xml:space="preserve">estos</w:t>
      </w:r>
      <w:r>
        <w:rPr>
          <w:rFonts w:ascii="Calibri" w:cs="Calibri" w:eastAsia="Calibri" w:hAnsi="Calibri"/>
          <w:sz w:val="21"/>
          <w:szCs w:val="21"/>
        </w:rPr>
        <w:t xml:space="preserve"> datos municipales, la identificación de los perfiles que supervisan </w:t>
      </w:r>
      <w:r>
        <w:rPr>
          <w:rFonts w:ascii="Calibri" w:cs="Calibri" w:eastAsia="Calibri" w:hAnsi="Calibri"/>
          <w:b/>
          <w:bCs/>
          <w:sz w:val="21"/>
          <w:szCs w:val="21"/>
        </w:rPr>
        <w:t xml:space="preserve">estas</w:t>
      </w:r>
      <w:r>
        <w:rPr>
          <w:rFonts w:ascii="Calibri" w:cs="Calibri" w:eastAsia="Calibri" w:hAnsi="Calibri"/>
          <w:sz w:val="21"/>
          <w:szCs w:val="21"/>
        </w:rPr>
        <w:t xml:space="preserve"> operaciones y un registro de incidencias de </w:t>
      </w:r>
      <w:r>
        <w:rPr>
          <w:rFonts w:ascii="Calibri" w:cs="Calibri" w:eastAsia="Calibri" w:hAnsi="Calibri"/>
          <w:b/>
          <w:bCs/>
          <w:sz w:val="21"/>
          <w:szCs w:val="21"/>
        </w:rPr>
        <w:t xml:space="preserve">esta</w:t>
      </w:r>
      <w:r>
        <w:rPr>
          <w:rFonts w:ascii="Calibri" w:cs="Calibri" w:eastAsia="Calibri" w:hAnsi="Calibri"/>
          <w:sz w:val="21"/>
          <w:szCs w:val="21"/>
        </w:rPr>
        <w:t xml:space="preserve"> prestación se efectúan íntegramente durante la ejecución y sobre la prestación contratada. Por eso la modalidad B enumera obligaciones de hacer y sitúa el certificado en el epígrafe de </w:t>
      </w:r>
      <w:r>
        <w:rPr>
          <w:rFonts w:ascii="Calibri" w:cs="Calibri" w:eastAsia="Calibri" w:hAnsi="Calibri"/>
          <w:i/>
          <w:iCs/>
          <w:sz w:val="21"/>
          <w:szCs w:val="21"/>
        </w:rPr>
        <w:t xml:space="preserve">acreditación</w:t>
      </w:r>
      <w:r>
        <w:rPr>
          <w:rFonts w:ascii="Calibri" w:cs="Calibri" w:eastAsia="Calibri" w:hAnsi="Calibri"/>
          <w:sz w:val="21"/>
          <w:szCs w:val="21"/>
        </w:rPr>
        <w:t xml:space="preserve">, como uno de los dos medios de prueba admisibles y nunca como la obligación.</w:t>
      </w:r>
    </w:p>
    <w:p>
      <w:pPr>
        <w:spacing w:after="140" w:line="276"/>
      </w:pPr>
      <w:r>
        <w:rPr>
          <w:rFonts w:ascii="Calibri" w:cs="Calibri" w:eastAsia="Calibri" w:hAnsi="Calibri"/>
          <w:b/>
          <w:bCs/>
          <w:sz w:val="21"/>
          <w:szCs w:val="21"/>
        </w:rPr>
        <w:t xml:space="preserve">Segundo: como solvencia sí restringe, y por eso su uso queda acotado.</w:t>
      </w:r>
      <w:r>
        <w:rPr>
          <w:rFonts w:ascii="Calibri" w:cs="Calibri" w:eastAsia="Calibri" w:hAnsi="Calibri"/>
          <w:sz w:val="21"/>
          <w:szCs w:val="21"/>
        </w:rPr>
        <w:t xml:space="preserve"> El artículo 93.1 LCSP contempla expresamente esta exigencia en los contratos sujetos a regulación armonizada; en los demás, exigir una certificación de gobernanza de IA como requisito de aptitud es desproporcionado. Y aun en los armonizados sólo cabe si el sistema de IA es determinante de la prestación, con equivalentes obligatorios y, sobre todo, </w:t>
      </w:r>
      <w:r>
        <w:rPr>
          <w:rFonts w:ascii="Calibri" w:cs="Calibri" w:eastAsia="Calibri" w:hAnsi="Calibri"/>
          <w:b/>
          <w:bCs/>
          <w:sz w:val="21"/>
          <w:szCs w:val="21"/>
        </w:rPr>
        <w:t xml:space="preserve">con la justificación en la memoria del expediente</w:t>
      </w:r>
      <w:r>
        <w:rPr>
          <w:rFonts w:ascii="Calibri" w:cs="Calibri" w:eastAsia="Calibri" w:hAnsi="Calibri"/>
          <w:sz w:val="21"/>
          <w:szCs w:val="21"/>
        </w:rPr>
        <w:t xml:space="preserve">: es exactamente donde perdió el Ayuntamiento de Parla (Res. TACP Madrid 383/2024, citada arriba). La justificación no está en este catálogo. Tiene que estar en la memoria de cada expediente y antes de publicar.</w:t>
      </w:r>
    </w:p>
    <w:p>
      <w:pPr>
        <w:spacing w:after="140" w:line="276"/>
      </w:pPr>
      <w:r>
        <w:rPr>
          <w:rFonts w:ascii="Calibri" w:cs="Calibri" w:eastAsia="Calibri" w:hAnsi="Calibri"/>
          <w:b/>
          <w:bCs/>
          <w:sz w:val="21"/>
          <w:szCs w:val="21"/>
        </w:rPr>
        <w:t xml:space="preserve">Tercero: la vía prohibida.</w:t>
      </w:r>
      <w:r>
        <w:rPr>
          <w:rFonts w:ascii="Calibri" w:cs="Calibri" w:eastAsia="Calibri" w:hAnsi="Calibri"/>
          <w:sz w:val="21"/>
          <w:szCs w:val="21"/>
        </w:rPr>
        <w:t xml:space="preserve"> Ninguna de estas certificaciones puede ser criterio de adjudicación. El TACRC anuló la cláusula del PCAP del Ayuntamiento de Sagunto que valoraba disponer de ISO 27001, ISO 14001 y certificado de conformidad con el ENS (Resolución 786/2019, de 11 de julio de 2019, recurso 557/2019; </w:t>
      </w:r>
      <w:hyperlink w:history="1" r:id="rIdwes6beekwpucbooaeal4d">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%2011-07-2019.pdf)), y anuló el pliego del Ayuntamiento de Cofrentes con la doctrina explicada: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(Resolución 1727/2021, de 2 de diciembre de 2021, recurso 1372/2021; </w:t>
      </w:r>
      <w:hyperlink w:history="1" r:id="rId6xwunprjtifqhvolnyopm">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%2002-12-2021.pdf)). Ambas son resoluciones sobre pliegos municipales y ambas se citan aquí como doctrina general trasladada por analogía: no versan sobre la norma 42001, que es posterior.</w:t>
      </w:r>
    </w:p>
    <w:p>
      <w:pPr>
        <w:spacing w:after="140" w:line="276"/>
      </w:pPr>
      <w:r>
        <w:rPr>
          <w:rFonts w:ascii="Calibri" w:cs="Calibri" w:eastAsia="Calibri" w:hAnsi="Calibri"/>
          <w:b/>
          <w:bCs/>
          <w:sz w:val="21"/>
          <w:szCs w:val="21"/>
        </w:rPr>
        <w:t xml:space="preserve">Cuarto: en qué tipo de contrato va cada vía.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 correcta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SARA cuyo objeto principal comprenda el desarrollo, suministro u operación de un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(modalidad A), con equivalentes y con justificación en la memoria. Alternativa admisible: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no SARA, o SARA con componente de IA no determinante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 de software estándar con componente de IA operado por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 limitada a las letras a), b) y d) del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Cualquier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 basado en acuerdo marco, adhesión a central de compras,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r>
    </w:tbl>
    <w:p>
      <w:pPr>
        <w:spacing w:after="200"/>
      </w:pPr>
    </w:p>
    <w:p>
      <w:pPr>
        <w:spacing w:after="140" w:line="276"/>
      </w:pPr>
      <w:r>
        <w:rPr>
          <w:rFonts w:ascii="Calibri" w:cs="Calibri" w:eastAsia="Calibri" w:hAnsi="Calibri"/>
          <w:b/>
          <w:bCs/>
          <w:sz w:val="21"/>
          <w:szCs w:val="21"/>
        </w:rPr>
        <w:t xml:space="preserve">Quinto: las referencias dinámicas.</w:t>
      </w:r>
      <w:r>
        <w:rPr>
          <w:rFonts w:ascii="Calibri" w:cs="Calibri" w:eastAsia="Calibri" w:hAnsi="Calibri"/>
          <w:sz w:val="21"/>
          <w:szCs w:val="21"/>
        </w:rPr>
        <w:t xml:space="preserve"> «O norma que la sustituya» parece una cautela y es un defecto: permite que el contenido de la obligación cambie </w:t>
      </w:r>
      <w:r>
        <w:rPr>
          <w:rFonts w:ascii="Calibri" w:cs="Calibri" w:eastAsia="Calibri" w:hAnsi="Calibri"/>
          <w:b/>
          <w:bCs/>
          <w:sz w:val="21"/>
          <w:szCs w:val="21"/>
        </w:rPr>
        <w:t xml:space="preserve">después de que el licitador haya ofertado</w:t>
      </w:r>
      <w:r>
        <w:rPr>
          <w:rFonts w:ascii="Calibri" w:cs="Calibri" w:eastAsia="Calibri" w:hAnsi="Calibri"/>
          <w:sz w:val="21"/>
          <w:szCs w:val="21"/>
        </w:rPr>
        <w:t xml:space="preserve">, sobre un texto que aún no existe y cuyo coste no ha podido valorar. El pliego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su contenido tiene que estar cerrado el día en que se presenta la oferta. Por eso la cláusula fija la designación </w:t>
      </w:r>
      <w:r>
        <w:rPr>
          <w:rFonts w:ascii="Calibri" w:cs="Calibri" w:eastAsia="Calibri" w:hAnsi="Calibri"/>
          <w:b/>
          <w:bCs/>
          <w:sz w:val="21"/>
          <w:szCs w:val="21"/>
        </w:rPr>
        <w:t xml:space="preserve">con año</w:t>
      </w:r>
      <w:r>
        <w:rPr>
          <w:rFonts w:ascii="Calibri" w:cs="Calibri" w:eastAsia="Calibri" w:hAnsi="Calibri"/>
          <w:sz w:val="21"/>
          <w:szCs w:val="21"/>
        </w:rPr>
        <w:t xml:space="preserve"> y añade la regla de referencia estática: la revisión posterior no modifica la obligación, y el contratista puede acogerse voluntariamente a ella. Si el Ayuntamiento quiere que una norma futura sea exigible, la vía es incluirla en el Anexo V del ejercicio siguiente y aplicarla en la licitación siguiente, o tramitar una modificación.</w:t>
      </w:r>
    </w:p>
    <w:p>
      <w:pPr>
        <w:spacing w:after="140" w:line="276"/>
      </w:pPr>
      <w:r>
        <w:rPr>
          <w:rFonts w:ascii="Calibri" w:cs="Calibri" w:eastAsia="Calibri" w:hAnsi="Calibri"/>
          <w:b/>
          <w:bCs/>
          <w:sz w:val="21"/>
          <w:szCs w:val="21"/>
        </w:rPr>
        <w:t xml:space="preserve">Sexto: la designación.</w:t>
      </w:r>
      <w:r>
        <w:rPr>
          <w:rFonts w:ascii="Calibri" w:cs="Calibri" w:eastAsia="Calibri" w:hAnsi="Calibri"/>
          <w:sz w:val="21"/>
          <w:szCs w:val="21"/>
        </w:rPr>
        <w:t xml:space="preserve"> Se escribe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idéntica a EN ISO/IEC 42001:2026 y adopción de ISO/IEC 42001:2023, que </w:t>
      </w:r>
      <w:r>
        <w:rPr>
          <w:rFonts w:ascii="Calibri" w:cs="Calibri" w:eastAsia="Calibri" w:hAnsi="Calibri"/>
          <w:b/>
          <w:bCs/>
          <w:sz w:val="21"/>
          <w:szCs w:val="21"/>
        </w:rPr>
        <w:t xml:space="preserve">anula</w:t>
      </w:r>
      <w:r>
        <w:rPr>
          <w:rFonts w:ascii="Calibri" w:cs="Calibri" w:eastAsia="Calibri" w:hAnsi="Calibri"/>
          <w:sz w:val="21"/>
          <w:szCs w:val="21"/>
        </w:rPr>
        <w:t xml:space="preserve"> la anterior UNE-ISO/IEC 42001:2025 (</w:t>
      </w:r>
      <w:hyperlink w:history="1" r:id="rIdb66zey4qwn5vcrw9y0usm">
        <w:r>
          <w:rPr>
            <w:rFonts w:ascii="Calibri" w:cs="Calibri" w:eastAsia="Calibri" w:hAnsi="Calibri"/>
            <w:color w:val="2F5496"/>
            <w:sz w:val="21"/>
            <w:szCs w:val="21"/>
            <w:u w:val="single"/>
          </w:rPr>
          <w:t xml:space="preserve">ficha en el catálogo de UNE</w:t>
        </w:r>
      </w:hyperlink>
      <w:r>
        <w:rPr>
          <w:rFonts w:ascii="Calibri" w:cs="Calibri" w:eastAsia="Calibri" w:hAnsi="Calibri"/>
          <w:sz w:val="21"/>
          <w:szCs w:val="21"/>
        </w:rPr>
        <w:t xml:space="preserve">). Escribir «UNE-EN ISO/IEC 42001» sin año fue defendible mientras hubo una sola designación; hoy no lo es, porque en menos de un año han convivido dos.</w:t>
      </w:r>
    </w:p>
    <w:p>
      <w:pPr>
        <w:spacing w:after="140" w:line="276"/>
      </w:pPr>
      <w:r>
        <w:rPr>
          <w:rFonts w:ascii="Calibri" w:cs="Calibri" w:eastAsia="Calibri" w:hAnsi="Calibri"/>
          <w:b/>
          <w:bCs/>
          <w:sz w:val="21"/>
          <w:szCs w:val="21"/>
        </w:rPr>
        <w:t xml:space="preserve">Séptimo, y hay que decirlo aunque incomode.</w:t>
      </w:r>
      <w:r>
        <w:rPr>
          <w:rFonts w:ascii="Calibri" w:cs="Calibri" w:eastAsia="Calibri" w:hAnsi="Calibri"/>
          <w:sz w:val="21"/>
          <w:szCs w:val="21"/>
        </w:rPr>
        <w:t xml:space="preserve"> La presunción de conformidad con el Reglamento (UE) 2024/1689 la otorgan las normas armonizadas publicadas en el Diario Oficial de la Unión Europea, conforme al artículo 40 del propio Reglamento. Por tanto no debe darse por supuesto que una certificación conforme a la norma 42001 produzca ese efecto. </w:t>
      </w:r>
      <w:r>
        <w:rPr>
          <w:rFonts w:ascii="Calibri" w:cs="Calibri" w:eastAsia="Calibri" w:hAnsi="Calibri"/>
          <w:b/>
          <w:bCs/>
          <w:sz w:val="21"/>
          <w:szCs w:val="21"/>
        </w:rPr>
        <w:t xml:space="preserve">Esta afirmación es criterio propio de este catálogo y no se lleva al articulado</w:t>
      </w:r>
      <w:r>
        <w:rPr>
          <w:rFonts w:ascii="Calibri" w:cs="Calibri" w:eastAsia="Calibri" w:hAnsi="Calibri"/>
          <w:sz w:val="21"/>
          <w:szCs w:val="21"/>
        </w:rPr>
        <w:t xml:space="preserve">: a la fecha de corte no se ha verificado en fuente oficial la lista de normas armonizadas publicadas, y esa comprobación queda encargada antes de la aprobación (Anexo XI, apartado XI.3).</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III.2 · ADM-2·v3 — Condición especial de ejecución: Compromiso de Evolución Tecnológica Determinada</w:t>
      </w:r>
    </w:p>
    <w:p>
      <w:pPr>
        <w:spacing w:after="140" w:line="276"/>
      </w:pPr>
      <w:r>
        <w:rPr>
          <w:rFonts w:ascii="Calibri" w:cs="Calibri" w:eastAsia="Calibri" w:hAnsi="Calibri"/>
          <w:i/>
          <w:iCs/>
          <w:sz w:val="21"/>
          <w:szCs w:val="21"/>
        </w:rPr>
        <w:t xml:space="preserve">(Sustituye íntegramente a ADM-2 de v2 —«Compromiso de Evolución Tecnológica Continua»—. Es la cláusula que rompía el clausulado anterior y la que más cambia. Quien tenga pliegos redactados con el texto de v2 debe sustituirlo, no parchearlo: ver el Anexo XII.)</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Evolución tecnológica determinada.</w:t>
            </w:r>
          </w:p>
          <w:p>
            <w:pPr>
              <w:spacing w:after="100" w:line="264"/>
            </w:pPr>
            <w:r>
              <w:rPr>
                <w:rFonts w:ascii="Georgia" w:cs="Georgia" w:eastAsia="Georgia" w:hAnsi="Georgia"/>
                <w:b/>
                <w:bCs/>
                <w:sz w:val="20"/>
                <w:szCs w:val="20"/>
              </w:rPr>
              <w:t xml:space="preserve">1. Amparo y vinculación al objeto.</w:t>
            </w:r>
            <w:r>
              <w:rPr>
                <w:rFonts w:ascii="Georgia" w:cs="Georgia" w:eastAsia="Georgia" w:hAnsi="Georgia"/>
                <w:sz w:val="20"/>
                <w:szCs w:val="20"/>
              </w:rPr>
              <w:t xml:space="preserve"> Al amparo de los artículos 202.1 y 202.2 de la Ley 9/2017, de Contratos del Sector Público, que admiten expresamente las condiciones especiales de ejecución relacionadas con la innovación, se establece la obligación del contratista de mantener la solución objeto del contrato en las condiciones funcionales, de seguridad y de interoperabilidad determinadas en 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versión [·] de [fecha], que se transcribe en el Pliego de Prescripciones Técnicas y forma parte del objeto del contrato. La condición está vinculada al objeto del contrato en el sentido del artículo 145.6 de la misma ley y se ejecuta durante el cumplimiento de la prestación contratada.</w:t>
            </w:r>
          </w:p>
          <w:p>
            <w:pPr>
              <w:spacing w:after="100" w:line="264"/>
            </w:pPr>
            <w:r>
              <w:rPr>
                <w:rFonts w:ascii="Georgia" w:cs="Georgia" w:eastAsia="Georgia" w:hAnsi="Georgia"/>
                <w:b/>
                <w:bCs/>
                <w:sz w:val="20"/>
                <w:szCs w:val="20"/>
              </w:rPr>
              <w:t xml:space="preserve">2. Alcance cerrado y regla de agotamiento.</w:t>
            </w:r>
            <w:r>
              <w:rPr>
                <w:rFonts w:ascii="Georgia" w:cs="Georgia" w:eastAsia="Georgia" w:hAnsi="Georgia"/>
                <w:sz w:val="20"/>
                <w:szCs w:val="20"/>
              </w:rPr>
              <w:t xml:space="preserve"> La obligación se agota en las exigencias enumeradas en el Anexo de Exigencias Tecnológicas Determinadas transcrito en este pliego. </w:t>
            </w:r>
            <w:r>
              <w:rPr>
                <w:rFonts w:ascii="Georgia" w:cs="Georgia" w:eastAsia="Georgia" w:hAnsi="Georgia"/>
                <w:b/>
                <w:bCs/>
                <w:sz w:val="20"/>
                <w:szCs w:val="20"/>
              </w:rPr>
              <w:t xml:space="preserve">Fuera de ese Anexo no existe obligación de evolución exigible al amparo de esta cláusula.</w:t>
            </w:r>
            <w:r>
              <w:rPr>
                <w:rFonts w:ascii="Georgia" w:cs="Georgia" w:eastAsia="Georgia" w:hAnsi="Georgia"/>
                <w:sz w:val="20"/>
                <w:szCs w:val="20"/>
              </w:rPr>
              <w:t xml:space="preserve"> Las prestaciones no previstas en él se tramitarán, en su caso, como modificación del contrato conforme a los artículos 203 y 204 de la Ley 9/2017 y a la cláusula de modificación prevista de este pliego, si se ha incorporado, o se atenderán en una licitación posterior.</w:t>
            </w:r>
          </w:p>
          <w:p>
            <w:pPr>
              <w:spacing w:after="100" w:line="264"/>
            </w:pPr>
            <w:r>
              <w:rPr>
                <w:rFonts w:ascii="Georgia" w:cs="Georgia" w:eastAsia="Georgia" w:hAnsi="Georgia"/>
                <w:b/>
                <w:bCs/>
                <w:sz w:val="20"/>
                <w:szCs w:val="20"/>
              </w:rPr>
              <w:t xml:space="preserve">3. Invariabilidad.</w:t>
            </w:r>
            <w:r>
              <w:rPr>
                <w:rFonts w:ascii="Georgia" w:cs="Georgia" w:eastAsia="Georgia" w:hAnsi="Georgia"/>
                <w:sz w:val="20"/>
                <w:szCs w:val="20"/>
              </w:rPr>
              <w:t xml:space="preserve"> El contenido del Anexo transcrito permanece invariable durante toda la vigencia del contrato y de sus prórrogas. Las revisiones posteriores del Anexo que apruebe el Ayuntamiento </w:t>
            </w:r>
            <w:r>
              <w:rPr>
                <w:rFonts w:ascii="Georgia" w:cs="Georgia" w:eastAsia="Georgia" w:hAnsi="Georgia"/>
                <w:b/>
                <w:bCs/>
                <w:sz w:val="20"/>
                <w:szCs w:val="20"/>
              </w:rPr>
              <w:t xml:space="preserve">no serán exigibles a este contrato</w:t>
            </w:r>
            <w:r>
              <w:rPr>
                <w:rFonts w:ascii="Georgia" w:cs="Georgia" w:eastAsia="Georgia" w:hAnsi="Georgia"/>
                <w:sz w:val="20"/>
                <w:szCs w:val="20"/>
              </w:rPr>
              <w:t xml:space="preserve">. Queda excluida toda remisión a versiones futuras del Anexo.</w:t>
            </w:r>
          </w:p>
          <w:p>
            <w:pPr>
              <w:spacing w:after="100" w:line="264"/>
            </w:pPr>
            <w:r>
              <w:rPr>
                <w:rFonts w:ascii="Georgia" w:cs="Georgia" w:eastAsia="Georgia" w:hAnsi="Georgia"/>
                <w:b/>
                <w:bCs/>
                <w:sz w:val="20"/>
                <w:szCs w:val="20"/>
              </w:rPr>
              <w:t xml:space="preserve">4. Retribución.</w:t>
            </w:r>
            <w:r>
              <w:rPr>
                <w:rFonts w:ascii="Georgia" w:cs="Georgia" w:eastAsia="Georgia" w:hAnsi="Georgia"/>
                <w:sz w:val="20"/>
                <w:szCs w:val="20"/>
              </w:rPr>
              <w:t xml:space="preserve"> Las exigencias del Anexo forman parte del alcance ordinario del contrato y se entienden retribuidas con el precio ofertado, sin que su cumplimiento dé lugar a facturación adicional ni requiera modificación contractual.</w:t>
            </w:r>
          </w:p>
          <w:p>
            <w:pPr>
              <w:spacing w:after="100" w:line="264"/>
            </w:pPr>
            <w:r>
              <w:rPr>
                <w:rFonts w:ascii="Georgia" w:cs="Georgia" w:eastAsia="Georgia" w:hAnsi="Georgia"/>
                <w:b/>
                <w:bCs/>
                <w:sz w:val="20"/>
                <w:szCs w:val="20"/>
              </w:rPr>
              <w:t xml:space="preserve">5. Plazos.</w:t>
            </w:r>
            <w:r>
              <w:rPr>
                <w:rFonts w:ascii="Georgia" w:cs="Georgia" w:eastAsia="Georgia" w:hAnsi="Georgia"/>
                <w:sz w:val="20"/>
                <w:szCs w:val="20"/>
              </w:rPr>
              <w:t xml:space="preserve"> Cada exigencia del Anexo se cumplirá en el plazo que el propio Anexo establezca para ella, contado desde la formalización del contrato o, si fuera posterior, desde la puesta en producción del módulo al que se refiera. No podrán fijarse durante la ejecución plazos distintos de los del Anexo. Se admitirá la ampliación del plazo cuando el contratista acredite imposibilidad técnica objetiva mediante documentación del fabricante y el órgano de contratación la acepte de forma motivada.</w:t>
            </w:r>
          </w:p>
          <w:p>
            <w:pPr>
              <w:spacing w:after="100" w:line="264"/>
            </w:pPr>
            <w:r>
              <w:rPr>
                <w:rFonts w:ascii="Georgia" w:cs="Georgia" w:eastAsia="Georgia" w:hAnsi="Georgia"/>
                <w:b/>
                <w:bCs/>
                <w:sz w:val="20"/>
                <w:szCs w:val="20"/>
              </w:rPr>
              <w:t xml:space="preserve">6. Acceso a versiones sucesoras.</w:t>
            </w:r>
            <w:r>
              <w:rPr>
                <w:rFonts w:ascii="Georgia" w:cs="Georgia" w:eastAsia="Georgia" w:hAnsi="Georgia"/>
                <w:sz w:val="20"/>
                <w:szCs w:val="20"/>
              </w:rPr>
              <w:t xml:space="preserve"> Durante la vigencia del contrato y de sus prórrogas, el contratista:</w:t>
            </w:r>
          </w:p>
          <w:p>
            <w:pPr>
              <w:spacing w:after="100" w:line="264"/>
            </w:pPr>
            <w:r>
              <w:rPr>
                <w:rFonts w:ascii="Georgia" w:cs="Georgia" w:eastAsia="Georgia" w:hAnsi="Georgia"/>
                <w:sz w:val="20"/>
                <w:szCs w:val="20"/>
              </w:rPr>
              <w:t xml:space="preserve">a) Comunicará al responsable del contrato la publicación de cada versión sucesora del producto contratado, en el plazo de [X; se recomienda 30] días naturales desde su disponibilidad general.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Pondrá a disposición del Ayuntamiento, sin coste adicional, las versiones sucesoras que el fabricante publique</w:t>
            </w:r>
            <w:r>
              <w:rPr>
                <w:rFonts w:ascii="Georgia" w:cs="Georgia" w:eastAsia="Georgia" w:hAnsi="Georgia"/>
                <w:sz w:val="20"/>
                <w:szCs w:val="20"/>
              </w:rPr>
              <w:t xml:space="preserve"> y a las que el contratista tenga acceso en virtud de su propia relación con el fabricante.</w:t>
            </w:r>
          </w:p>
          <w:p>
            <w:pPr>
              <w:spacing w:after="100" w:line="264"/>
            </w:pPr>
            <w:r>
              <w:rPr>
                <w:rFonts w:ascii="Georgia" w:cs="Georgia" w:eastAsia="Georgia" w:hAnsi="Georgia"/>
                <w:sz w:val="20"/>
                <w:szCs w:val="20"/>
              </w:rPr>
              <w:t xml:space="preserve">c) Incluirá en el Plan Anual la previsión de implantación de cada versión sucesora puesta a disposición, y la implantará en el plazo que en él se apruebe.</w:t>
            </w:r>
          </w:p>
          <w:p>
            <w:pPr>
              <w:spacing w:after="100" w:line="264"/>
            </w:pPr>
            <w:r>
              <w:rPr>
                <w:rFonts w:ascii="Georgia" w:cs="Georgia" w:eastAsia="Georgia" w:hAnsi="Georgia"/>
                <w:sz w:val="20"/>
                <w:szCs w:val="20"/>
              </w:rPr>
              <w:t xml:space="preserve">Se considerará </w:t>
            </w:r>
            <w:r>
              <w:rPr>
                <w:rFonts w:ascii="Georgia" w:cs="Georgia" w:eastAsia="Georgia" w:hAnsi="Georgia"/>
                <w:b/>
                <w:bCs/>
                <w:sz w:val="20"/>
                <w:szCs w:val="20"/>
              </w:rPr>
              <w:t xml:space="preserve">versión sucesora</w:t>
            </w:r>
            <w:r>
              <w:rPr>
                <w:rFonts w:ascii="Georgia" w:cs="Georgia" w:eastAsia="Georgia" w:hAnsi="Georgia"/>
                <w:sz w:val="20"/>
                <w:szCs w:val="20"/>
              </w:rPr>
              <w:t xml:space="preserve">,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b/>
                <w:bCs/>
                <w:sz w:val="20"/>
                <w:szCs w:val="20"/>
              </w:rPr>
              <w:t xml:space="preserve">Esta obligación no comporta compromiso alguno sobre la magnitud o el contenido de la evolución del producto.</w:t>
            </w:r>
            <w:r>
              <w:rPr>
                <w:rFonts w:ascii="Georgia" w:cs="Georgia" w:eastAsia="Georgia" w:hAnsi="Georgia"/>
                <w:sz w:val="20"/>
                <w:szCs w:val="20"/>
              </w:rPr>
              <w:t xml:space="preserve"> Si el fabricante no publica versiones sucesoras, no nace obligación alguna a cargo del contratista por este apartado, ni se produce incumplimiento. Cuando el contratista no sea el fabricante y éste le deniegue el acceso, el contratista quedará exonerado acreditando documentalmente la denegación.</w:t>
            </w:r>
          </w:p>
          <w:p>
            <w:pPr>
              <w:spacing w:after="100" w:line="264"/>
            </w:pPr>
            <w:r>
              <w:rPr>
                <w:rFonts w:ascii="Georgia" w:cs="Georgia" w:eastAsia="Georgia" w:hAnsi="Georgia"/>
                <w:b/>
                <w:bCs/>
                <w:sz w:val="20"/>
                <w:szCs w:val="20"/>
              </w:rPr>
              <w:t xml:space="preserve">7. Acreditación del cumplimiento.</w:t>
            </w:r>
            <w:r>
              <w:rPr>
                <w:rFonts w:ascii="Georgia" w:cs="Georgia" w:eastAsia="Georgia" w:hAnsi="Georgia"/>
                <w:sz w:val="20"/>
                <w:szCs w:val="20"/>
              </w:rPr>
              <w:t xml:space="preserve"> El cumplimiento de cada exigencia del Anexo y de las obligaciones del apartado 6 se acreditará, exclusivamente, por los siguientes medios:</w:t>
            </w:r>
          </w:p>
          <w:p>
            <w:pPr>
              <w:spacing w:after="100" w:line="264"/>
            </w:pPr>
            <w:r>
              <w:rPr>
                <w:rFonts w:ascii="Georgia" w:cs="Georgia" w:eastAsia="Georgia" w:hAnsi="Georgia"/>
                <w:sz w:val="20"/>
                <w:szCs w:val="20"/>
              </w:rPr>
              <w:t xml:space="preserve">a) Acta de la prueba de aceptación ejecutada por los servicios municipales sobre el entorno de pruebas, conforme a los criterios de aceptación del Anexo.</w:t>
            </w:r>
          </w:p>
          <w:p>
            <w:pPr>
              <w:spacing w:after="100" w:line="264"/>
            </w:pPr>
            <w:r>
              <w:rPr>
                <w:rFonts w:ascii="Georgia" w:cs="Georgia" w:eastAsia="Georgia" w:hAnsi="Georgia"/>
                <w:sz w:val="20"/>
                <w:szCs w:val="20"/>
              </w:rPr>
              <w:t xml:space="preserve">b) Certificado o nota técnica del fabricante, cuando la exigencia dependa de una capacidad del producto base.</w:t>
            </w:r>
          </w:p>
          <w:p>
            <w:pPr>
              <w:spacing w:after="100" w:line="264"/>
            </w:pPr>
            <w:r>
              <w:rPr>
                <w:rFonts w:ascii="Georgia" w:cs="Georgia" w:eastAsia="Georgia" w:hAnsi="Georgia"/>
                <w:sz w:val="20"/>
                <w:szCs w:val="20"/>
              </w:rPr>
              <w:t xml:space="preserve">c) Acta de despliegue verificado en el entorno de preproducción municipal.</w:t>
            </w:r>
          </w:p>
          <w:p>
            <w:pPr>
              <w:spacing w:after="100" w:line="264"/>
            </w:pPr>
            <w:r>
              <w:rPr>
                <w:rFonts w:ascii="Georgia" w:cs="Georgia" w:eastAsia="Georgia" w:hAnsi="Georgia"/>
                <w:sz w:val="20"/>
                <w:szCs w:val="20"/>
              </w:rPr>
              <w:t xml:space="preserve">d) Acta de la Comisión de Seguimiento en la que se recoja lo anterior.</w:t>
            </w:r>
          </w:p>
          <w:p>
            <w:pPr>
              <w:spacing w:after="100" w:line="264"/>
            </w:pPr>
            <w:r>
              <w:rPr>
                <w:rFonts w:ascii="Georgia" w:cs="Georgia" w:eastAsia="Georgia" w:hAnsi="Georgia"/>
                <w:sz w:val="20"/>
                <w:szCs w:val="20"/>
              </w:rPr>
              <w:t xml:space="preserve">e) Depósito de las evidencias en el repositorio documental del contrato.</w:t>
            </w:r>
          </w:p>
          <w:p>
            <w:pPr>
              <w:spacing w:after="100" w:line="264"/>
            </w:pPr>
            <w:r>
              <w:rPr>
                <w:rFonts w:ascii="Georgia" w:cs="Georgia" w:eastAsia="Georgia" w:hAnsi="Georgia"/>
                <w:b/>
                <w:bCs/>
                <w:sz w:val="20"/>
                <w:szCs w:val="20"/>
              </w:rPr>
              <w:t xml:space="preserve">La ausencia de estos medios no podrá suplirse por apreciación discrecional del órgano de contratación.</w:t>
            </w:r>
          </w:p>
          <w:p>
            <w:pPr>
              <w:spacing w:after="100" w:line="264"/>
            </w:pPr>
            <w:r>
              <w:rPr>
                <w:rFonts w:ascii="Georgia" w:cs="Georgia" w:eastAsia="Georgia" w:hAnsi="Georgia"/>
                <w:b/>
                <w:bCs/>
                <w:sz w:val="20"/>
                <w:szCs w:val="20"/>
              </w:rPr>
              <w:t xml:space="preserve">8. Naturaleza y consecuencias.</w:t>
            </w:r>
            <w:r>
              <w:rPr>
                <w:rFonts w:ascii="Georgia" w:cs="Georgia" w:eastAsia="Georgia" w:hAnsi="Georgia"/>
                <w:sz w:val="20"/>
                <w:szCs w:val="20"/>
              </w:rPr>
              <w:t xml:space="preserve"> El incumplimiento de esta condición especial de ejecución dará lugar a las penalidades tipificadas en la cláusula de penalidades de este pliego. Tendrá además carácter de obligación contractual esencial, a los efectos del artículo 211.1.f) de la Ley 9/2017, </w:t>
            </w:r>
            <w:r>
              <w:rPr>
                <w:rFonts w:ascii="Georgia" w:cs="Georgia" w:eastAsia="Georgia" w:hAnsi="Georgia"/>
                <w:b/>
                <w:bCs/>
                <w:sz w:val="20"/>
                <w:szCs w:val="20"/>
              </w:rPr>
              <w:t xml:space="preserve">únicamente en los supuestos y con las condiciones expresamente enumerados en la cláusula de obligaciones esenciales de este pliego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anuncio de licitación</w:t>
      </w:r>
      <w:r>
        <w:rPr>
          <w:rFonts w:ascii="Calibri" w:cs="Calibri" w:eastAsia="Calibri" w:hAnsi="Calibri"/>
          <w:sz w:val="21"/>
          <w:szCs w:val="21"/>
        </w:rPr>
        <w:t xml:space="preserve"> (art. 202.1 LCSP). El Anexo de Exigencias Tecnológicas Determinadas se transcribe físicamente en el </w:t>
      </w:r>
      <w:r>
        <w:rPr>
          <w:rFonts w:ascii="Calibri" w:cs="Calibri" w:eastAsia="Calibri" w:hAnsi="Calibri"/>
          <w:b/>
          <w:bCs/>
          <w:sz w:val="21"/>
          <w:szCs w:val="21"/>
        </w:rPr>
        <w:t xml:space="preserve">PPT</w:t>
      </w:r>
      <w:r>
        <w:rPr>
          <w:rFonts w:ascii="Calibri" w:cs="Calibri" w:eastAsia="Calibri" w:hAnsi="Calibri"/>
          <w:sz w:val="21"/>
          <w:szCs w:val="21"/>
        </w:rPr>
        <w:t xml:space="preserve">, con número de versión y fecha; no se incorpora por remisión a un documento municipal externo. Un pliego que remite a un documento que el propio Ayuntamiento revisa cada año entrega al recurrente un motivo de indeterminación servido.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que la solución contratada </w:t>
      </w:r>
      <w:r>
        <w:rPr>
          <w:rFonts w:ascii="Calibri" w:cs="Calibri" w:eastAsia="Calibri" w:hAnsi="Calibri"/>
          <w:b/>
          <w:bCs/>
          <w:sz w:val="21"/>
          <w:szCs w:val="21"/>
        </w:rPr>
        <w:t xml:space="preserve">siga siendo utilizable, segura e interoperable durante los tres o cuatro años que dura el contrato</w:t>
      </w:r>
      <w:r>
        <w:rPr>
          <w:rFonts w:ascii="Calibri" w:cs="Calibri" w:eastAsia="Calibri" w:hAnsi="Calibri"/>
          <w:sz w:val="21"/>
          <w:szCs w:val="21"/>
        </w:rPr>
        <w:t xml:space="preserve">, sin que el Ayuntamiento tenga que licitar de nuevo para obtener capacidades que en el momento de licitar ya eran previsibles y estaban al alcance del mercado.</w:t>
      </w:r>
    </w:p>
    <w:p>
      <w:pPr>
        <w:pStyle w:val="ListParagraph"/>
        <w:numPr>
          <w:ilvl w:val="0"/>
          <w:numId w:val="1"/>
        </w:numPr>
        <w:spacing w:after="70" w:line="268"/>
      </w:pPr>
      <w:r>
        <w:rPr>
          <w:rFonts w:ascii="Calibri" w:cs="Calibri" w:eastAsia="Calibri" w:hAnsi="Calibri"/>
          <w:b/>
          <w:bCs/>
          <w:sz w:val="21"/>
          <w:szCs w:val="21"/>
        </w:rPr>
        <w:t xml:space="preserve">Artículo 202.2 LCSP</w:t>
      </w:r>
      <w:r>
        <w:rPr>
          <w:rFonts w:ascii="Calibri" w:cs="Calibri" w:eastAsia="Calibri" w:hAnsi="Calibri"/>
          <w:sz w:val="21"/>
          <w:szCs w:val="21"/>
        </w:rPr>
        <w:t xml:space="preserve">: «Estas condiciones de ejecución podrán referirse, en especial, a consideraciones económicas, </w:t>
      </w:r>
      <w:r>
        <w:rPr>
          <w:rFonts w:ascii="Calibri" w:cs="Calibri" w:eastAsia="Calibri" w:hAnsi="Calibri"/>
          <w:b/>
          <w:bCs/>
          <w:sz w:val="21"/>
          <w:szCs w:val="21"/>
        </w:rPr>
        <w:t xml:space="preserve">relacionadas con la innovación</w:t>
      </w:r>
      <w:r>
        <w:rPr>
          <w:rFonts w:ascii="Calibri" w:cs="Calibri" w:eastAsia="Calibri" w:hAnsi="Calibri"/>
          <w:sz w:val="21"/>
          <w:szCs w:val="21"/>
        </w:rPr>
        <w:t xml:space="preserve">, de tipo medioambiental o de tipo social.» Es cobertura literal, no analógica. El anclaje europeo es el artículo 70 de la Directiva 2014/24/UE, en los mismos términos.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puede definirse «en atención a las necesidades o funcionalidades concretas que se pretenden satisfacer, sin cerrar el objeto del contrato a una solución única», y «en especial, se definirán de este modo en aquellos contratos en los que se estime que pueden incorporarse innovaciones tecnológicas». La indeterminación </w:t>
      </w:r>
      <w:r>
        <w:rPr>
          <w:rFonts w:ascii="Calibri" w:cs="Calibri" w:eastAsia="Calibri" w:hAnsi="Calibri"/>
          <w:b/>
          <w:bCs/>
          <w:sz w:val="21"/>
          <w:szCs w:val="21"/>
        </w:rPr>
        <w:t xml:space="preserve">funcional</w:t>
      </w:r>
      <w:r>
        <w:rPr>
          <w:rFonts w:ascii="Calibri" w:cs="Calibri" w:eastAsia="Calibri" w:hAnsi="Calibri"/>
          <w:sz w:val="21"/>
          <w:szCs w:val="21"/>
        </w:rPr>
        <w:t xml:space="preserve"> está querida por la ley. Lo que la ley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Artículo 145.6 LCSP</w:t>
      </w:r>
      <w:r>
        <w:rPr>
          <w:rFonts w:ascii="Calibri" w:cs="Calibri" w:eastAsia="Calibri" w:hAnsi="Calibri"/>
          <w:sz w:val="21"/>
          <w:szCs w:val="21"/>
        </w:rPr>
        <w:t xml:space="preserve">: criterio de vinculación al objeto, al que remite el artículo 202.1.</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Los medios están tasados en el apartado 7 del texto del pliego y la lista es cerrada. Esa es la pieza que faltaba en v2 y la que salva a una condición especial de ejecución cuando se discute: el OARC/KEAO validó una condición especial precisamente porque el pliego, «además de establecer el alcance de la condición […] indica cuál es la forma de acreditar su cumplimiento» (Resolución 160/2018, recogida en el compendio oficial </w:t>
      </w:r>
      <w:r>
        <w:rPr>
          <w:rFonts w:ascii="Calibri" w:cs="Calibri" w:eastAsia="Calibri" w:hAnsi="Calibri"/>
          <w:i/>
          <w:iCs/>
          <w:sz w:val="21"/>
          <w:szCs w:val="21"/>
        </w:rPr>
        <w:t xml:space="preserve">Doctrina del Órgano Administrativo de Recursos Contractuales 2018-2023</w:t>
      </w:r>
      <w:r>
        <w:rPr>
          <w:rFonts w:ascii="Calibri" w:cs="Calibri" w:eastAsia="Calibri" w:hAnsi="Calibri"/>
          <w:sz w:val="21"/>
          <w:szCs w:val="21"/>
        </w:rPr>
        <w:t xml:space="preserve">, apartado 5.8.1, págs. 515-516; </w:t>
      </w:r>
      <w:hyperlink w:history="1" r:id="rIdeue2iczot87gmoi4vf5zt">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Se cita como doctrina general trasladada por analogía: versa sobre una condición especial de contenido medioambiental (suministro de electricidad de origen 100 % renovable), no tecnológico.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 del Anexo (ET-n)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vencimiento del plazo de cada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sobre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por exigencia, una sola vez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operativo de las capacidades ya aceptadas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anexa al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y puesta a disposición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comunicación, y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comunicaciones +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cumplimiento de la condición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antes del cierre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que sirve de base a penalidades o 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6/año</w:t>
            </w:r>
          </w:p>
        </w:tc>
      </w:tr>
    </w:tbl>
    <w:p>
      <w:pPr>
        <w:spacing w:after="200"/>
      </w:pPr>
    </w:p>
    <w:p>
      <w:pPr>
        <w:spacing w:after="140" w:line="276"/>
      </w:pPr>
      <w:r>
        <w:rPr>
          <w:rFonts w:ascii="Calibri" w:cs="Calibri" w:eastAsia="Calibri" w:hAnsi="Calibri"/>
          <w:b/>
          <w:bCs/>
          <w:sz w:val="21"/>
          <w:szCs w:val="21"/>
        </w:rPr>
        <w:t xml:space="preserve">Carga estimada: 14 horas por contrato y año en régimen ordinario; 44 horas el primer año</w:t>
      </w:r>
      <w:r>
        <w:rPr>
          <w:rFonts w:ascii="Calibri" w:cs="Calibri" w:eastAsia="Calibri" w:hAnsi="Calibri"/>
          <w:sz w:val="21"/>
          <w:szCs w:val="21"/>
        </w:rPr>
        <w:t xml:space="preserve"> si el Anexo contiene tres exigencias (ET-1, ET-2 y ET-3). Estimación propia del catálogo.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de retraso en la implantación de una exigencia del Anexo (tipo G2 de ADM-5·v3).</w:t>
      </w:r>
    </w:p>
    <w:p>
      <w:pPr>
        <w:pStyle w:val="ListParagraph"/>
        <w:numPr>
          <w:ilvl w:val="0"/>
          <w:numId w:val="1"/>
        </w:numPr>
        <w:spacing w:after="70" w:line="268"/>
      </w:pPr>
      <w:r>
        <w:rPr>
          <w:rFonts w:ascii="Calibri" w:cs="Calibri" w:eastAsia="Calibri" w:hAnsi="Calibri"/>
          <w:b/>
          <w:bCs/>
          <w:sz w:val="21"/>
          <w:szCs w:val="21"/>
        </w:rPr>
        <w:t xml:space="preserve">Penalidad leve</w:t>
      </w:r>
      <w:r>
        <w:rPr>
          <w:rFonts w:ascii="Calibri" w:cs="Calibri" w:eastAsia="Calibri" w:hAnsi="Calibri"/>
          <w:sz w:val="21"/>
          <w:szCs w:val="21"/>
        </w:rPr>
        <w:t xml:space="preserve"> por retraso en la comunicación de una versión sucesora, y </w:t>
      </w:r>
      <w:r>
        <w:rPr>
          <w:rFonts w:ascii="Calibri" w:cs="Calibri" w:eastAsia="Calibri" w:hAnsi="Calibri"/>
          <w:b/>
          <w:bCs/>
          <w:sz w:val="21"/>
          <w:szCs w:val="21"/>
        </w:rPr>
        <w:t xml:space="preserve">grave</w:t>
      </w:r>
      <w:r>
        <w:rPr>
          <w:rFonts w:ascii="Calibri" w:cs="Calibri" w:eastAsia="Calibri" w:hAnsi="Calibri"/>
          <w:sz w:val="21"/>
          <w:szCs w:val="21"/>
        </w:rPr>
        <w:t xml:space="preserve"> si supera 90 días (tipos L2 y G5).</w:t>
      </w:r>
    </w:p>
    <w:p>
      <w:pPr>
        <w:pStyle w:val="ListParagraph"/>
        <w:numPr>
          <w:ilvl w:val="0"/>
          <w:numId w:val="1"/>
        </w:numPr>
        <w:spacing w:after="70" w:line="268"/>
      </w:pPr>
      <w:r>
        <w:rPr>
          <w:rFonts w:ascii="Calibri" w:cs="Calibri" w:eastAsia="Calibri" w:hAnsi="Calibri"/>
          <w:b/>
          <w:bCs/>
          <w:sz w:val="21"/>
          <w:szCs w:val="21"/>
        </w:rPr>
        <w:t xml:space="preserve">Penalidad muy grave</w:t>
      </w:r>
      <w:r>
        <w:rPr>
          <w:rFonts w:ascii="Calibri" w:cs="Calibri" w:eastAsia="Calibri" w:hAnsi="Calibri"/>
          <w:sz w:val="21"/>
          <w:szCs w:val="21"/>
        </w:rPr>
        <w:t xml:space="preserve"> por falta de implantación de una exigencia del Anexo transcurrido el plazo y el mes de subsanación, y por negativa a poner a disposición una versión sucesora publicada y accesible (tipos M1 y M2).</w:t>
      </w:r>
    </w:p>
    <w:p>
      <w:pPr>
        <w:spacing w:after="140" w:line="276"/>
      </w:pPr>
      <w:r>
        <w:rPr>
          <w:rFonts w:ascii="Calibri" w:cs="Calibri" w:eastAsia="Calibri" w:hAnsi="Calibri"/>
          <w:b/>
          <w:bCs/>
          <w:sz w:val="21"/>
          <w:szCs w:val="21"/>
        </w:rPr>
        <w:t xml:space="preserve">¿Obligación contractual esencial? CONDICIONADA.</w:t>
      </w:r>
      <w:r>
        <w:rPr>
          <w:rFonts w:ascii="Calibri" w:cs="Calibri" w:eastAsia="Calibri" w:hAnsi="Calibri"/>
          <w:sz w:val="21"/>
          <w:szCs w:val="21"/>
        </w:rPr>
        <w:t xml:space="preserve"> Sólo lo es en los supuestos del bloque B.2 de ADM-6·v3 y sólo si el PCAP marca la casilla y el expediente supera el test de relevancia allí descrito. </w:t>
      </w:r>
      <w:r>
        <w:rPr>
          <w:rFonts w:ascii="Calibri" w:cs="Calibri" w:eastAsia="Calibri" w:hAnsi="Calibri"/>
          <w:b/>
          <w:bCs/>
          <w:sz w:val="21"/>
          <w:szCs w:val="21"/>
        </w:rPr>
        <w:t xml:space="preserve">No hay esencialidad automática.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Cuando </w:t>
      </w:r>
      <w:r>
        <w:rPr>
          <w:rFonts w:ascii="Calibri" w:cs="Calibri" w:eastAsia="Calibri" w:hAnsi="Calibri"/>
          <w:b/>
          <w:bCs/>
          <w:sz w:val="21"/>
          <w:szCs w:val="21"/>
        </w:rPr>
        <w:t xml:space="preserve">no exista Anexo de Exigencias Tecnológicas Determinadas aprobado, fechado y contrastado con el mercado</w:t>
      </w:r>
      <w:r>
        <w:rPr>
          <w:rFonts w:ascii="Calibri" w:cs="Calibri" w:eastAsia="Calibri" w:hAnsi="Calibri"/>
          <w:sz w:val="21"/>
          <w:szCs w:val="21"/>
        </w:rPr>
        <w:t xml:space="preserve"> para la tipología de solución de que se trate. Sin Anexo, esta cláusula no se incorpora: no hay nada que exigir y una cláusula vacía es una cláusula indeterminada.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duración inferior a [X; se recomienda 24] meses</w:t>
      </w:r>
      <w:r>
        <w:rPr>
          <w:rFonts w:ascii="Calibri" w:cs="Calibri" w:eastAsia="Calibri" w:hAnsi="Calibri"/>
          <w:sz w:val="21"/>
          <w:szCs w:val="21"/>
        </w:rPr>
        <w:t xml:space="preserve">: no hay recorrido temporal para una obligación de evolución, y la exigencia se traslada al PPT como capacidad inicial.</w:t>
      </w:r>
    </w:p>
    <w:p>
      <w:pPr>
        <w:pStyle w:val="ListParagraph"/>
        <w:numPr>
          <w:ilvl w:val="0"/>
          <w:numId w:val="1"/>
        </w:numPr>
        <w:spacing w:after="70" w:line="268"/>
      </w:pPr>
      <w:r>
        <w:rPr>
          <w:rFonts w:ascii="Calibri" w:cs="Calibri" w:eastAsia="Calibri" w:hAnsi="Calibri"/>
          <w:b/>
          <w:bCs/>
          <w:sz w:val="21"/>
          <w:szCs w:val="21"/>
        </w:rPr>
        <w:t xml:space="preserve">Suministros de bienes</w:t>
      </w:r>
      <w:r>
        <w:rPr>
          <w:rFonts w:ascii="Calibri" w:cs="Calibri" w:eastAsia="Calibri" w:hAnsi="Calibri"/>
          <w:sz w:val="21"/>
          <w:szCs w:val="21"/>
        </w:rPr>
        <w:t xml:space="preserve"> y contratos sin componente de software mantenido.</w:t>
      </w:r>
    </w:p>
    <w:p>
      <w:pPr>
        <w:pStyle w:val="ListParagraph"/>
        <w:numPr>
          <w:ilvl w:val="0"/>
          <w:numId w:val="1"/>
        </w:numPr>
        <w:spacing w:after="70" w:line="268"/>
      </w:pPr>
      <w:r>
        <w:rPr>
          <w:rFonts w:ascii="Calibri" w:cs="Calibri" w:eastAsia="Calibri" w:hAnsi="Calibri"/>
          <w:b/>
          <w:bCs/>
          <w:sz w:val="21"/>
          <w:szCs w:val="21"/>
        </w:rPr>
        <w:t xml:space="preserve">Contratos menores, basados en acuerdo marco, adhesiones a centrales de compra y prórrogas</w:t>
      </w:r>
      <w:r>
        <w:rPr>
          <w:rFonts w:ascii="Calibri" w:cs="Calibri" w:eastAsia="Calibri" w:hAnsi="Calibri"/>
          <w:sz w:val="21"/>
          <w:szCs w:val="21"/>
        </w:rPr>
        <w:t xml:space="preserve">: no procede, por lo dicho en ADM-1·v3, epígrafe 7.</w:t>
      </w:r>
    </w:p>
    <w:p>
      <w:pPr>
        <w:pStyle w:val="ListParagraph"/>
        <w:numPr>
          <w:ilvl w:val="0"/>
          <w:numId w:val="1"/>
        </w:numPr>
        <w:spacing w:after="70" w:line="268"/>
      </w:pPr>
      <w:r>
        <w:rPr>
          <w:rFonts w:ascii="Calibri" w:cs="Calibri" w:eastAsia="Calibri" w:hAnsi="Calibri"/>
          <w:sz w:val="21"/>
          <w:szCs w:val="21"/>
        </w:rPr>
        <w:t xml:space="preserve">Cuando la Ficha del Anexo II marque NO APLICA. En ese caso hay que borrar también: los tipos correspondientes del cuadro de penalidades de ADM-5·v3, las letras del bloque B.2 de ADM-6·v3 que remitan al Anexo, </w:t>
      </w:r>
      <w:r>
        <w:rPr>
          <w:rFonts w:ascii="Calibri" w:cs="Calibri" w:eastAsia="Calibri" w:hAnsi="Calibri"/>
          <w:b/>
          <w:bCs/>
          <w:sz w:val="21"/>
          <w:szCs w:val="21"/>
        </w:rPr>
        <w:t xml:space="preserve">el criterio o criterios del baremo de ADM-7·v3 que valoren el alcance funcional o el plazo ofertados por encima de las exigencias del Anexo</w:t>
      </w:r>
      <w:r>
        <w:rPr>
          <w:rFonts w:ascii="Calibri" w:cs="Calibri" w:eastAsia="Calibri" w:hAnsi="Calibri"/>
          <w:sz w:val="21"/>
          <w:szCs w:val="21"/>
        </w:rPr>
        <w:t xml:space="preserve"> [criterio n.º ] y la casilla del Anexo VII de declaración responsable.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dice qué arrastra cada NO APLICA, y es la única fuente de esa información.</w:t>
      </w:r>
    </w:p>
    <w:p>
      <w:pPr>
        <w:pStyle w:val="Heading3"/>
        <w:keepNext/>
        <w:spacing w:after="140" w:before="320"/>
      </w:pPr>
      <w:r>
        <w:rPr>
          <w:rFonts w:ascii="Georgia" w:cs="Georgia" w:eastAsia="Georgia" w:hAnsi="Georgia"/>
          <w:b/>
          <w:bCs/>
          <w:color w:val="2F5496"/>
          <w:sz w:val="22"/>
          <w:szCs w:val="22"/>
        </w:rPr>
        <w:t xml:space="preserve">Nota al redactor · Por qué esta cláusula mata al v2 y qué exactamente se ha quitado</w:t>
      </w:r>
    </w:p>
    <w:p>
      <w:pPr>
        <w:spacing w:after="140" w:line="276"/>
      </w:pPr>
      <w:r>
        <w:rPr>
          <w:rFonts w:ascii="Calibri" w:cs="Calibri" w:eastAsia="Calibri" w:hAnsi="Calibri"/>
          <w:sz w:val="21"/>
          <w:szCs w:val="21"/>
        </w:rPr>
        <w:t xml:space="preserve">El texto de v2 decía: </w:t>
      </w:r>
      <w:r>
        <w:rPr>
          <w:rFonts w:ascii="Calibri" w:cs="Calibri" w:eastAsia="Calibri" w:hAnsi="Calibri"/>
          <w:i/>
          <w:iCs/>
          <w:sz w:val="21"/>
          <w:szCs w:val="21"/>
        </w:rPr>
        <w:t xml:space="preserve">«el compromiso del adjudicatario de mantener la solución o el servicio permanentemente actualizado e incorporar progresivamente las tecnologías Deep Tech que el Ayuntamiento determine como necesarias o convenientes»</w:t>
      </w:r>
      <w:r>
        <w:rPr>
          <w:rFonts w:ascii="Calibri" w:cs="Calibri" w:eastAsia="Calibri" w:hAnsi="Calibri"/>
          <w:sz w:val="21"/>
          <w:szCs w:val="21"/>
        </w:rPr>
        <w:t xml:space="preserve">. Tres defectos, y cualquiera de ellos basta:</w:t>
      </w:r>
    </w:p>
    <w:p>
      <w:pPr>
        <w:pStyle w:val="ListParagraph"/>
        <w:numPr>
          <w:ilvl w:val="0"/>
          <w:numId w:val="2"/>
        </w:numPr>
        <w:spacing w:after="70" w:line="268"/>
      </w:pPr>
      <w:r>
        <w:rPr>
          <w:rFonts w:ascii="Calibri" w:cs="Calibri" w:eastAsia="Calibri" w:hAnsi="Calibri"/>
          <w:b/>
          <w:bCs/>
          <w:sz w:val="21"/>
          <w:szCs w:val="21"/>
        </w:rPr>
        <w:t xml:space="preserve">«o convenientes»</w:t>
      </w:r>
      <w:r>
        <w:rPr>
          <w:rFonts w:ascii="Calibri" w:cs="Calibri" w:eastAsia="Calibri" w:hAnsi="Calibri"/>
          <w:sz w:val="21"/>
          <w:szCs w:val="21"/>
        </w:rPr>
        <w:t xml:space="preserve"> no exige siquiera necesidad. Es una obligación cuyo contenido lo fija después una de las partes.</w:t>
      </w:r>
    </w:p>
    <w:p>
      <w:pPr>
        <w:pStyle w:val="ListParagraph"/>
        <w:numPr>
          <w:ilvl w:val="0"/>
          <w:numId w:val="2"/>
        </w:numPr>
        <w:spacing w:after="70" w:line="268"/>
      </w:pPr>
      <w:r>
        <w:rPr>
          <w:rFonts w:ascii="Calibri" w:cs="Calibri" w:eastAsia="Calibri" w:hAnsi="Calibri"/>
          <w:b/>
          <w:bCs/>
          <w:sz w:val="21"/>
          <w:szCs w:val="21"/>
        </w:rPr>
        <w:t xml:space="preserve">«que el Ayuntamiento determine»</w:t>
      </w:r>
      <w:r>
        <w:rPr>
          <w:rFonts w:ascii="Calibri" w:cs="Calibri" w:eastAsia="Calibri" w:hAnsi="Calibri"/>
          <w:sz w:val="21"/>
          <w:szCs w:val="21"/>
        </w:rPr>
        <w:t xml:space="preserve"> entrega el alcance a la apreciación unilateral y futura del acreedor. El licitador no puede valorar económicamente lo que se obliga a hacer.</w:t>
      </w:r>
    </w:p>
    <w:p>
      <w:pPr>
        <w:pStyle w:val="ListParagraph"/>
        <w:numPr>
          <w:ilvl w:val="0"/>
          <w:numId w:val="2"/>
        </w:numPr>
        <w:spacing w:after="70" w:line="268"/>
      </w:pPr>
      <w:r>
        <w:rPr>
          <w:rFonts w:ascii="Calibri" w:cs="Calibri" w:eastAsia="Calibri" w:hAnsi="Calibri"/>
          <w:b/>
          <w:bCs/>
          <w:sz w:val="21"/>
          <w:szCs w:val="21"/>
        </w:rPr>
        <w:t xml:space="preserve">«permanentemente actualizado»</w:t>
      </w:r>
      <w:r>
        <w:rPr>
          <w:rFonts w:ascii="Calibri" w:cs="Calibri" w:eastAsia="Calibri" w:hAnsi="Calibri"/>
          <w:sz w:val="21"/>
          <w:szCs w:val="21"/>
        </w:rPr>
        <w:t xml:space="preserve"> remite a un estado del mercado desconocido en el momento de ofertar.</w:t>
      </w:r>
    </w:p>
    <w:p>
      <w:pPr>
        <w:spacing w:after="140" w:line="276"/>
      </w:pPr>
      <w:r>
        <w:rPr>
          <w:rFonts w:ascii="Calibri" w:cs="Calibri" w:eastAsia="Calibri" w:hAnsi="Calibri"/>
          <w:sz w:val="21"/>
          <w:szCs w:val="21"/>
        </w:rPr>
        <w:t xml:space="preserve">El estándar con el que se juzga esto está fijado, y es severo:</w:t>
      </w:r>
    </w:p>
    <w:p>
      <w:pPr>
        <w:pStyle w:val="ListParagraph"/>
        <w:numPr>
          <w:ilvl w:val="0"/>
          <w:numId w:val="1"/>
        </w:numPr>
        <w:spacing w:after="70" w:line="268"/>
      </w:pPr>
      <w:r>
        <w:rPr>
          <w:rFonts w:ascii="Calibri" w:cs="Calibri" w:eastAsia="Calibri" w:hAnsi="Calibri"/>
          <w:i/>
          <w:iCs/>
          <w:sz w:val="21"/>
          <w:szCs w:val="21"/>
        </w:rPr>
        <w:t xml:space="preserve">«las obligaciones genéricas o imprecisas no pueden configurarse como propias de un contrato, pues ello afectaría al objeto de consentimiento, base para el mutuo acuerdo, como elemento esencial de este; menos aún pueden elevarse a categoría de obligaciones esenciales de este, cuyo incumplimiento habilite a la resolución»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FD Séptimo. En esa resolución el Tribunal </w:t>
      </w:r>
      <w:r>
        <w:rPr>
          <w:rFonts w:ascii="Calibri" w:cs="Calibri" w:eastAsia="Calibri" w:hAnsi="Calibri"/>
          <w:b/>
          <w:bCs/>
          <w:sz w:val="21"/>
          <w:szCs w:val="21"/>
        </w:rPr>
        <w:t xml:space="preserve">anuló</w:t>
      </w:r>
      <w:r>
        <w:rPr>
          <w:rFonts w:ascii="Calibri" w:cs="Calibri" w:eastAsia="Calibri" w:hAnsi="Calibri"/>
          <w:sz w:val="21"/>
          <w:szCs w:val="21"/>
        </w:rPr>
        <w:t xml:space="preserve"> las cláusulas 29 y 39 del pliego y ordenó la retroacción del procedimiento. </w:t>
      </w:r>
      <w:hyperlink w:history="1" r:id="rId2lokhyz-c-xhnysf36onh">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%2027-9-2022.pdf)</w:t>
      </w:r>
    </w:p>
    <w:p>
      <w:pPr>
        <w:pStyle w:val="ListParagraph"/>
        <w:numPr>
          <w:ilvl w:val="0"/>
          <w:numId w:val="1"/>
        </w:numPr>
        <w:spacing w:after="70" w:line="268"/>
      </w:pPr>
      <w:r>
        <w:rPr>
          <w:rFonts w:ascii="Calibri" w:cs="Calibri" w:eastAsia="Calibri" w:hAnsi="Calibri"/>
          <w:i/>
          <w:iCs/>
          <w:sz w:val="21"/>
          <w:szCs w:val="21"/>
        </w:rPr>
        <w:t xml:space="preserve">«este Tribunal aprecia que la cláusula no se encuentra redactada de forma precisa, clara e inequívoca, lo que conduciría per se a su anulación»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FD Noveno. </w:t>
      </w:r>
      <w:hyperlink w:history="1" r:id="rIds9hipb1qhhndj-l0ykkat">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%2020-10-2022.pdf)</w:t>
      </w:r>
    </w:p>
    <w:p>
      <w:pPr>
        <w:pStyle w:val="ListParagraph"/>
        <w:numPr>
          <w:ilvl w:val="0"/>
          <w:numId w:val="1"/>
        </w:numPr>
        <w:spacing w:after="70" w:line="268"/>
      </w:pPr>
      <w:r>
        <w:rPr>
          <w:rFonts w:ascii="Calibri" w:cs="Calibri" w:eastAsia="Calibri" w:hAnsi="Calibri"/>
          <w:i/>
          <w:iCs/>
          <w:sz w:val="21"/>
          <w:szCs w:val="21"/>
        </w:rPr>
        <w:t xml:space="preserve">«su redacción es demasiado amplia y genérica, careciendo del grado de concreción exigible, es decir, en realidad el PCAP no establece condición especial de ejecución alguna»</w:t>
      </w:r>
      <w:r>
        <w:rPr>
          <w:rFonts w:ascii="Calibri" w:cs="Calibri" w:eastAsia="Calibri" w:hAnsi="Calibri"/>
          <w:sz w:val="21"/>
          <w:szCs w:val="21"/>
        </w:rPr>
        <w:t xml:space="preserve"> — TACRC, Resolución 1071/2018, de 23 de noviembre, según su reproducción literal en la </w:t>
      </w: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FD Séptimo, donde el Tribunal razonó la imprecisión de la cláusula 24 del PCAP «dada su redacción imprecisa y falta de concreción», si bien el ACUERDA declara la nulidad de las cláusulas 42 y 58 del PCAP y del apartado 23.2.3 del Cuadro de Características. Al cotejar la resolución debe advertirse esa discordancia interna entre el fundamento y la parte dispositiva. La condición especial impugnada era de contenido no tecnológico (prohibición de contratar e integridad en la ejecución) en un contrato de conservación de carreteras. </w:t>
      </w:r>
      <w:hyperlink w:history="1" r:id="rIdpv4pwno6s2wk3tmbkwizb">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w:t>
      </w:r>
    </w:p>
    <w:p>
      <w:pPr>
        <w:pStyle w:val="ListParagraph"/>
        <w:numPr>
          <w:ilvl w:val="0"/>
          <w:numId w:val="1"/>
        </w:numPr>
        <w:spacing w:after="70" w:line="268"/>
      </w:pPr>
      <w:r>
        <w:rPr>
          <w:rFonts w:ascii="Calibri" w:cs="Calibri" w:eastAsia="Calibri" w:hAnsi="Calibri"/>
          <w:i/>
          <w:iCs/>
          <w:sz w:val="21"/>
          <w:szCs w:val="21"/>
        </w:rPr>
        <w:t xml:space="preserve">«las condiciones especiales de ejecución pueden establecerse como tales pero solo pueden calificarse como obligaciones esenciales si se delimitan y configuran debidamente, no de forma meramente genérica»</w:t>
      </w:r>
      <w:r>
        <w:rPr>
          <w:rFonts w:ascii="Calibri" w:cs="Calibri" w:eastAsia="Calibri" w:hAnsi="Calibri"/>
          <w:sz w:val="21"/>
          <w:szCs w:val="21"/>
        </w:rPr>
        <w:t xml:space="preserve"> — </w:t>
      </w:r>
      <w:r>
        <w:rPr>
          <w:rFonts w:ascii="Calibri" w:cs="Calibri" w:eastAsia="Calibri" w:hAnsi="Calibri"/>
          <w:b/>
          <w:bCs/>
          <w:sz w:val="21"/>
          <w:szCs w:val="21"/>
        </w:rPr>
        <w:t xml:space="preserve">Servicio de Asesoramiento y Normalización de los Procedimientos de Contratación de la Junta de Comunidades de Castilla-La Mancha, Consulta 019/2022</w:t>
      </w:r>
      <w:r>
        <w:rPr>
          <w:rFonts w:ascii="Calibri" w:cs="Calibri" w:eastAsia="Calibri" w:hAnsi="Calibri"/>
          <w:sz w:val="21"/>
          <w:szCs w:val="21"/>
        </w:rPr>
        <w:t xml:space="preserve">. Dos cautelas que hay que hacer constar: la respuesta declara ella misma que «tiene carácter meramente informativo y en ningún caso resulta vinculante», y </w:t>
      </w:r>
      <w:r>
        <w:rPr>
          <w:rFonts w:ascii="Calibri" w:cs="Calibri" w:eastAsia="Calibri" w:hAnsi="Calibri"/>
          <w:b/>
          <w:bCs/>
          <w:sz w:val="21"/>
          <w:szCs w:val="21"/>
        </w:rPr>
        <w:t xml:space="preserve">la frase transcrita no es suya</w:t>
      </w:r>
      <w:r>
        <w:rPr>
          <w:rFonts w:ascii="Calibri" w:cs="Calibri" w:eastAsia="Calibri" w:hAnsi="Calibri"/>
          <w:sz w:val="21"/>
          <w:szCs w:val="21"/>
        </w:rPr>
        <w:t xml:space="preserve">: la consulta la entrecomilla como cita de una resolución del TACRC que no identifica, de modo que se recoge aquí de segunda mano. </w:t>
      </w:r>
      <w:hyperlink w:history="1" r:id="rId9grfxflix6zvbr7on4a1u">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Ninguna versa sobre condiciones especiales de contenido tecnológico o evolutivo: sobre esa materia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TACRC, del TACP de la Comunidad de Madrid y del OARC/KEAO. No hay precedente favorable en el que ampararse ni precedente contrario que temer. Precisamente por eso el blindaje es de técnica de redacción y de expediente, no de cita.</w:t>
      </w:r>
    </w:p>
    <w:p>
      <w:pPr>
        <w:spacing w:after="140" w:line="276"/>
      </w:pPr>
      <w:r>
        <w:rPr>
          <w:rFonts w:ascii="Calibri" w:cs="Calibri" w:eastAsia="Calibri" w:hAnsi="Calibri"/>
          <w:b/>
          <w:bCs/>
          <w:sz w:val="21"/>
          <w:szCs w:val="21"/>
        </w:rPr>
        <w:t xml:space="preserve">Qué hace v3 con eso.</w:t>
      </w:r>
      <w:r>
        <w:rPr>
          <w:rFonts w:ascii="Calibri" w:cs="Calibri" w:eastAsia="Calibri" w:hAnsi="Calibri"/>
          <w:sz w:val="21"/>
          <w:szCs w:val="21"/>
        </w:rPr>
        <w:t xml:space="preserve"> Desplaza la indeterminación del articulado a un anexo cerrado, fechado y transcrito en el pliego, y anuda el nacimiento de la obligación a hechos objetivamente verificables. Es, además, el molde que la propia ley usa para las modificaciones previstas (artículo 204.1: formulación «clara, precisa e inequívoca» y activación «por referencia a circunstancias cuya concurrencia pueda verificarse de forma objetiva»). Si ese estándar es suficiente para modificar un contrato, es suficiente para hacer nacer una obligación dentro de él.</w:t>
      </w:r>
    </w:p>
    <w:p>
      <w:pPr>
        <w:spacing w:after="140" w:line="276"/>
      </w:pPr>
      <w:r>
        <w:rPr>
          <w:rFonts w:ascii="Calibri" w:cs="Calibri" w:eastAsia="Calibri" w:hAnsi="Calibri"/>
          <w:sz w:val="21"/>
          <w:szCs w:val="21"/>
        </w:rPr>
        <w:t xml:space="preserve">Y responde a la objeción económica, que es la que un tribunal aprecia sin necesidad de doctrina: el Tribunal Administrativo de Contratos Públicos de Aragón anuló por ilegal la cláusula que hacía al contratista asumir sin retribución adicional el impacto económico de una modificación, porque rompe la equivalencia de prestaciones y porque los licitadores acaban metiendo el riesgo en el precio (</w:t>
      </w:r>
      <w:r>
        <w:rPr>
          <w:rFonts w:ascii="Calibri" w:cs="Calibri" w:eastAsia="Calibri" w:hAnsi="Calibri"/>
          <w:b/>
          <w:bCs/>
          <w:sz w:val="21"/>
          <w:szCs w:val="21"/>
        </w:rPr>
        <w:t xml:space="preserve">Acuerdo 76/2015, de 20 de julio de 2015</w:t>
      </w:r>
      <w:r>
        <w:rPr>
          <w:rFonts w:ascii="Calibri" w:cs="Calibri" w:eastAsia="Calibri" w:hAnsi="Calibri"/>
          <w:sz w:val="21"/>
          <w:szCs w:val="21"/>
        </w:rPr>
        <w:t xml:space="preserve">, FD Tercero; </w:t>
      </w:r>
      <w:hyperlink w:history="1" r:id="rIdzbwskoavotggbbe2ddrbc">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doctrina general trasladada por analogía). Una evolución indeterminada y gratuita cae por ahí. Una exigencia determinada en el Anexo el día de licitar, no: se puede presupuestar.</w:t>
      </w:r>
    </w:p>
    <w:p>
      <w:pPr>
        <w:spacing w:after="140" w:line="276"/>
      </w:pPr>
      <w:r>
        <w:rPr>
          <w:rFonts w:ascii="Calibri" w:cs="Calibri" w:eastAsia="Calibri" w:hAnsi="Calibri"/>
          <w:b/>
          <w:bCs/>
          <w:sz w:val="21"/>
          <w:szCs w:val="21"/>
        </w:rPr>
        <w:t xml:space="preserve">El punto más delicado: no anudar la esencialidad a hechos ajenos al contratista.</w:t>
      </w:r>
      <w:r>
        <w:rPr>
          <w:rFonts w:ascii="Calibri" w:cs="Calibri" w:eastAsia="Calibri" w:hAnsi="Calibri"/>
          <w:sz w:val="21"/>
          <w:szCs w:val="21"/>
        </w:rPr>
        <w:t xml:space="preserve"> El apartado 6 está redactado para eso. Que el fabricante publique o no una versión sucesora, que declare fin de soporte o que se publique una nueva versión de un estándar </w:t>
      </w:r>
      <w:r>
        <w:rPr>
          <w:rFonts w:ascii="Calibri" w:cs="Calibri" w:eastAsia="Calibri" w:hAnsi="Calibri"/>
          <w:b/>
          <w:bCs/>
          <w:sz w:val="21"/>
          <w:szCs w:val="21"/>
        </w:rPr>
        <w:t xml:space="preserve">no son incumplimientos</w:t>
      </w:r>
      <w:r>
        <w:rPr>
          <w:rFonts w:ascii="Calibri" w:cs="Calibri" w:eastAsia="Calibri" w:hAnsi="Calibri"/>
          <w:sz w:val="21"/>
          <w:szCs w:val="21"/>
        </w:rPr>
        <w:t xml:space="preserve">: son </w:t>
      </w:r>
      <w:r>
        <w:rPr>
          <w:rFonts w:ascii="Calibri" w:cs="Calibri" w:eastAsia="Calibri" w:hAnsi="Calibri"/>
          <w:i/>
          <w:iCs/>
          <w:sz w:val="21"/>
          <w:szCs w:val="21"/>
        </w:rPr>
        <w:t xml:space="preserve">condiciones de nacimiento</w:t>
      </w:r>
      <w:r>
        <w:rPr>
          <w:rFonts w:ascii="Calibri" w:cs="Calibri" w:eastAsia="Calibri" w:hAnsi="Calibri"/>
          <w:sz w:val="21"/>
          <w:szCs w:val="21"/>
        </w:rPr>
        <w:t xml:space="preserve"> de una obligación. Lo que se exige, y lo único que se sanciona, son conductas del contratista: </w:t>
      </w:r>
      <w:r>
        <w:rPr>
          <w:rFonts w:ascii="Calibri" w:cs="Calibri" w:eastAsia="Calibri" w:hAnsi="Calibri"/>
          <w:b/>
          <w:bCs/>
          <w:sz w:val="21"/>
          <w:szCs w:val="21"/>
        </w:rPr>
        <w:t xml:space="preserve">comunicar</w:t>
      </w:r>
      <w:r>
        <w:rPr>
          <w:rFonts w:ascii="Calibri" w:cs="Calibri" w:eastAsia="Calibri" w:hAnsi="Calibri"/>
          <w:sz w:val="21"/>
          <w:szCs w:val="21"/>
        </w:rPr>
        <w:t xml:space="preserve"> la publicación,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y a lo que él tiene acceso, e </w:t>
      </w:r>
      <w:r>
        <w:rPr>
          <w:rFonts w:ascii="Calibri" w:cs="Calibri" w:eastAsia="Calibri" w:hAnsi="Calibri"/>
          <w:b/>
          <w:bCs/>
          <w:sz w:val="21"/>
          <w:szCs w:val="21"/>
        </w:rPr>
        <w:t xml:space="preserve">implantar</w:t>
      </w:r>
      <w:r>
        <w:rPr>
          <w:rFonts w:ascii="Calibri" w:cs="Calibri" w:eastAsia="Calibri" w:hAnsi="Calibri"/>
          <w:sz w:val="21"/>
          <w:szCs w:val="21"/>
        </w:rPr>
        <w:t xml:space="preserve"> en el plazo aprobado. Si el fabricante no publica nada, no hay obligación ni incumplimiento, y el pliego lo dice con todas las letras. Si el contratista es integrador y el fabricante le deniega el acceso, queda exonerado acreditándolo. Sin esa redacción se estaría configurando una responsabilidad objetiva por el comportamiento de un tercero, que es el reproche más limpio que un letrado puede hacerle a esta cláusula. La observación de Ondiviela de agosto de 2026 —el fabricante «puede publicar versiones sucesoras de contenido limitado y cumplir formalmente»— es cierta, y por eso lo que asegura capacidades concretas no es este apartado, sino el Anexo del apartado 1.</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III.3 · ADM-3·v3 — Plazos de adaptación y bolsa de servicios evolutivos</w:t>
      </w:r>
    </w:p>
    <w:p>
      <w:pPr>
        <w:spacing w:after="140" w:line="276"/>
      </w:pPr>
      <w:r>
        <w:rPr>
          <w:rFonts w:ascii="Calibri" w:cs="Calibri" w:eastAsia="Calibri" w:hAnsi="Calibri"/>
          <w:i/>
          <w:iCs/>
          <w:sz w:val="21"/>
          <w:szCs w:val="21"/>
        </w:rPr>
        <w:t xml:space="preserve">(Sustituye a ADM-3 de v2. Se suprimen «dentro del alcance razonable del contrato» y «salvo que se fije motivadamente un plazo inferior». El </w:t>
      </w:r>
      <w:r>
        <w:rPr>
          <w:rFonts w:ascii="Calibri" w:cs="Calibri" w:eastAsia="Calibri" w:hAnsi="Calibri"/>
          <w:i/>
          <w:iCs/>
          <w:sz w:val="21"/>
          <w:szCs w:val="21"/>
        </w:rPr>
        <w:t xml:space="preserve">Plan Anual de Evolución Tecnológica</w:t>
      </w:r>
      <w:r>
        <w:rPr>
          <w:rFonts w:ascii="Calibri" w:cs="Calibri" w:eastAsia="Calibri" w:hAnsi="Calibri"/>
          <w:sz w:val="21"/>
          <w:szCs w:val="21"/>
        </w:rPr>
        <w:t xml:space="preserve">* y la aprobación expresa de sus hitos, que los primeros borradores de v3 regulaban aquí, tienen sede única en </w:t>
      </w:r>
      <w:r>
        <w:rPr>
          <w:rFonts w:ascii="Calibri" w:cs="Calibri" w:eastAsia="Calibri" w:hAnsi="Calibri"/>
          <w:b/>
          <w:bCs/>
          <w:sz w:val="21"/>
          <w:szCs w:val="21"/>
        </w:rPr>
        <w:t xml:space="preserve">ADM-10·v3</w:t>
      </w:r>
      <w:r>
        <w:rPr>
          <w:rFonts w:ascii="Calibri" w:cs="Calibri" w:eastAsia="Calibri" w:hAnsi="Calibri"/>
          <w:sz w:val="21"/>
          <w:szCs w:val="21"/>
        </w:rPr>
        <w:t xml:space="preserve">: esta cláusula conserva los plazos de adaptación y la bolsa de servicios evolutivos, y no reproduce el Plan para que las dos redacciones no puedan divergir.)*</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Bloque 1 — Plazos de adaptación.</w:t>
      </w:r>
      <w:r>
        <w:rPr>
          <w:rFonts w:ascii="Calibri" w:cs="Calibri" w:eastAsia="Calibri" w:hAnsi="Calibri"/>
          <w:sz w:val="21"/>
          <w:szCs w:val="21"/>
        </w:rPr>
        <w:t xml:space="preserve"> Se copia siempre que se haya incorporado ADM-2·v3.</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Plazos de adaptación de las exigencias tecnológicas determinadas.</w:t>
            </w:r>
          </w:p>
          <w:p>
            <w:pPr>
              <w:spacing w:after="100" w:line="264"/>
            </w:pPr>
            <w:r>
              <w:rPr>
                <w:rFonts w:ascii="Georgia" w:cs="Georgia" w:eastAsia="Georgia" w:hAnsi="Georgia"/>
                <w:sz w:val="20"/>
                <w:szCs w:val="20"/>
              </w:rPr>
              <w:t xml:space="preserve">Los plazos de implantación de las exigencias del Anexo de Exigencias Tecnológicas Determinadas son los que el propio Anexo fija para cada una. No podrán establecerse durante la ejecución plazos distintos de los allí previstos, salvo que una norma imponga otro plazo, en cuyo caso se estará al legalmente exigible. Las prestaciones que excedan del alcance del Anexo se tramitarán, en su caso, como modificación del contrato conforme a los artículos 203 y 204 de la Ley 9/2017.</w:t>
            </w:r>
          </w:p>
        </w:tc>
      </w:tr>
    </w:tbl>
    <w:p>
      <w:pPr>
        <w:spacing w:after="220"/>
      </w:pPr>
    </w:p>
    <w:p>
      <w:pPr>
        <w:spacing w:after="140" w:line="276"/>
      </w:pPr>
      <w:r>
        <w:rPr>
          <w:rFonts w:ascii="Calibri" w:cs="Calibri" w:eastAsia="Calibri" w:hAnsi="Calibri"/>
          <w:i/>
          <w:iCs/>
          <w:sz w:val="21"/>
          <w:szCs w:val="21"/>
        </w:rPr>
        <w:t xml:space="preserve">El Plan Anual de Evolución Tecnológica —contenido mínimo, plazo de presentación y aprobación expresa de hitos— se incorpora al pliego por la cláusula </w:t>
      </w:r>
      <w:r>
        <w:rPr>
          <w:rFonts w:ascii="Calibri" w:cs="Calibri" w:eastAsia="Calibri" w:hAnsi="Calibri"/>
          <w:i/>
          <w:iCs/>
          <w:sz w:val="21"/>
          <w:szCs w:val="21"/>
        </w:rPr>
        <w:t xml:space="preserve">ADM-10·v3</w:t>
      </w:r>
      <w:r>
        <w:rPr>
          <w:rFonts w:ascii="Calibri" w:cs="Calibri" w:eastAsia="Calibri" w:hAnsi="Calibri"/>
          <w:i/>
          <w:iCs/>
          <w:sz w:val="21"/>
          <w:szCs w:val="21"/>
        </w:rPr>
        <w:t xml:space="preserve">, que es su sede única. El modelo de Plan está en el </w:t>
      </w:r>
      <w:r>
        <w:rPr>
          <w:rFonts w:ascii="Calibri" w:cs="Calibri" w:eastAsia="Calibri" w:hAnsi="Calibri"/>
          <w:i/>
          <w:iCs/>
          <w:sz w:val="21"/>
          <w:szCs w:val="21"/>
        </w:rPr>
        <w:t xml:space="preserve">Anexo XIV</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Bloque 2 — Bolsa de servicios evolutivos.</w:t>
      </w:r>
      <w:r>
        <w:rPr>
          <w:rFonts w:ascii="Calibri" w:cs="Calibri" w:eastAsia="Calibri" w:hAnsi="Calibri"/>
          <w:sz w:val="21"/>
          <w:szCs w:val="21"/>
        </w:rPr>
        <w:t xml:space="preserve"> </w:t>
      </w:r>
      <w:r>
        <w:rPr>
          <w:rFonts w:ascii="Calibri" w:cs="Calibri" w:eastAsia="Calibri" w:hAnsi="Calibri"/>
          <w:b/>
          <w:bCs/>
          <w:sz w:val="21"/>
          <w:szCs w:val="21"/>
        </w:rPr>
        <w:t xml:space="preserve">Opcional.</w:t>
      </w:r>
      <w:r>
        <w:rPr>
          <w:rFonts w:ascii="Calibri" w:cs="Calibri" w:eastAsia="Calibri" w:hAnsi="Calibri"/>
          <w:sz w:val="21"/>
          <w:szCs w:val="21"/>
        </w:rPr>
        <w:t xml:space="preserve"> Se copia </w:t>
      </w:r>
      <w:r>
        <w:rPr>
          <w:rFonts w:ascii="Calibri" w:cs="Calibri" w:eastAsia="Calibri" w:hAnsi="Calibri"/>
          <w:b/>
          <w:bCs/>
          <w:sz w:val="21"/>
          <w:szCs w:val="21"/>
        </w:rPr>
        <w:t xml:space="preserve">únicamente</w:t>
      </w:r>
      <w:r>
        <w:rPr>
          <w:rFonts w:ascii="Calibri" w:cs="Calibri" w:eastAsia="Calibri" w:hAnsi="Calibri"/>
          <w:sz w:val="21"/>
          <w:szCs w:val="21"/>
        </w:rPr>
        <w:t xml:space="preserve"> en contratos de servicios que impliquen desarrollo o mantenimiento de aplicaciones informáticas, y previo informe del órgano al que corresponda el informe jurídico preceptivo (Asesoría Jurídica en municipios de gran población, como Pozuelo de Alarcón; Secretaría en el régimen común).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Bolsa de servicios evolutivos.</w:t>
            </w:r>
          </w:p>
          <w:p>
            <w:pPr>
              <w:pStyle w:val="ListParagraph"/>
              <w:numPr>
                <w:ilvl w:val="0"/>
                <w:numId w:val="2"/>
              </w:numPr>
              <w:spacing w:after="60" w:line="264"/>
            </w:pPr>
            <w:r>
              <w:rPr>
                <w:rFonts w:ascii="Georgia" w:cs="Georgia" w:eastAsia="Georgia" w:hAnsi="Georgia"/>
                <w:b/>
                <w:bCs/>
                <w:sz w:val="20"/>
                <w:szCs w:val="20"/>
              </w:rPr>
              <w:t xml:space="preserve">Objeto y encaje.</w:t>
            </w:r>
            <w:r>
              <w:rPr>
                <w:rFonts w:ascii="Georgia" w:cs="Georgia" w:eastAsia="Georgia" w:hAnsi="Georgia"/>
                <w:sz w:val="20"/>
                <w:szCs w:val="20"/>
              </w:rPr>
              <w:t xml:space="preserve"> Al amparo del artículo 308.3 de la Ley 9/2017, el objeto de este contrato comprende, además de las prestaciones descritas en el Pliego de Prescripciones Técnicas, la ejecución de servicios evolutivos sobre la aplicación contratada, definidos por componentes de prestación y retribuidos por unidades de actividad conforme al Cuadro de Precios Unitarios que forma parte de la oferta del contratista.</w:t>
            </w:r>
          </w:p>
          <w:p>
            <w:pPr>
              <w:pStyle w:val="ListParagraph"/>
              <w:numPr>
                <w:ilvl w:val="0"/>
                <w:numId w:val="2"/>
              </w:numPr>
              <w:spacing w:after="60" w:line="264"/>
            </w:pPr>
            <w:r>
              <w:rPr>
                <w:rFonts w:ascii="Georgia" w:cs="Georgia" w:eastAsia="Georgia" w:hAnsi="Georgia"/>
                <w:b/>
                <w:bCs/>
                <w:sz w:val="20"/>
                <w:szCs w:val="20"/>
              </w:rPr>
              <w:t xml:space="preserve">Catálogo cerrado de peticiones admisibles.</w:t>
            </w:r>
            <w:r>
              <w:rPr>
                <w:rFonts w:ascii="Georgia" w:cs="Georgia" w:eastAsia="Georgia" w:hAnsi="Georgia"/>
                <w:sz w:val="20"/>
                <w:szCs w:val="20"/>
              </w:rPr>
              <w:t xml:space="preserve"> Sólo podrán solicitarse con cargo a esta bolsa las siguientes clases de trabajos, todas ellas referidas a la aplicación objeto del contrato: (i) modificación de formularios, informes, listados o cuadros de mando existentes; (ii) creación o modificación de reglas de validación y de flujos de tramitación ya soportados por la aplicación; (iii) creación o modificación de integraciones con sistemas municipales o con servicios comunes de la Administración; (iv) adaptación de la parametrización a cambios organizativos o normativos; (v) migración, depuración o carga de datos; (vi) ampliación del alcance funcional de la interfaz de acceso programático dentro de los módulos contratados. </w:t>
            </w:r>
            <w:r>
              <w:rPr>
                <w:rFonts w:ascii="Georgia" w:cs="Georgia" w:eastAsia="Georgia" w:hAnsi="Georgia"/>
                <w:b/>
                <w:bCs/>
                <w:sz w:val="20"/>
                <w:szCs w:val="20"/>
              </w:rPr>
              <w:t xml:space="preserve">Queda excluida toda petición que suponga módulos funcionales nuevos o prestaciones ajenas al objeto del contrato.</w:t>
            </w:r>
          </w:p>
          <w:p>
            <w:pPr>
              <w:pStyle w:val="ListParagraph"/>
              <w:numPr>
                <w:ilvl w:val="0"/>
                <w:numId w:val="2"/>
              </w:numPr>
              <w:spacing w:after="60" w:line="264"/>
            </w:pPr>
            <w:r>
              <w:rPr>
                <w:rFonts w:ascii="Georgia" w:cs="Georgia" w:eastAsia="Georgia" w:hAnsi="Georgia"/>
                <w:b/>
                <w:bCs/>
                <w:sz w:val="20"/>
                <w:szCs w:val="20"/>
              </w:rPr>
              <w:t xml:space="preserve">Volumen máximo y precio.</w:t>
            </w:r>
            <w:r>
              <w:rPr>
                <w:rFonts w:ascii="Georgia" w:cs="Georgia" w:eastAsia="Georgia" w:hAnsi="Georgia"/>
                <w:sz w:val="20"/>
                <w:szCs w:val="20"/>
              </w:rPr>
              <w:t xml:space="preserve"> El número máximo de horas por perfil profesional es el que figura en el cuadro de características de este pliego. Las horas se retribuyen a los precios unitarios de la oferta del contratista, y </w:t>
            </w:r>
            <w:r>
              <w:rPr>
                <w:rFonts w:ascii="Georgia" w:cs="Georgia" w:eastAsia="Georgia" w:hAnsi="Georgia"/>
                <w:b/>
                <w:bCs/>
                <w:sz w:val="20"/>
                <w:szCs w:val="20"/>
              </w:rPr>
              <w:t xml:space="preserve">sólo las efectivamente ejecutadas y recibidas de conformidad</w:t>
            </w:r>
            <w:r>
              <w:rPr>
                <w:rFonts w:ascii="Georgia" w:cs="Georgia" w:eastAsia="Georgia" w:hAnsi="Georgia"/>
                <w:sz w:val="20"/>
                <w:szCs w:val="20"/>
              </w:rPr>
              <w:t xml:space="preserve">. El importe correspondiente a las horas no consumidas no se abona, no genera derecho a indemnización ni a compensación de ningún tipo, y no será objeto de facturación al término del contrato.</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Cada trabajo se solicitará mediante </w:t>
            </w:r>
            <w:r>
              <w:rPr>
                <w:rFonts w:ascii="Georgia" w:cs="Georgia" w:eastAsia="Georgia" w:hAnsi="Georgia"/>
                <w:b/>
                <w:bCs/>
                <w:sz w:val="20"/>
                <w:szCs w:val="20"/>
              </w:rPr>
              <w:t xml:space="preserve">petición de servicio</w:t>
            </w:r>
            <w:r>
              <w:rPr>
                <w:rFonts w:ascii="Georgia" w:cs="Georgia" w:eastAsia="Georgia" w:hAnsi="Georgia"/>
                <w:sz w:val="20"/>
                <w:szCs w:val="20"/>
              </w:rPr>
              <w:t xml:space="preserve"> escrita del responsable del contrato, que identificará el resultado a obtener, los criterios de aceptación y el plazo. El contratista presentará estimación de horas por perfil en el plazo de [X; se recomienda 5] días hábiles. Aceptada la estimación por el responsable del contrato, el contratista ejecutará el trabajo con </w:t>
            </w:r>
            <w:r>
              <w:rPr>
                <w:rFonts w:ascii="Georgia" w:cs="Georgia" w:eastAsia="Georgia" w:hAnsi="Georgia"/>
                <w:b/>
                <w:bCs/>
                <w:sz w:val="20"/>
                <w:szCs w:val="20"/>
              </w:rPr>
              <w:t xml:space="preserve">su propio personal, bajo su exclusiva dirección y organización</w:t>
            </w:r>
            <w:r>
              <w:rPr>
                <w:rFonts w:ascii="Georgia" w:cs="Georgia" w:eastAsia="Georgia" w:hAnsi="Georgia"/>
                <w:sz w:val="20"/>
                <w:szCs w:val="20"/>
              </w:rPr>
              <w:t xml:space="preserve">. La recepción se documentará en acta con verificación de los criterios de aceptación. </w:t>
            </w:r>
            <w:r>
              <w:rPr>
                <w:rFonts w:ascii="Georgia" w:cs="Georgia" w:eastAsia="Georgia" w:hAnsi="Georgia"/>
                <w:b/>
                <w:bCs/>
                <w:sz w:val="20"/>
                <w:szCs w:val="20"/>
              </w:rPr>
              <w:t xml:space="preserve">El Ayuntamiento no dirige ni organiza al personal del contratista, no le asigna tareas individuales, no controla su jornada y no interviene en su régimen laboral.</w:t>
            </w:r>
          </w:p>
          <w:p>
            <w:pPr>
              <w:pStyle w:val="ListParagraph"/>
              <w:numPr>
                <w:ilvl w:val="0"/>
                <w:numId w:val="2"/>
              </w:numPr>
              <w:spacing w:after="60" w:line="264"/>
            </w:pPr>
            <w:r>
              <w:rPr>
                <w:rFonts w:ascii="Georgia" w:cs="Georgia" w:eastAsia="Georgia" w:hAnsi="Georgia"/>
                <w:b/>
                <w:bCs/>
                <w:sz w:val="20"/>
                <w:szCs w:val="20"/>
              </w:rPr>
              <w:t xml:space="preserve">Límite y base de cálculo.</w:t>
            </w:r>
            <w:r>
              <w:rPr>
                <w:rFonts w:ascii="Georgia" w:cs="Georgia" w:eastAsia="Georgia" w:hAnsi="Georgia"/>
                <w:sz w:val="20"/>
                <w:szCs w:val="20"/>
              </w:rPr>
              <w:t xml:space="preserve"> El importe máximo de esta bolsa </w:t>
            </w:r>
            <w:r>
              <w:rPr>
                <w:rFonts w:ascii="Georgia" w:cs="Georgia" w:eastAsia="Georgia" w:hAnsi="Georgia"/>
                <w:b/>
                <w:bCs/>
                <w:sz w:val="20"/>
                <w:szCs w:val="20"/>
              </w:rPr>
              <w:t xml:space="preserve">no excederá del [X; se recomienda 5] por ciento del presupuesto base de licitación correspondiente a la duración inicial del contrato, sin impuesto sobre el valor añadido, ni en ningún caso del 10 por ciento de esa misma base</w:t>
            </w:r>
            <w:r>
              <w:rPr>
                <w:rFonts w:ascii="Georgia" w:cs="Georgia" w:eastAsia="Georgia" w:hAnsi="Georgia"/>
                <w:sz w:val="20"/>
                <w:szCs w:val="20"/>
              </w:rPr>
              <w:t xml:space="preserve">. Cuando el contrato prevea prórrogas, el cuadro de características indicará </w:t>
            </w:r>
            <w:r>
              <w:rPr>
                <w:rFonts w:ascii="Georgia" w:cs="Georgia" w:eastAsia="Georgia" w:hAnsi="Georgia"/>
                <w:b/>
                <w:bCs/>
                <w:sz w:val="20"/>
                <w:szCs w:val="20"/>
              </w:rPr>
              <w:t xml:space="preserve">expresamente si la bolsa se dota también para cada anualidad prorrogada y por qué importe</w:t>
            </w:r>
            <w:r>
              <w:rPr>
                <w:rFonts w:ascii="Georgia" w:cs="Georgia" w:eastAsia="Georgia" w:hAnsi="Georgia"/>
                <w:sz w:val="20"/>
                <w:szCs w:val="20"/>
              </w:rPr>
              <w:t xml:space="preserve">, calculado sobre la misma base y con el mismo porcentaje; el importe correspondiente a las prórrogas sólo se autoriza cuando la prórroga se acuerde. La suma de los importes máximos de todas las anualidades se consigna en el cuadro de características, </w:t>
            </w:r>
            <w:r>
              <w:rPr>
                <w:rFonts w:ascii="Georgia" w:cs="Georgia" w:eastAsia="Georgia" w:hAnsi="Georgia"/>
                <w:b/>
                <w:bCs/>
                <w:sz w:val="20"/>
                <w:szCs w:val="20"/>
              </w:rPr>
              <w:t xml:space="preserve">forma parte del presupuesto base de licitación</w:t>
            </w:r>
            <w:r>
              <w:rPr>
                <w:rFonts w:ascii="Georgia" w:cs="Georgia" w:eastAsia="Georgia" w:hAnsi="Georgia"/>
                <w:sz w:val="20"/>
                <w:szCs w:val="20"/>
              </w:rPr>
              <w:t xml:space="preserve"> —y, con él, del crédito que se autoriza— y </w:t>
            </w:r>
            <w:r>
              <w:rPr>
                <w:rFonts w:ascii="Georgia" w:cs="Georgia" w:eastAsia="Georgia" w:hAnsi="Georgia"/>
                <w:b/>
                <w:bCs/>
                <w:sz w:val="20"/>
                <w:szCs w:val="20"/>
              </w:rPr>
              <w:t xml:space="preserve">se computa en el valor estimado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El bloque 1, en la cláusula de ejecución del contrato, junto a las condiciones especiales de ejecución. El bloque 2, en la cláusula de objeto y en la de precio y sistema de determinación, con reflejo obligatorio en el </w:t>
      </w:r>
      <w:r>
        <w:rPr>
          <w:rFonts w:ascii="Calibri" w:cs="Calibri" w:eastAsia="Calibri" w:hAnsi="Calibri"/>
          <w:b/>
          <w:bCs/>
          <w:sz w:val="21"/>
          <w:szCs w:val="21"/>
        </w:rPr>
        <w:t xml:space="preserve">cuadro de características</w:t>
      </w:r>
      <w:r>
        <w:rPr>
          <w:rFonts w:ascii="Calibri" w:cs="Calibri" w:eastAsia="Calibri" w:hAnsi="Calibri"/>
          <w:sz w:val="21"/>
          <w:szCs w:val="21"/>
        </w:rPr>
        <w:t xml:space="preserve"> (horas máximas por perfil e importe máximo) y en el </w:t>
      </w:r>
      <w:r>
        <w:rPr>
          <w:rFonts w:ascii="Calibri" w:cs="Calibri" w:eastAsia="Calibri" w:hAnsi="Calibri"/>
          <w:b/>
          <w:bCs/>
          <w:sz w:val="21"/>
          <w:szCs w:val="21"/>
        </w:rPr>
        <w:t xml:space="preserve">presupuesto base de licitación</w:t>
      </w:r>
      <w:r>
        <w:rPr>
          <w:rFonts w:ascii="Calibri" w:cs="Calibri" w:eastAsia="Calibri" w:hAnsi="Calibri"/>
          <w:sz w:val="21"/>
          <w:szCs w:val="21"/>
        </w:rPr>
        <w:t xml:space="preserve">. El Cuadro de Precios Unitarios se presenta con la oferta (Anexo X, apartado X.3).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doble. Primera: que las capacidades comprometidas se implanten en fecha cierta. Segunda: que las adaptaciones menores que toda aplicación necesita —un informe nuevo, un cambio de flujo, una integración— tengan una vía contractual con precio pactado, en lugar de resolverse con presiones informales al proveedor o con contratos menores encadenados. </w:t>
      </w:r>
      <w:r>
        <w:rPr>
          <w:rFonts w:ascii="Calibri" w:cs="Calibri" w:eastAsia="Calibri" w:hAnsi="Calibri"/>
          <w:i/>
          <w:iCs/>
          <w:sz w:val="21"/>
          <w:szCs w:val="21"/>
        </w:rPr>
        <w:t xml:space="preserve">(Que el Ayuntamiento sepa cada año en qué estado está el contrato es función del Plan Anual de Evolución Tecnológica, ADM-10·v3.)</w:t>
      </w:r>
    </w:p>
    <w:p>
      <w:pPr>
        <w:pStyle w:val="ListParagraph"/>
        <w:numPr>
          <w:ilvl w:val="0"/>
          <w:numId w:val="1"/>
        </w:numPr>
        <w:spacing w:after="70" w:line="268"/>
      </w:pPr>
      <w:r>
        <w:rPr>
          <w:rFonts w:ascii="Calibri" w:cs="Calibri" w:eastAsia="Calibri" w:hAnsi="Calibri"/>
          <w:b/>
          <w:bCs/>
          <w:sz w:val="21"/>
          <w:szCs w:val="21"/>
        </w:rPr>
        <w:t xml:space="preserve">Artículo 308.3 LCSP</w:t>
      </w:r>
      <w:r>
        <w:rPr>
          <w:rFonts w:ascii="Calibri" w:cs="Calibri" w:eastAsia="Calibri" w:hAnsi="Calibri"/>
          <w:sz w:val="21"/>
          <w:szCs w:val="21"/>
        </w:rPr>
        <w:t xml:space="preserve">, literal verificado: en los contratos de servicios que impliquen desarrollo o mantenimiento de aplicaciones informáticas el objeto puede definirse por componentes de prestación, con precio referido a cada componente «en términos de unidades de actividad, definidas en términos de categorías profesionales o coste», y ello «sin perjuicio de que puedan concretarse dichas funcionalidades por la Administración atendiendo a consideraciones técnicas, económicas o </w:t>
      </w:r>
      <w:r>
        <w:rPr>
          <w:rFonts w:ascii="Calibri" w:cs="Calibri" w:eastAsia="Calibri" w:hAnsi="Calibri"/>
          <w:b/>
          <w:bCs/>
          <w:sz w:val="21"/>
          <w:szCs w:val="21"/>
        </w:rPr>
        <w:t xml:space="preserve">necesidades del usuario durante el período de ejecución, en los términos en que se prevean en el pliego de cláusulas administrativas particulares</w:t>
      </w:r>
      <w:r>
        <w:rPr>
          <w:rFonts w:ascii="Calibri" w:cs="Calibri" w:eastAsia="Calibri" w:hAnsi="Calibri"/>
          <w:sz w:val="21"/>
          <w:szCs w:val="21"/>
        </w:rPr>
        <w:t xml:space="preserve">». Ése es el anclaje de la bolsa, y basta: no hace falta doctrina cuando hay precepto.</w:t>
      </w:r>
    </w:p>
    <w:p>
      <w:pPr>
        <w:pStyle w:val="ListParagraph"/>
        <w:numPr>
          <w:ilvl w:val="0"/>
          <w:numId w:val="1"/>
        </w:numPr>
        <w:spacing w:after="70" w:line="268"/>
      </w:pPr>
      <w:r>
        <w:rPr>
          <w:rFonts w:ascii="Calibri" w:cs="Calibri" w:eastAsia="Calibri" w:hAnsi="Calibri"/>
          <w:b/>
          <w:bCs/>
          <w:sz w:val="21"/>
          <w:szCs w:val="21"/>
        </w:rPr>
        <w:t xml:space="preserve">Artículo 308.2 LCSP</w:t>
      </w:r>
      <w:r>
        <w:rPr>
          <w:rFonts w:ascii="Calibri" w:cs="Calibri" w:eastAsia="Calibri" w:hAnsi="Calibri"/>
          <w:sz w:val="21"/>
          <w:szCs w:val="21"/>
        </w:rPr>
        <w:t xml:space="preserve">, literal verificado: «los empleados o responsables de la Administración deben abstenerse de realizar actos que impliquen el ejercicio de facultades que, como parte de la relación jurídico laboral, le corresponden a la empresa contratista». De ahí la redacción del apartado 4 del bloque 2 y la prohibición absoluta de escribir «horas dirigidas por el Ayuntamiento».</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la definición del objeto por funcionalidades, que es lo que hace el catálogo cerrado del apartado 2.</w:t>
      </w:r>
    </w:p>
    <w:p>
      <w:pPr>
        <w:pStyle w:val="ListParagraph"/>
        <w:numPr>
          <w:ilvl w:val="0"/>
          <w:numId w:val="1"/>
        </w:numPr>
        <w:spacing w:after="70" w:line="268"/>
      </w:pPr>
      <w:r>
        <w:rPr>
          <w:rFonts w:ascii="Calibri" w:cs="Calibri" w:eastAsia="Calibri" w:hAnsi="Calibri"/>
          <w:b/>
          <w:bCs/>
          <w:sz w:val="21"/>
          <w:szCs w:val="21"/>
        </w:rPr>
        <w:t xml:space="preserve">Artículo 101 LCSP</w:t>
      </w:r>
      <w:r>
        <w:rPr>
          <w:rFonts w:ascii="Calibri" w:cs="Calibri" w:eastAsia="Calibri" w:hAnsi="Calibri"/>
          <w:sz w:val="21"/>
          <w:szCs w:val="21"/>
        </w:rPr>
        <w:t xml:space="preserve">: la bolsa </w:t>
      </w:r>
      <w:r>
        <w:rPr>
          <w:rFonts w:ascii="Calibri" w:cs="Calibri" w:eastAsia="Calibri" w:hAnsi="Calibri"/>
          <w:b/>
          <w:bCs/>
          <w:sz w:val="21"/>
          <w:szCs w:val="21"/>
        </w:rPr>
        <w:t xml:space="preserve">computa en el valor estimado</w:t>
      </w:r>
      <w:r>
        <w:rPr>
          <w:rFonts w:ascii="Calibri" w:cs="Calibri" w:eastAsia="Calibri" w:hAnsi="Calibri"/>
          <w:sz w:val="21"/>
          <w:szCs w:val="21"/>
        </w:rPr>
        <w:t xml:space="preserve">. No se puede escribir lo contrario.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del plazo de implantación de una exigencia del Anexo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exigencia, con su fecha, cotejada con el plazo que el Anexo fija para ella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una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escrita, estimación aceptada, acta de recepción con verificación de los criterios de aceptación, y parte de horas por perfil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de horas consumidas por perfil, actualizado con cada recepción</w:t>
            </w:r>
          </w:p>
        </w:tc>
      </w:tr>
    </w:tbl>
    <w:p>
      <w:pPr>
        <w:spacing w:after="200"/>
      </w:pPr>
    </w:p>
    <w:p>
      <w:pPr>
        <w:spacing w:after="140" w:line="276"/>
      </w:pPr>
      <w:r>
        <w:rPr>
          <w:rFonts w:ascii="Calibri" w:cs="Calibri" w:eastAsia="Calibri" w:hAnsi="Calibri"/>
          <w:i/>
          <w:iCs/>
          <w:sz w:val="21"/>
          <w:szCs w:val="21"/>
        </w:rPr>
        <w:t xml:space="preserve">La acreditación de la presentación y del contenido del Plan Anual, y la de los hitos aprobados, está en ADM-10·v3.</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cada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estimación, acta de recepción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por petición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la unidad gestora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y propuesta de no disposición del remanente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3/año</w:t>
            </w:r>
          </w:p>
        </w:tc>
      </w:tr>
    </w:tbl>
    <w:p>
      <w:pPr>
        <w:spacing w:after="200"/>
      </w:pPr>
    </w:p>
    <w:p>
      <w:pPr>
        <w:spacing w:after="140" w:line="276"/>
      </w:pPr>
      <w:r>
        <w:rPr>
          <w:rFonts w:ascii="Calibri" w:cs="Calibri" w:eastAsia="Calibri" w:hAnsi="Calibri"/>
          <w:b/>
          <w:bCs/>
          <w:sz w:val="21"/>
          <w:szCs w:val="21"/>
        </w:rPr>
        <w:t xml:space="preserve">Carga estimada: 3 horas por contrato y año</w:t>
      </w:r>
      <w:r>
        <w:rPr>
          <w:rFonts w:ascii="Calibri" w:cs="Calibri" w:eastAsia="Calibri" w:hAnsi="Calibri"/>
          <w:sz w:val="21"/>
          <w:szCs w:val="21"/>
        </w:rPr>
        <w:t xml:space="preserve">, más </w:t>
      </w:r>
      <w:r>
        <w:rPr>
          <w:rFonts w:ascii="Calibri" w:cs="Calibri" w:eastAsia="Calibri" w:hAnsi="Calibri"/>
          <w:b/>
          <w:bCs/>
          <w:sz w:val="21"/>
          <w:szCs w:val="21"/>
        </w:rPr>
        <w:t xml:space="preserve">1 hora por petición de servicio</w:t>
      </w:r>
      <w:r>
        <w:rPr>
          <w:rFonts w:ascii="Calibri" w:cs="Calibri" w:eastAsia="Calibri" w:hAnsi="Calibri"/>
          <w:sz w:val="21"/>
          <w:szCs w:val="21"/>
        </w:rPr>
        <w:t xml:space="preserve">. Con [X; se recomienda 20] peticiones al año, 23 horas. La carga de revisión del Plan Anual y de aprobación de hitos se imputa a ADM-10·v3. Si el pliego prevé una bolsa que nadie va a poder tramitar, la bolsa no se incorpora: es la regla de verificabilidad municipal aplicada a esta cláusula.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o fracción de retraso en la implantación de una exigencia del Anexo dentro del plazo del bloque 1 (tipo G2 de ADM-5·v3), y </w:t>
      </w:r>
      <w:r>
        <w:rPr>
          <w:rFonts w:ascii="Calibri" w:cs="Calibri" w:eastAsia="Calibri" w:hAnsi="Calibri"/>
          <w:b/>
          <w:bCs/>
          <w:sz w:val="21"/>
          <w:szCs w:val="21"/>
        </w:rPr>
        <w:t xml:space="preserve">muy grave</w:t>
      </w:r>
      <w:r>
        <w:rPr>
          <w:rFonts w:ascii="Calibri" w:cs="Calibri" w:eastAsia="Calibri" w:hAnsi="Calibri"/>
          <w:sz w:val="21"/>
          <w:szCs w:val="21"/>
        </w:rPr>
        <w:t xml:space="preserve"> si transcurre además el mes de subsanación desde requerimiento fehaciente (tipo M1).</w:t>
      </w:r>
    </w:p>
    <w:p>
      <w:pPr>
        <w:pStyle w:val="ListParagraph"/>
        <w:numPr>
          <w:ilvl w:val="0"/>
          <w:numId w:val="1"/>
        </w:numPr>
        <w:spacing w:after="70" w:line="268"/>
      </w:pPr>
      <w:r>
        <w:rPr>
          <w:rFonts w:ascii="Calibri" w:cs="Calibri" w:eastAsia="Calibri" w:hAnsi="Calibri"/>
          <w:sz w:val="21"/>
          <w:szCs w:val="21"/>
        </w:rPr>
        <w:t xml:space="preserve">La bolsa de servicios evolutivos </w:t>
      </w:r>
      <w:r>
        <w:rPr>
          <w:rFonts w:ascii="Calibri" w:cs="Calibri" w:eastAsia="Calibri" w:hAnsi="Calibri"/>
          <w:b/>
          <w:bCs/>
          <w:sz w:val="21"/>
          <w:szCs w:val="21"/>
        </w:rPr>
        <w:t xml:space="preserve">no genera penalidades propias</w:t>
      </w:r>
      <w:r>
        <w:rPr>
          <w:rFonts w:ascii="Calibri" w:cs="Calibri" w:eastAsia="Calibri" w:hAnsi="Calibri"/>
          <w:sz w:val="21"/>
          <w:szCs w:val="21"/>
        </w:rPr>
        <w:t xml:space="preserve"> distintas de las de demora en la ejecución de cada petición aceptada.</w:t>
      </w:r>
    </w:p>
    <w:p>
      <w:pPr>
        <w:pStyle w:val="ListParagraph"/>
        <w:numPr>
          <w:ilvl w:val="0"/>
          <w:numId w:val="1"/>
        </w:numPr>
        <w:spacing w:after="70" w:line="268"/>
      </w:pPr>
      <w:r>
        <w:rPr>
          <w:rFonts w:ascii="Calibri" w:cs="Calibri" w:eastAsia="Calibri" w:hAnsi="Calibri"/>
          <w:sz w:val="21"/>
          <w:szCs w:val="21"/>
        </w:rPr>
        <w:t xml:space="preserve">Los incumplimientos relativos al Plan Anual de Evolución Tecnológica y a sus hitos se tipifican en ADM-5·v3 (tipos L1, G1 y G9) y se regulan en ADM-10·v3. No se reproducen aquí.</w:t>
      </w:r>
    </w:p>
    <w:p>
      <w:pPr>
        <w:spacing w:after="140" w:line="276"/>
      </w:pPr>
      <w:r>
        <w:rPr>
          <w:rFonts w:ascii="Calibri" w:cs="Calibri" w:eastAsia="Calibri" w:hAnsi="Calibri"/>
          <w:b/>
          <w:bCs/>
          <w:sz w:val="21"/>
          <w:szCs w:val="21"/>
        </w:rPr>
        <w:t xml:space="preserve">¿Obligación contractual esencial?</w:t>
      </w:r>
      <w:r>
        <w:rPr>
          <w:rFonts w:ascii="Calibri" w:cs="Calibri" w:eastAsia="Calibri" w:hAnsi="Calibri"/>
          <w:sz w:val="21"/>
          <w:szCs w:val="21"/>
        </w:rPr>
        <w:t xml:space="preserve"> El bloque 1, </w:t>
      </w:r>
      <w:r>
        <w:rPr>
          <w:rFonts w:ascii="Calibri" w:cs="Calibri" w:eastAsia="Calibri" w:hAnsi="Calibri"/>
          <w:b/>
          <w:bCs/>
          <w:sz w:val="21"/>
          <w:szCs w:val="21"/>
        </w:rPr>
        <w:t xml:space="preserve">NO</w:t>
      </w:r>
      <w:r>
        <w:rPr>
          <w:rFonts w:ascii="Calibri" w:cs="Calibri" w:eastAsia="Calibri" w:hAnsi="Calibri"/>
          <w:sz w:val="21"/>
          <w:szCs w:val="21"/>
        </w:rPr>
        <w:t xml:space="preserve">. La bolsa de servicios evolutivos, </w:t>
      </w:r>
      <w:r>
        <w:rPr>
          <w:rFonts w:ascii="Calibri" w:cs="Calibri" w:eastAsia="Calibri" w:hAnsi="Calibri"/>
          <w:b/>
          <w:bCs/>
          <w:sz w:val="21"/>
          <w:szCs w:val="21"/>
        </w:rPr>
        <w:t xml:space="preserve">NO</w:t>
      </w:r>
      <w:r>
        <w:rPr>
          <w:rFonts w:ascii="Calibri" w:cs="Calibri" w:eastAsia="Calibri" w:hAnsi="Calibri"/>
          <w:sz w:val="21"/>
          <w:szCs w:val="21"/>
        </w:rPr>
        <w:t xml:space="preserve"> en ningún caso. La esencialidad condicionada del Plan Anual —falta de presentación durante </w:t>
      </w:r>
      <w:r>
        <w:rPr>
          <w:rFonts w:ascii="Calibri" w:cs="Calibri" w:eastAsia="Calibri" w:hAnsi="Calibri"/>
          <w:b/>
          <w:bCs/>
          <w:sz w:val="21"/>
          <w:szCs w:val="21"/>
        </w:rPr>
        <w:t xml:space="preserve">dos ejercicios consecutivos</w:t>
      </w:r>
      <w:r>
        <w:rPr>
          <w:rFonts w:ascii="Calibri" w:cs="Calibri" w:eastAsia="Calibri" w:hAnsi="Calibri"/>
          <w:sz w:val="21"/>
          <w:szCs w:val="21"/>
        </w:rPr>
        <w:t xml:space="preserve"> e incumplimiento de hitos </w:t>
      </w:r>
      <w:r>
        <w:rPr>
          <w:rFonts w:ascii="Calibri" w:cs="Calibri" w:eastAsia="Calibri" w:hAnsi="Calibri"/>
          <w:b/>
          <w:bCs/>
          <w:sz w:val="21"/>
          <w:szCs w:val="21"/>
        </w:rPr>
        <w:t xml:space="preserve">expresamente aprobados y con fecha cierta en acta</w:t>
      </w:r>
      <w:r>
        <w:rPr>
          <w:rFonts w:ascii="Calibri" w:cs="Calibri" w:eastAsia="Calibri" w:hAnsi="Calibri"/>
          <w:sz w:val="21"/>
          <w:szCs w:val="21"/>
        </w:rPr>
        <w:t xml:space="preserve">— está en el bloque B.2 de ADM-6·v3 y se rige por ADM-10·v3.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bloque 2 no se incorpora nunca</w:t>
      </w:r>
      <w:r>
        <w:rPr>
          <w:rFonts w:ascii="Calibri" w:cs="Calibri" w:eastAsia="Calibri" w:hAnsi="Calibri"/>
          <w:sz w:val="21"/>
          <w:szCs w:val="21"/>
        </w:rPr>
        <w:t xml:space="preserve"> fuera de los contratos de servicios que impliquen desarrollo o mantenimiento de aplicaciones informáticas. No es una cláusula general. En un contrato de suministro, en un contrato de servicios de otra naturaleza o en un contrato mixto cuya prestación principal no sea ésa, carece de cobertura.</w:t>
      </w:r>
    </w:p>
    <w:p>
      <w:pPr>
        <w:pStyle w:val="ListParagraph"/>
        <w:numPr>
          <w:ilvl w:val="0"/>
          <w:numId w:val="1"/>
        </w:numPr>
        <w:spacing w:after="70" w:line="268"/>
      </w:pPr>
      <w:r>
        <w:rPr>
          <w:rFonts w:ascii="Calibri" w:cs="Calibri" w:eastAsia="Calibri" w:hAnsi="Calibri"/>
          <w:sz w:val="21"/>
          <w:szCs w:val="21"/>
        </w:rPr>
        <w:t xml:space="preserve">El bloque 2 tampoco se incorpora si el pliego no exige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con la oferta: sin precios unitarios ofertados no hay sistema de determinación del precio y la bolsa es indeterminada.</w:t>
      </w:r>
    </w:p>
    <w:p>
      <w:pPr>
        <w:pStyle w:val="ListParagraph"/>
        <w:numPr>
          <w:ilvl w:val="0"/>
          <w:numId w:val="1"/>
        </w:numPr>
        <w:spacing w:after="70" w:line="268"/>
      </w:pPr>
      <w:r>
        <w:rPr>
          <w:rFonts w:ascii="Calibri" w:cs="Calibri" w:eastAsia="Calibri" w:hAnsi="Calibri"/>
          <w:sz w:val="21"/>
          <w:szCs w:val="21"/>
        </w:rPr>
        <w:t xml:space="preserve">El bloque 1 no se incorpora si no se ha incorporado ADM-2·v3.</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Las dos preguntas del interventor, respondidas</w:t>
      </w:r>
    </w:p>
    <w:p>
      <w:pPr>
        <w:spacing w:after="140" w:line="276"/>
      </w:pPr>
      <w:r>
        <w:rPr>
          <w:rFonts w:ascii="Calibri" w:cs="Calibri" w:eastAsia="Calibri" w:hAnsi="Calibri"/>
          <w:b/>
          <w:bCs/>
          <w:sz w:val="21"/>
          <w:szCs w:val="21"/>
        </w:rPr>
        <w:t xml:space="preserve">Primera: ¿qué pasa con las horas no consumidas?</w:t>
      </w:r>
      <w:r>
        <w:rPr>
          <w:rFonts w:ascii="Calibri" w:cs="Calibri" w:eastAsia="Calibri" w:hAnsi="Calibri"/>
          <w:sz w:val="21"/>
          <w:szCs w:val="21"/>
        </w:rPr>
        <w:t xml:space="preserve"> No se abonan. La bolsa no es un pago a tanto alzado con obligación de gastarlo, sino un </w:t>
      </w:r>
      <w:r>
        <w:rPr>
          <w:rFonts w:ascii="Calibri" w:cs="Calibri" w:eastAsia="Calibri" w:hAnsi="Calibri"/>
          <w:b/>
          <w:bCs/>
          <w:sz w:val="21"/>
          <w:szCs w:val="21"/>
        </w:rPr>
        <w:t xml:space="preserve">máximo de gasto autorizado</w:t>
      </w:r>
      <w:r>
        <w:rPr>
          <w:rFonts w:ascii="Calibri" w:cs="Calibri" w:eastAsia="Calibri" w:hAnsi="Calibri"/>
          <w:sz w:val="21"/>
          <w:szCs w:val="21"/>
        </w:rPr>
        <w:t xml:space="preserve"> que se ejecuta por unidades de actividad y se abona contra recepción. El apartado 3 del bloque 2 lo dice expresamente para que nadie lo interprete de otro modo, y el apartado 4 exige acta de recepción por petición: sin acta no hay abono. En el cierre de cada anualidad, el responsable del contrato propone la no disposición del remanente, que sigue el régimen presupuestario ordinario del crédito no ejecutado.</w:t>
      </w:r>
    </w:p>
    <w:p>
      <w:pPr>
        <w:spacing w:after="140" w:line="276"/>
      </w:pPr>
      <w:r>
        <w:rPr>
          <w:rFonts w:ascii="Calibri" w:cs="Calibri" w:eastAsia="Calibri" w:hAnsi="Calibri"/>
          <w:sz w:val="21"/>
          <w:szCs w:val="21"/>
        </w:rPr>
        <w:t xml:space="preserve">Y la otra mitad de la pregunta: </w:t>
      </w:r>
      <w:r>
        <w:rPr>
          <w:rFonts w:ascii="Calibri" w:cs="Calibri" w:eastAsia="Calibri" w:hAnsi="Calibri"/>
          <w:b/>
          <w:bCs/>
          <w:sz w:val="21"/>
          <w:szCs w:val="21"/>
        </w:rPr>
        <w:t xml:space="preserve">el precio no deja de ser cierto por eso</w:t>
      </w:r>
      <w:r>
        <w:rPr>
          <w:rFonts w:ascii="Calibri" w:cs="Calibri" w:eastAsia="Calibri" w:hAnsi="Calibri"/>
          <w:sz w:val="21"/>
          <w:szCs w:val="21"/>
        </w:rPr>
        <w:t xml:space="preserve">. Es cierto por unidades: el artículo 308.3 LCSP autoriza expresamente el precio «referido a cada componente de la prestación en términos de unidades de actividad, definidas en términos de categorías profesionales o coste». Lo que hay que garantizar es que la unidad esté definida y su precio ofertado, y de eso se ocupa el Cuadro de Precios Unitarios del Anexo X, apartado X.3. Lo incierto no es el precio: es el número de unidades que se consumirán, y ese número tiene un </w:t>
      </w:r>
      <w:r>
        <w:rPr>
          <w:rFonts w:ascii="Calibri" w:cs="Calibri" w:eastAsia="Calibri" w:hAnsi="Calibri"/>
          <w:b/>
          <w:bCs/>
          <w:sz w:val="21"/>
          <w:szCs w:val="21"/>
        </w:rPr>
        <w:t xml:space="preserve">máximo</w:t>
      </w:r>
      <w:r>
        <w:rPr>
          <w:rFonts w:ascii="Calibri" w:cs="Calibri" w:eastAsia="Calibri" w:hAnsi="Calibri"/>
          <w:sz w:val="21"/>
          <w:szCs w:val="21"/>
        </w:rPr>
        <w:t xml:space="preserve"> publicado en el cuadro de características.</w:t>
      </w:r>
    </w:p>
    <w:p>
      <w:pPr>
        <w:spacing w:after="140" w:line="276"/>
      </w:pPr>
      <w:r>
        <w:rPr>
          <w:rFonts w:ascii="Calibri" w:cs="Calibri" w:eastAsia="Calibri" w:hAnsi="Calibri"/>
          <w:b/>
          <w:bCs/>
          <w:sz w:val="21"/>
          <w:szCs w:val="21"/>
        </w:rPr>
        <w:t xml:space="preserve">Segunda: ¿cómo se determina el objeto si el contenido lo fija el gestor durante la ejecución?</w:t>
      </w:r>
      <w:r>
        <w:rPr>
          <w:rFonts w:ascii="Calibri" w:cs="Calibri" w:eastAsia="Calibri" w:hAnsi="Calibri"/>
          <w:sz w:val="21"/>
          <w:szCs w:val="21"/>
        </w:rPr>
        <w:t xml:space="preserve"> Por dos vías acumuladas. La primera es legal y explícita: el mismo artículo 308.3 permite «concretar dichas funcionalidades por la Administración atendiendo a consideraciones técnicas, económicas o necesidades del usuario durante el período de ejecución, </w:t>
      </w:r>
      <w:r>
        <w:rPr>
          <w:rFonts w:ascii="Calibri" w:cs="Calibri" w:eastAsia="Calibri" w:hAnsi="Calibri"/>
          <w:b/>
          <w:bCs/>
          <w:sz w:val="21"/>
          <w:szCs w:val="21"/>
        </w:rPr>
        <w:t xml:space="preserve">en los términos en que se prevean en el pliego</w:t>
      </w:r>
      <w:r>
        <w:rPr>
          <w:rFonts w:ascii="Calibri" w:cs="Calibri" w:eastAsia="Calibri" w:hAnsi="Calibri"/>
          <w:sz w:val="21"/>
          <w:szCs w:val="21"/>
        </w:rPr>
        <w:t xml:space="preserve">». La ley no sólo lo tolera: exige que el pliego diga cómo. La segunda es de redacción: el objeto está determinado por funcionalidades (artículo 99.1) mediante el </w:t>
      </w:r>
      <w:r>
        <w:rPr>
          <w:rFonts w:ascii="Calibri" w:cs="Calibri" w:eastAsia="Calibri" w:hAnsi="Calibri"/>
          <w:b/>
          <w:bCs/>
          <w:sz w:val="21"/>
          <w:szCs w:val="21"/>
        </w:rPr>
        <w:t xml:space="preserve">catálogo cerrado de seis clases de peticiones admisibles</w:t>
      </w:r>
      <w:r>
        <w:rPr>
          <w:rFonts w:ascii="Calibri" w:cs="Calibri" w:eastAsia="Calibri" w:hAnsi="Calibri"/>
          <w:sz w:val="21"/>
          <w:szCs w:val="21"/>
        </w:rPr>
        <w:t xml:space="preserve"> del apartado 2, con exclusión expresa de módulos nuevos y de prestaciones ajenas al objeto. Un licitador puede valorar económicamente esa bolsa: sabe qué clases de trabajo entran, cuántas horas como máximo y a qué precio, porque el precio lo pone él.</w:t>
      </w:r>
    </w:p>
    <w:p>
      <w:pPr>
        <w:spacing w:after="140" w:line="276"/>
      </w:pPr>
      <w:r>
        <w:rPr>
          <w:rFonts w:ascii="Calibri" w:cs="Calibri" w:eastAsia="Calibri" w:hAnsi="Calibri"/>
          <w:b/>
          <w:bCs/>
          <w:sz w:val="21"/>
          <w:szCs w:val="21"/>
        </w:rPr>
        <w:t xml:space="preserve">Tercera cuestión, que el interventor no preguntó pero preguntará el letrado del licitador: el valor estimado.</w:t>
      </w:r>
      <w:r>
        <w:rPr>
          <w:rFonts w:ascii="Calibri" w:cs="Calibri" w:eastAsia="Calibri" w:hAnsi="Calibri"/>
          <w:sz w:val="21"/>
          <w:szCs w:val="21"/>
        </w:rPr>
        <w:t xml:space="preserve"> La bolsa </w:t>
      </w:r>
      <w:r>
        <w:rPr>
          <w:rFonts w:ascii="Calibri" w:cs="Calibri" w:eastAsia="Calibri" w:hAnsi="Calibri"/>
          <w:b/>
          <w:bCs/>
          <w:sz w:val="21"/>
          <w:szCs w:val="21"/>
        </w:rPr>
        <w:t xml:space="preserve">sí computa</w:t>
      </w:r>
      <w:r>
        <w:rPr>
          <w:rFonts w:ascii="Calibri" w:cs="Calibri" w:eastAsia="Calibri" w:hAnsi="Calibri"/>
          <w:sz w:val="21"/>
          <w:szCs w:val="21"/>
        </w:rPr>
        <w:t xml:space="preserve"> en el valor estimado del contrato (artículo 101 LCSP), porque está en el presupuesto base de licitación. Escribir que «no infla el valor estimado» sería un error de cálculo del valor estimado, es decir, un vicio del expediente que además puede desplazar el umbral del recurso especial y el régimen de publicidad. El apartado 5 del bloque 2 lo dice y la lista de comprobación del expediente (apartado V.10) lo comprueba.</w:t>
      </w:r>
    </w:p>
    <w:p>
      <w:pPr>
        <w:spacing w:after="140" w:line="276"/>
      </w:pPr>
      <w:r>
        <w:rPr>
          <w:rFonts w:ascii="Calibri" w:cs="Calibri" w:eastAsia="Calibri" w:hAnsi="Calibri"/>
          <w:b/>
          <w:bCs/>
          <w:sz w:val="21"/>
          <w:szCs w:val="21"/>
        </w:rPr>
        <w:t xml:space="preserve">Cuarta, sobre la redacción prohibida.</w:t>
      </w:r>
      <w:r>
        <w:rPr>
          <w:rFonts w:ascii="Calibri" w:cs="Calibri" w:eastAsia="Calibri" w:hAnsi="Calibri"/>
          <w:sz w:val="21"/>
          <w:szCs w:val="21"/>
        </w:rPr>
        <w:t xml:space="preserve"> En ningún lugar del pliego puede escribirse «horas dirigidas por el Ayuntamiento», «personal a disposición del Ayuntamiento», «bolsa de horas gestionada por el servicio» ni fórmula equivalente. El artículo 308.2 LCSP es explícito y el riesgo no es la anulación del pliego: es una declaración de cesión ilegal de trabajadores. La fórmula correcta, y la única, es </w:t>
      </w:r>
      <w:r>
        <w:rPr>
          <w:rFonts w:ascii="Calibri" w:cs="Calibri" w:eastAsia="Calibri" w:hAnsi="Calibri"/>
          <w:b/>
          <w:bCs/>
          <w:sz w:val="21"/>
          <w:szCs w:val="21"/>
        </w:rPr>
        <w:t xml:space="preserve">petición de servicio del responsable del contrato con resultado y criterios de aceptación</w:t>
      </w:r>
      <w:r>
        <w:rPr>
          <w:rFonts w:ascii="Calibri" w:cs="Calibri" w:eastAsia="Calibri" w:hAnsi="Calibri"/>
          <w:sz w:val="21"/>
          <w:szCs w:val="21"/>
        </w:rPr>
        <w:t xml:space="preserve">, ejecutada por el contratista con su propia organización.</w:t>
      </w:r>
    </w:p>
    <w:p>
      <w:pPr>
        <w:spacing w:after="140" w:line="276"/>
      </w:pPr>
      <w:r>
        <w:rPr>
          <w:rFonts w:ascii="Calibri" w:cs="Calibri" w:eastAsia="Calibri" w:hAnsi="Calibri"/>
          <w:b/>
          <w:bCs/>
          <w:sz w:val="21"/>
          <w:szCs w:val="21"/>
        </w:rPr>
        <w:t xml:space="preserve">Advertencia final de esta cláusula.</w:t>
      </w:r>
      <w:r>
        <w:rPr>
          <w:rFonts w:ascii="Calibri" w:cs="Calibri" w:eastAsia="Calibri" w:hAnsi="Calibri"/>
          <w:sz w:val="21"/>
          <w:szCs w:val="21"/>
        </w:rPr>
        <w:t xml:space="preserve"> No consta doctrina de tribunales administrativos de recursos contractuales sobre bolsas de servicios evolutivos en contratos de mantenimiento de aplicaciones, a fecha de corte de 1 de septiembre de 2026. Lo que sí consta es el precepto que la ampara. Por eso el bloque 2 se marca como opcional y sujeto a informe jurídico previo: no por debilidad del anclaje, sino porque su encaje en el sistema de determinación del precio y en la ejecución presupuestaria de cada Ayuntamiento debe verificarse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III.4 · ADM-4·v3 — Seguimiento: responsable del contrato, Comisión de Seguimiento y verificación anual</w:t>
      </w:r>
    </w:p>
    <w:p>
      <w:pPr>
        <w:spacing w:after="140" w:line="276"/>
      </w:pPr>
      <w:r>
        <w:rPr>
          <w:rFonts w:ascii="Calibri" w:cs="Calibri" w:eastAsia="Calibri" w:hAnsi="Calibri"/>
          <w:i/>
          <w:iCs/>
          <w:sz w:val="21"/>
          <w:szCs w:val="21"/>
        </w:rPr>
        <w:t xml:space="preserve">(Reescribe ADM-4 de v2. Aquí es donde este catálogo responde al corolario más incómodo de la objeción interna: «son pocos los contratos en los que se haga un seguimiento real y este se basa exclusivamente en el control del gasto, ni eficiencia, ni eficacia».)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Seguimiento de la ejecución.</w:t>
            </w:r>
          </w:p>
          <w:p>
            <w:pPr>
              <w:pStyle w:val="ListParagraph"/>
              <w:numPr>
                <w:ilvl w:val="0"/>
                <w:numId w:val="2"/>
              </w:numPr>
              <w:spacing w:after="60" w:line="264"/>
            </w:pPr>
            <w:r>
              <w:rPr>
                <w:rFonts w:ascii="Georgia" w:cs="Georgia" w:eastAsia="Georgia" w:hAnsi="Georgia"/>
                <w:b/>
                <w:bCs/>
                <w:sz w:val="20"/>
                <w:szCs w:val="20"/>
              </w:rPr>
              <w:t xml:space="preserve">Responsable del contrato.</w:t>
            </w:r>
            <w:r>
              <w:rPr>
                <w:rFonts w:ascii="Georgia" w:cs="Georgia" w:eastAsia="Georgia" w:hAnsi="Georgia"/>
                <w:sz w:val="20"/>
                <w:szCs w:val="20"/>
              </w:rPr>
              <w:t xml:space="preserve"> El órgano de contratación designa responsable del contrato a [órgano o puesto], al que corresponde supervisar la ejecución, adoptar las decisiones y dictar las instrucciones necesarias para asegurar la correcta realización de la prestación, y emitir los informes previstos en este pliego. La designación se notifica al contratista en la formalización.</w:t>
            </w:r>
          </w:p>
          <w:p>
            <w:pPr>
              <w:pStyle w:val="ListParagraph"/>
              <w:numPr>
                <w:ilvl w:val="0"/>
                <w:numId w:val="2"/>
              </w:numPr>
              <w:spacing w:after="60" w:line="264"/>
            </w:pPr>
            <w:r>
              <w:rPr>
                <w:rFonts w:ascii="Georgia" w:cs="Georgia" w:eastAsia="Georgia" w:hAnsi="Georgia"/>
                <w:b/>
                <w:bCs/>
                <w:sz w:val="20"/>
                <w:szCs w:val="20"/>
              </w:rPr>
              <w:t xml:space="preserve">Comisión de Seguimiento.</w:t>
            </w:r>
            <w:r>
              <w:rPr>
                <w:rFonts w:ascii="Georgia" w:cs="Georgia" w:eastAsia="Georgia" w:hAnsi="Georgia"/>
                <w:sz w:val="20"/>
                <w:szCs w:val="20"/>
              </w:rPr>
              <w:t xml:space="preserve"> Se constituye una Comisión de Seguimiento integrada por el responsable del contrato, que la preside, un técnico del servicio de informática municipal, un representante de la unidad gestora y, cuando el contrato incorpore la condición especial de acceso de los órganos de control, un representante del órgano interventor. Por parte del contratista asistirá el jefe de proyecto y las personas que éste designe.</w:t>
            </w:r>
          </w:p>
          <w:p>
            <w:pPr>
              <w:spacing w:after="100" w:line="264"/>
            </w:pPr>
            <w:r>
              <w:rPr>
                <w:rFonts w:ascii="Georgia" w:cs="Georgia" w:eastAsia="Georgia" w:hAnsi="Georgia"/>
                <w:sz w:val="20"/>
                <w:szCs w:val="20"/>
              </w:rPr>
              <w:t xml:space="preserve">a) Se reunirá </w:t>
            </w:r>
            <w:r>
              <w:rPr>
                <w:rFonts w:ascii="Georgia" w:cs="Georgia" w:eastAsia="Georgia" w:hAnsi="Georgia"/>
                <w:b/>
                <w:bCs/>
                <w:sz w:val="20"/>
                <w:szCs w:val="20"/>
              </w:rPr>
              <w:t xml:space="preserve">[X; se recomienda 2] veces al año</w:t>
            </w:r>
            <w:r>
              <w:rPr>
                <w:rFonts w:ascii="Georgia" w:cs="Georgia" w:eastAsia="Georgia" w:hAnsi="Georgia"/>
                <w:sz w:val="20"/>
                <w:szCs w:val="20"/>
              </w:rPr>
              <w:t xml:space="preserve"> y, además, a petición de cualquiera de las partes cuando concurra un hecho relevante para la ejecución.</w:t>
            </w:r>
          </w:p>
          <w:p>
            <w:pPr>
              <w:spacing w:after="100" w:line="264"/>
            </w:pPr>
            <w:r>
              <w:rPr>
                <w:rFonts w:ascii="Georgia" w:cs="Georgia" w:eastAsia="Georgia" w:hAnsi="Georgia"/>
                <w:sz w:val="20"/>
                <w:szCs w:val="20"/>
              </w:rPr>
              <w:t xml:space="preserve">b) De cada sesión se levantará </w:t>
            </w:r>
            <w:r>
              <w:rPr>
                <w:rFonts w:ascii="Georgia" w:cs="Georgia" w:eastAsia="Georgia" w:hAnsi="Georgia"/>
                <w:b/>
                <w:bCs/>
                <w:sz w:val="20"/>
                <w:szCs w:val="20"/>
              </w:rPr>
              <w:t xml:space="preserve">acta</w:t>
            </w:r>
            <w:r>
              <w:rPr>
                <w:rFonts w:ascii="Georgia" w:cs="Georgia" w:eastAsia="Georgia" w:hAnsi="Georgia"/>
                <w:sz w:val="20"/>
                <w:szCs w:val="20"/>
              </w:rPr>
              <w:t xml:space="preserve">, suscrita por ambas partes, que se incorporará al expediente de ejecución del contrato.</w:t>
            </w:r>
          </w:p>
          <w:p>
            <w:pPr>
              <w:spacing w:after="100" w:line="264"/>
            </w:pPr>
            <w:r>
              <w:rPr>
                <w:rFonts w:ascii="Georgia" w:cs="Georgia" w:eastAsia="Georgia" w:hAnsi="Georgia"/>
                <w:sz w:val="20"/>
                <w:szCs w:val="20"/>
              </w:rPr>
              <w:t xml:space="preserve">c) Las actas de la Comisión constituyen uno de los medios tasados de acreditación del cumplimiento previstos en la cláusula de evolución tecnológica determinada de este pliego.</w:t>
            </w:r>
          </w:p>
          <w:p>
            <w:pPr>
              <w:spacing w:after="100" w:line="264"/>
            </w:pPr>
            <w:r>
              <w:rPr>
                <w:rFonts w:ascii="Georgia" w:cs="Georgia" w:eastAsia="Georgia" w:hAnsi="Georgia"/>
                <w:sz w:val="20"/>
                <w:szCs w:val="20"/>
              </w:rPr>
              <w:t xml:space="preserve">d) La inasistencia no justificada del contratista a una sesión convocada con [X; se recomienda 10] días de antelación tendrá la consideración de incumplimiento leve.</w:t>
            </w:r>
          </w:p>
          <w:p>
            <w:pPr>
              <w:pStyle w:val="ListParagraph"/>
              <w:numPr>
                <w:ilvl w:val="0"/>
                <w:numId w:val="2"/>
              </w:numPr>
              <w:spacing w:after="60" w:line="264"/>
            </w:pPr>
            <w:r>
              <w:rPr>
                <w:rFonts w:ascii="Georgia" w:cs="Georgia" w:eastAsia="Georgia" w:hAnsi="Georgia"/>
                <w:b/>
                <w:bCs/>
                <w:sz w:val="20"/>
                <w:szCs w:val="20"/>
              </w:rPr>
              <w:t xml:space="preserve">Verificación anual.</w:t>
            </w:r>
            <w:r>
              <w:rPr>
                <w:rFonts w:ascii="Georgia" w:cs="Georgia" w:eastAsia="Georgia" w:hAnsi="Georgia"/>
                <w:sz w:val="20"/>
                <w:szCs w:val="20"/>
              </w:rPr>
              <w:t xml:space="preserve"> Dentro de los [X; se recomienda 60] días naturales siguientes al cumplimiento de cada anualidad, el responsable del contrato emitirá un </w:t>
            </w:r>
            <w:r>
              <w:rPr>
                <w:rFonts w:ascii="Georgia" w:cs="Georgia" w:eastAsia="Georgia" w:hAnsi="Georgia"/>
                <w:b/>
                <w:bCs/>
                <w:sz w:val="20"/>
                <w:szCs w:val="20"/>
              </w:rPr>
              <w:t xml:space="preserve">informe anual de ejecución</w:t>
            </w:r>
            <w:r>
              <w:rPr>
                <w:rFonts w:ascii="Georgia" w:cs="Georgia" w:eastAsia="Georgia" w:hAnsi="Georgia"/>
                <w:sz w:val="20"/>
                <w:szCs w:val="20"/>
              </w:rPr>
              <w:t xml:space="preserve"> que se pronunciará expresamente sobre:</w:t>
            </w:r>
          </w:p>
          <w:p>
            <w:pPr>
              <w:spacing w:after="100" w:line="264"/>
            </w:pPr>
            <w:r>
              <w:rPr>
                <w:rFonts w:ascii="Georgia" w:cs="Georgia" w:eastAsia="Georgia" w:hAnsi="Georgia"/>
                <w:sz w:val="20"/>
                <w:szCs w:val="20"/>
              </w:rPr>
              <w:t xml:space="preserve">a) El estado de cumplimiento de cada exigencia del Anexo de Exigencias Tecnológicas Determinadas.</w:t>
            </w:r>
          </w:p>
          <w:p>
            <w:pPr>
              <w:spacing w:after="100" w:line="264"/>
            </w:pPr>
            <w:r>
              <w:rPr>
                <w:rFonts w:ascii="Georgia" w:cs="Georgia" w:eastAsia="Georgia" w:hAnsi="Georgia"/>
                <w:sz w:val="20"/>
                <w:szCs w:val="20"/>
              </w:rPr>
              <w:t xml:space="preserve">b) El cumplimiento de las condiciones especiales de ejecución incorporadas a este pliego, una por una.</w:t>
            </w:r>
          </w:p>
          <w:p>
            <w:pPr>
              <w:spacing w:after="100" w:line="264"/>
            </w:pPr>
            <w:r>
              <w:rPr>
                <w:rFonts w:ascii="Georgia" w:cs="Georgia" w:eastAsia="Georgia" w:hAnsi="Georgia"/>
                <w:sz w:val="20"/>
                <w:szCs w:val="20"/>
              </w:rPr>
              <w:t xml:space="preserve">c) La vigencia de las certificaciones o sistemas de gestión exigidos.</w:t>
            </w:r>
          </w:p>
          <w:p>
            <w:pPr>
              <w:spacing w:after="100" w:line="264"/>
            </w:pPr>
            <w:r>
              <w:rPr>
                <w:rFonts w:ascii="Georgia" w:cs="Georgia" w:eastAsia="Georgia" w:hAnsi="Georgia"/>
                <w:sz w:val="20"/>
                <w:szCs w:val="20"/>
              </w:rPr>
              <w:t xml:space="preserve">d) Los indicadores de servicio del Pliego de Prescripciones Técnicas.</w:t>
            </w:r>
          </w:p>
          <w:p>
            <w:pPr>
              <w:spacing w:after="100" w:line="264"/>
            </w:pPr>
            <w:r>
              <w:rPr>
                <w:rFonts w:ascii="Georgia" w:cs="Georgia" w:eastAsia="Georgia" w:hAnsi="Georgia"/>
                <w:sz w:val="20"/>
                <w:szCs w:val="20"/>
              </w:rPr>
              <w:t xml:space="preserve">e) El consumo de la bolsa de servicios evolutivos, si se hubiera previsto.</w:t>
            </w:r>
          </w:p>
          <w:p>
            <w:pPr>
              <w:spacing w:after="100" w:line="264"/>
            </w:pPr>
            <w:r>
              <w:rPr>
                <w:rFonts w:ascii="Georgia" w:cs="Georgia" w:eastAsia="Georgia" w:hAnsi="Georgia"/>
                <w:sz w:val="20"/>
                <w:szCs w:val="20"/>
              </w:rPr>
              <w:t xml:space="preserve">f) Las incidencias registradas y su tratamiento.</w:t>
            </w:r>
          </w:p>
          <w:p>
            <w:pPr>
              <w:spacing w:after="100" w:line="264"/>
            </w:pPr>
            <w:r>
              <w:rPr>
                <w:rFonts w:ascii="Georgia" w:cs="Georgia" w:eastAsia="Georgia" w:hAnsi="Georgia"/>
                <w:sz w:val="20"/>
                <w:szCs w:val="20"/>
              </w:rPr>
              <w:t xml:space="preserve">g) La propuesta motivada, en su caso, de imposición de penalidades o de incoación del procedimiento de resolución.</w:t>
            </w:r>
          </w:p>
          <w:p>
            <w:pPr>
              <w:spacing w:after="100" w:line="264"/>
            </w:pPr>
            <w:r>
              <w:rPr>
                <w:rFonts w:ascii="Georgia" w:cs="Georgia" w:eastAsia="Georgia" w:hAnsi="Georgia"/>
                <w:sz w:val="20"/>
                <w:szCs w:val="20"/>
              </w:rPr>
              <w:t xml:space="preserve">El informe se notifica al contratista, que dispondrá de [X; se recomienda 10] días hábiles para formular alegaciones antes de que el órgano de contratación adopte acuerdo.</w:t>
            </w:r>
          </w:p>
          <w:p>
            <w:pPr>
              <w:pStyle w:val="ListParagraph"/>
              <w:numPr>
                <w:ilvl w:val="0"/>
                <w:numId w:val="2"/>
              </w:numPr>
              <w:spacing w:after="60" w:line="264"/>
            </w:pPr>
            <w:r>
              <w:rPr>
                <w:rFonts w:ascii="Georgia" w:cs="Georgia" w:eastAsia="Georgia" w:hAnsi="Georgia"/>
                <w:b/>
                <w:bCs/>
                <w:sz w:val="20"/>
                <w:szCs w:val="20"/>
              </w:rPr>
              <w:t xml:space="preserve">Comprobación material.</w:t>
            </w:r>
            <w:r>
              <w:rPr>
                <w:rFonts w:ascii="Georgia" w:cs="Georgia" w:eastAsia="Georgia" w:hAnsi="Georgia"/>
                <w:sz w:val="20"/>
                <w:szCs w:val="20"/>
              </w:rPr>
              <w:t xml:space="preserve"> Cuando proceda la comprobación material de la inversión conforme a la normativa de control interno, el responsable del contrato lo hará constar y se estará a lo dispuesto en dicha normativa. Los actos de recepción previstos en este pliego se documentan de modo que resulten utilizables a esos efectos.</w:t>
            </w:r>
          </w:p>
          <w:p>
            <w:pPr>
              <w:pStyle w:val="ListParagraph"/>
              <w:numPr>
                <w:ilvl w:val="0"/>
                <w:numId w:val="2"/>
              </w:numPr>
              <w:spacing w:after="60" w:line="264"/>
            </w:pPr>
            <w:r>
              <w:rPr>
                <w:rFonts w:ascii="Georgia" w:cs="Georgia" w:eastAsia="Georgia" w:hAnsi="Georgia"/>
                <w:b/>
                <w:bCs/>
                <w:sz w:val="20"/>
                <w:szCs w:val="20"/>
              </w:rPr>
              <w:t xml:space="preserve">Obligación de colaboración del contratista.</w:t>
            </w:r>
            <w:r>
              <w:rPr>
                <w:rFonts w:ascii="Georgia" w:cs="Georgia" w:eastAsia="Georgia" w:hAnsi="Georgia"/>
                <w:sz w:val="20"/>
                <w:szCs w:val="20"/>
              </w:rPr>
              <w:t xml:space="preserve"> El contratista facilitará, en el plazo de [X; se recomienda 10] días hábiles desde su requerimiento, la documentación y los accesos necesarios para las comprobaciones previstas en este pliego, sin coste adicional.</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ejecución del contrato y de responsable del contrato. La designación concreta del responsable, en el cuadro de características.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62 LCSP</w:t>
      </w:r>
      <w:r>
        <w:rPr>
          <w:rFonts w:ascii="Calibri" w:cs="Calibri" w:eastAsia="Calibri" w:hAnsi="Calibri"/>
          <w:sz w:val="21"/>
          <w:szCs w:val="21"/>
        </w:rPr>
        <w:t xml:space="preserve">: designación de un responsable del contrato al que corresponde supervisar la ejecución. Sin responsable designado, ninguna de las cláusulas de esta Parte tiene quién las verifique, y una obligación sin verificador es una obligación que no existe.</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la elección entre penalidad y esencialidad presupone que alguien constata el incumplimiento. El informe anual del apartado 3 es ese acto de constatación.</w:t>
      </w:r>
    </w:p>
    <w:p>
      <w:pPr>
        <w:pStyle w:val="ListParagraph"/>
        <w:numPr>
          <w:ilvl w:val="0"/>
          <w:numId w:val="1"/>
        </w:numPr>
        <w:spacing w:after="70" w:line="268"/>
      </w:pPr>
      <w:r>
        <w:rPr>
          <w:rFonts w:ascii="Calibri" w:cs="Calibri" w:eastAsia="Calibri" w:hAnsi="Calibri"/>
          <w:b/>
          <w:bCs/>
          <w:sz w:val="21"/>
          <w:szCs w:val="21"/>
        </w:rPr>
        <w:t xml:space="preserve">Normativa de control interno de las entidades locales</w:t>
      </w:r>
      <w:r>
        <w:rPr>
          <w:rFonts w:ascii="Calibri" w:cs="Calibri" w:eastAsia="Calibri" w:hAnsi="Calibri"/>
          <w:sz w:val="21"/>
          <w:szCs w:val="21"/>
        </w:rPr>
        <w:t xml:space="preserve"> (Real Decreto 424/2017 y texto refundido de la Ley reguladora de las Haciendas Locales, art. 214): el control de eficacia y eficiencia recae sobre el Ayuntamiento, y sólo puede ejercerse sobre documentos que existan. La utilidad de esta cláusula para la Intervención es que </w:t>
      </w:r>
      <w:r>
        <w:rPr>
          <w:rFonts w:ascii="Calibri" w:cs="Calibri" w:eastAsia="Calibri" w:hAnsi="Calibri"/>
          <w:b/>
          <w:bCs/>
          <w:sz w:val="21"/>
          <w:szCs w:val="21"/>
        </w:rPr>
        <w:t xml:space="preserve">genera esos documentos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Las actas de la Comisión, el informe anual de ejecución y los requerimientos con su respuesta. Todo ello se incorpora al expediente de ejecución del contrato. Sin acta, el hecho no consta; y en un procedimiento contradictorio de penalidad o de resolución, lo que no consta no ocurrió.</w:t>
      </w:r>
    </w:p>
    <w:p>
      <w:pPr>
        <w:pStyle w:val="Heading3"/>
        <w:keepNext/>
        <w:spacing w:after="140" w:before="320"/>
      </w:pPr>
      <w:r>
        <w:rPr>
          <w:rFonts w:ascii="Georgia" w:cs="Georgia" w:eastAsia="Georgia" w:hAnsi="Georgia"/>
          <w:b/>
          <w:bCs/>
          <w:color w:val="2F5496"/>
          <w:sz w:val="22"/>
          <w:szCs w:val="22"/>
        </w:rPr>
        <w:t xml:space="preserve">5. Cómo se verifica — y cuánto cuesta</w:t>
      </w:r>
    </w:p>
    <w:p>
      <w:pPr>
        <w:spacing w:after="140" w:line="276"/>
      </w:pPr>
      <w:r>
        <w:rPr>
          <w:rFonts w:ascii="Calibri" w:cs="Calibri" w:eastAsia="Calibri" w:hAnsi="Calibri"/>
          <w:sz w:val="21"/>
          <w:szCs w:val="21"/>
        </w:rPr>
        <w:t xml:space="preserve">Ésta es la parte que el catálogo v2 no tenía y sin la cual las demás cláusulas son papel. Se presenta la carga completa, por actor y por documento.</w:t>
      </w:r>
    </w:p>
    <w:p>
      <w:pPr>
        <w:spacing w:after="140" w:line="276"/>
      </w:pPr>
      <w:r>
        <w:rPr>
          <w:rFonts w:ascii="Calibri" w:cs="Calibri" w:eastAsia="Calibri" w:hAnsi="Calibri"/>
          <w:b/>
          <w:bCs/>
          <w:sz w:val="21"/>
          <w:szCs w:val="21"/>
        </w:rPr>
        <w:t xml:space="preserve">Ésta es la tabla única de carga de todo el catálogo.</w:t>
      </w:r>
      <w:r>
        <w:rPr>
          <w:rFonts w:ascii="Calibri" w:cs="Calibri" w:eastAsia="Calibri" w:hAnsi="Calibri"/>
          <w:sz w:val="21"/>
          <w:szCs w:val="21"/>
        </w:rPr>
        <w:t xml:space="preserve"> Los apartados II.12 (Parte II), §M6.3 (Parte IV) y VI.4.8 (Parte VI) son extractos de ella y no estiman por su cuenta: en caso de discrepancia, prevalece esta tabla. Se construye por suma de los epígrafes 5 de cada cláusula, separando la carga de licitación de la de ejecución y la imputable a las cláusulas técnicas de la imputable a las administrativas, para que ninguna partida se cuente dos veces. Todas las cifras son estimaciones propias de este catálogo, no mediciones, y cada Ayuntamiento debe ajustarlas y consignarlas en la Ficha del Anexo II.</w:t>
      </w:r>
    </w:p>
    <w:p>
      <w:pPr>
        <w:spacing w:after="140" w:line="276"/>
      </w:pPr>
      <w:r>
        <w:rPr>
          <w:rFonts w:ascii="Calibri" w:cs="Calibri" w:eastAsia="Calibri" w:hAnsi="Calibri"/>
          <w:b/>
          <w:bCs/>
          <w:sz w:val="21"/>
          <w:szCs w:val="21"/>
        </w:rPr>
        <w:t xml:space="preserve">A · Carga de licitación (por licitación, no anual)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Apreciación de equivalencias invocadas por los licitadores (DT-0·v3)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 apreciación de la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 (ADM-7·v3)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cumplimentado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 cuando proceda (ADM-9·v3)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acta por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19–24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28–48 h</w:t>
            </w:r>
          </w:p>
        </w:tc>
      </w:tr>
    </w:tbl>
    <w:p>
      <w:pPr>
        <w:spacing w:after="200"/>
      </w:pPr>
    </w:p>
    <w:p>
      <w:pPr>
        <w:spacing w:after="140" w:line="276"/>
      </w:pPr>
      <w:r>
        <w:rPr>
          <w:rFonts w:ascii="Calibri" w:cs="Calibri" w:eastAsia="Calibri" w:hAnsi="Calibri"/>
          <w:b/>
          <w:bCs/>
          <w:sz w:val="21"/>
          <w:szCs w:val="21"/>
        </w:rPr>
        <w:t xml:space="preserve">B · Carga de ejecución imputable a las cláusulas técnicas (Parte II)</w:t>
      </w:r>
    </w:p>
    <w:p>
      <w:pPr>
        <w:spacing w:after="140" w:line="276"/>
      </w:pPr>
      <w:r>
        <w:rPr>
          <w:rFonts w:ascii="Calibri" w:cs="Calibri" w:eastAsia="Calibri" w:hAnsi="Calibri"/>
          <w:sz w:val="21"/>
          <w:szCs w:val="21"/>
        </w:rPr>
        <w:t xml:space="preserve">Se excluyen DT-2·v3 y DT-3·v3, que están marcadas NO APLICA por defecto; si se incorporan, añádanse 12 y 4 horas el primer año y 4 y 4 en los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w:t>
            </w:r>
          </w:p>
        </w:tc>
      </w:tr>
    </w:tbl>
    <w:p>
      <w:pPr>
        <w:spacing w:after="200"/>
      </w:pPr>
    </w:p>
    <w:p>
      <w:pPr>
        <w:spacing w:after="140" w:line="276"/>
      </w:pPr>
      <w:r>
        <w:rPr>
          <w:rFonts w:ascii="Calibri" w:cs="Calibri" w:eastAsia="Calibri" w:hAnsi="Calibri"/>
          <w:b/>
          <w:bCs/>
          <w:sz w:val="21"/>
          <w:szCs w:val="21"/>
        </w:rPr>
        <w:t xml:space="preserve">C · Carga de ejecución imputable a las cláusulas administrativas (Parte III)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Sesión de la Comisión de Seguimiento (preparación, sesión y acta)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técnico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 cuando la cláusula se haya incorporado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del depositario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62,5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64,5 h</w:t>
            </w:r>
          </w:p>
        </w:tc>
      </w:tr>
    </w:tbl>
    <w:p>
      <w:pPr>
        <w:spacing w:after="200"/>
      </w:pPr>
    </w:p>
    <w:p>
      <w:pPr>
        <w:spacing w:after="140" w:line="276"/>
      </w:pPr>
      <w:r>
        <w:rPr>
          <w:rFonts w:ascii="Calibri" w:cs="Calibri" w:eastAsia="Calibri" w:hAnsi="Calibri"/>
          <w:b/>
          <w:bCs/>
          <w:sz w:val="21"/>
          <w:szCs w:val="21"/>
        </w:rPr>
        <w:t xml:space="preserve">Totales de ejecución (B + C): entre 120,5 y 144,5 horas al año en régimen ordinario, y entre 180,5 y 220,5 horas el primer año.</w:t>
      </w:r>
    </w:p>
    <w:p>
      <w:pPr>
        <w:spacing w:after="140" w:line="276"/>
      </w:pPr>
      <w:r>
        <w:rPr>
          <w:rFonts w:ascii="Calibri" w:cs="Calibri" w:eastAsia="Calibri" w:hAnsi="Calibri"/>
          <w:sz w:val="21"/>
          <w:szCs w:val="21"/>
        </w:rPr>
        <w:t xml:space="preserve">A lo anterior se añaden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Los expedientes de penalidad consumen unas </w:t>
      </w:r>
      <w:r>
        <w:rPr>
          <w:rFonts w:ascii="Calibri" w:cs="Calibri" w:eastAsia="Calibri" w:hAnsi="Calibri"/>
          <w:b/>
          <w:bCs/>
          <w:sz w:val="21"/>
          <w:szCs w:val="21"/>
        </w:rPr>
        <w:t xml:space="preserve">6 horas</w:t>
      </w:r>
      <w:r>
        <w:rPr>
          <w:rFonts w:ascii="Calibri" w:cs="Calibri" w:eastAsia="Calibri" w:hAnsi="Calibri"/>
          <w:sz w:val="21"/>
          <w:szCs w:val="21"/>
        </w:rPr>
        <w:t xml:space="preserve"> cada uno y los de resolución, entre </w:t>
      </w:r>
      <w:r>
        <w:rPr>
          <w:rFonts w:ascii="Calibri" w:cs="Calibri" w:eastAsia="Calibri" w:hAnsi="Calibri"/>
          <w:b/>
          <w:bCs/>
          <w:sz w:val="21"/>
          <w:szCs w:val="21"/>
        </w:rPr>
        <w:t xml:space="preserve">25 y 40</w:t>
      </w:r>
      <w:r>
        <w:rPr>
          <w:rFonts w:ascii="Calibri" w:cs="Calibri" w:eastAsia="Calibri" w:hAnsi="Calibri"/>
          <w:sz w:val="21"/>
          <w:szCs w:val="21"/>
        </w:rPr>
        <w:t xml:space="preserve">, mayoritariamente del órgano al que corresponda el informe jurídico preceptivo y del órgano interventor. Ninguna de esas tres partidas es recurrente y por eso no se suma a los totales.</w:t>
      </w:r>
    </w:p>
    <w:p>
      <w:pPr>
        <w:spacing w:after="140" w:line="276"/>
      </w:pPr>
      <w:r>
        <w:rPr>
          <w:rFonts w:ascii="Calibri" w:cs="Calibri" w:eastAsia="Calibri" w:hAnsi="Calibri"/>
          <w:b/>
          <w:bCs/>
          <w:sz w:val="21"/>
          <w:szCs w:val="21"/>
        </w:rPr>
        <w:t xml:space="preserve">Qué significan estos números.</w:t>
      </w:r>
      <w:r>
        <w:rPr>
          <w:rFonts w:ascii="Calibri" w:cs="Calibri" w:eastAsia="Calibri" w:hAnsi="Calibri"/>
          <w:sz w:val="21"/>
          <w:szCs w:val="21"/>
        </w:rPr>
        <w:t xml:space="preserve"> Con el catálogo aplicado en su versión completa —lo que en la práctica no debe hacerse nunca, y por eso existe la versión mínima—, un contrato consume entre </w:t>
      </w:r>
      <w:r>
        <w:rPr>
          <w:rFonts w:ascii="Calibri" w:cs="Calibri" w:eastAsia="Calibri" w:hAnsi="Calibri"/>
          <w:b/>
          <w:bCs/>
          <w:sz w:val="21"/>
          <w:szCs w:val="21"/>
        </w:rPr>
        <w:t xml:space="preserve">120 y 145 horas al año</w:t>
      </w:r>
      <w:r>
        <w:rPr>
          <w:rFonts w:ascii="Calibri" w:cs="Calibri" w:eastAsia="Calibri" w:hAnsi="Calibri"/>
          <w:sz w:val="21"/>
          <w:szCs w:val="21"/>
        </w:rPr>
        <w:t xml:space="preserve"> de personal municipal, y entre </w:t>
      </w:r>
      <w:r>
        <w:rPr>
          <w:rFonts w:ascii="Calibri" w:cs="Calibri" w:eastAsia="Calibri" w:hAnsi="Calibri"/>
          <w:b/>
          <w:bCs/>
          <w:sz w:val="21"/>
          <w:szCs w:val="21"/>
        </w:rPr>
        <w:t xml:space="preserve">180 y 220 el primer año</w:t>
      </w:r>
      <w:r>
        <w:rPr>
          <w:rFonts w:ascii="Calibri" w:cs="Calibri" w:eastAsia="Calibri" w:hAnsi="Calibri"/>
          <w:sz w:val="21"/>
          <w:szCs w:val="21"/>
        </w:rPr>
        <w:t xml:space="preserve">. Diez contratos así son del orden de </w:t>
      </w:r>
      <w:r>
        <w:rPr>
          <w:rFonts w:ascii="Calibri" w:cs="Calibri" w:eastAsia="Calibri" w:hAnsi="Calibri"/>
          <w:b/>
          <w:bCs/>
          <w:sz w:val="21"/>
          <w:szCs w:val="21"/>
        </w:rPr>
        <w:t xml:space="preserve">1.200 a 1.450 horas al año</w:t>
      </w:r>
      <w:r>
        <w:rPr>
          <w:rFonts w:ascii="Calibri" w:cs="Calibri" w:eastAsia="Calibri" w:hAnsi="Calibri"/>
          <w:sz w:val="21"/>
          <w:szCs w:val="21"/>
        </w:rPr>
        <w:t xml:space="preserve">, es decir </w:t>
      </w:r>
      <w:r>
        <w:rPr>
          <w:rFonts w:ascii="Calibri" w:cs="Calibri" w:eastAsia="Calibri" w:hAnsi="Calibri"/>
          <w:b/>
          <w:bCs/>
          <w:sz w:val="21"/>
          <w:szCs w:val="21"/>
        </w:rPr>
        <w:t xml:space="preserve">entre 0,7 y 0,9 efectivos a jornada completa</w:t>
      </w:r>
      <w:r>
        <w:rPr>
          <w:rFonts w:ascii="Calibri" w:cs="Calibri" w:eastAsia="Calibri" w:hAnsi="Calibri"/>
          <w:sz w:val="21"/>
          <w:szCs w:val="21"/>
        </w:rPr>
        <w:t xml:space="preserve"> repartidos entre el responsable del contrato, el servicio de informática, el responsable de seguridad, la unidad gestora y la Intervención. Es una cifra incómoda, y ése es exactamente el punto: </w:t>
      </w:r>
      <w:r>
        <w:rPr>
          <w:rFonts w:ascii="Calibri" w:cs="Calibri" w:eastAsia="Calibri" w:hAnsi="Calibri"/>
          <w:b/>
          <w:bCs/>
          <w:sz w:val="21"/>
          <w:szCs w:val="21"/>
        </w:rPr>
        <w:t xml:space="preserve">el catálogo no se aplica entero, se aplica lo que se pueda verificar.</w:t>
      </w:r>
    </w:p>
    <w:p>
      <w:pPr>
        <w:spacing w:after="140" w:line="276"/>
      </w:pPr>
      <w:r>
        <w:rPr>
          <w:rFonts w:ascii="Calibri" w:cs="Calibri" w:eastAsia="Calibri" w:hAnsi="Calibri"/>
          <w:b/>
          <w:bCs/>
          <w:sz w:val="21"/>
          <w:szCs w:val="21"/>
        </w:rPr>
        <w:t xml:space="preserve">Versión mínima.</w:t>
      </w:r>
      <w:r>
        <w:rPr>
          <w:rFonts w:ascii="Calibri" w:cs="Calibri" w:eastAsia="Calibri" w:hAnsi="Calibri"/>
          <w:sz w:val="21"/>
          <w:szCs w:val="21"/>
        </w:rPr>
        <w:t xml:space="preserve"> Cuando la plantilla no dé para eso, la respuesta correcta no es incorporar las cláusulas y no verificarlas. Es incorporar menos cláusulas. El </w:t>
      </w:r>
      <w:r>
        <w:rPr>
          <w:rFonts w:ascii="Calibri" w:cs="Calibri" w:eastAsia="Calibri" w:hAnsi="Calibri"/>
          <w:b/>
          <w:bCs/>
          <w:sz w:val="21"/>
          <w:szCs w:val="21"/>
        </w:rPr>
        <w:t xml:space="preserve">núcleo mínimo verificable</w:t>
      </w:r>
      <w:r>
        <w:rPr>
          <w:rFonts w:ascii="Calibri" w:cs="Calibri" w:eastAsia="Calibri" w:hAnsi="Calibri"/>
          <w:sz w:val="21"/>
          <w:szCs w:val="21"/>
        </w:rPr>
        <w:t xml:space="preserve"> —ADM-1·v3 modalidad B (C3), ADM-2·v3 con una sola exigencia del Anexo (parte de B7, unas 8–12 h de aceptación el primer año y 4 de comprobación anual) más su seguimiento de versiones sucesoras (C4), ADM-4·v3 con una sola sesión anual y su informe (mitad de C1 más C2), y ADM-12·v3 (C9)— consume </w:t>
      </w:r>
      <w:r>
        <w:rPr>
          <w:rFonts w:ascii="Calibri" w:cs="Calibri" w:eastAsia="Calibri" w:hAnsi="Calibri"/>
          <w:b/>
          <w:bCs/>
          <w:sz w:val="21"/>
          <w:szCs w:val="21"/>
        </w:rPr>
        <w:t xml:space="preserve">unas 25 horas al año en régimen ordinario y entre 35 y 39 el primer año</w:t>
      </w:r>
      <w:r>
        <w:rPr>
          <w:rFonts w:ascii="Calibri" w:cs="Calibri" w:eastAsia="Calibri" w:hAnsi="Calibri"/>
          <w:sz w:val="21"/>
          <w:szCs w:val="21"/>
        </w:rPr>
        <w:t xml:space="preserve">. Es lo que debe usarse por defecto en el primer ejercicio de aplicación.</w:t>
      </w:r>
    </w:p>
    <w:p>
      <w:pPr>
        <w:spacing w:after="140" w:line="276"/>
      </w:pPr>
      <w:r>
        <w:rPr>
          <w:rFonts w:ascii="Calibri" w:cs="Calibri" w:eastAsia="Calibri" w:hAnsi="Calibri"/>
          <w:b/>
          <w:bCs/>
          <w:sz w:val="21"/>
          <w:szCs w:val="21"/>
        </w:rPr>
        <w:t xml:space="preserve">Regla de cierre, y el documento tiene que decirlo aunque no guste.</w:t>
      </w:r>
      <w:r>
        <w:rPr>
          <w:rFonts w:ascii="Calibri" w:cs="Calibri" w:eastAsia="Calibri" w:hAnsi="Calibri"/>
          <w:sz w:val="21"/>
          <w:szCs w:val="21"/>
        </w:rPr>
        <w:t xml:space="preserve"> </w:t>
      </w:r>
      <w:r>
        <w:rPr>
          <w:rFonts w:ascii="Calibri" w:cs="Calibri" w:eastAsia="Calibri" w:hAnsi="Calibri"/>
          <w:i/>
          <w:iCs/>
          <w:sz w:val="21"/>
          <w:szCs w:val="21"/>
        </w:rPr>
        <w:t xml:space="preserve">Ninguna cláusula de este catálogo se incorpora a un pliego si su verificación no tiene actor municipal designado, periodicidad y horas disponibles.</w:t>
      </w:r>
      <w:r>
        <w:rPr>
          <w:rFonts w:ascii="Calibri" w:cs="Calibri" w:eastAsia="Calibri" w:hAnsi="Calibri"/>
          <w:sz w:val="21"/>
          <w:szCs w:val="21"/>
        </w:rPr>
        <w:t xml:space="preserve"> Si al rellenar la Ficha del Anexo II no hay quien firme la casilla del actor, la cláusula se marca NO APLICA. </w:t>
      </w:r>
      <w:r>
        <w:rPr>
          <w:rFonts w:ascii="Calibri" w:cs="Calibri" w:eastAsia="Calibri" w:hAnsi="Calibri"/>
          <w:b/>
          <w:bCs/>
          <w:sz w:val="21"/>
          <w:szCs w:val="21"/>
        </w:rPr>
        <w:t xml:space="preserve">Y si el seguimiento no cabe en la plantilla municipal, la conclusión no es que el catálogo sea inaplicable: es que el Ayuntamiento debe elegir entre dotar la función, reducir el número de cláusulas por contrato o reducir el número de contratos a los que aplica el catálogo.</w:t>
      </w:r>
      <w:r>
        <w:rPr>
          <w:rFonts w:ascii="Calibri" w:cs="Calibri" w:eastAsia="Calibri" w:hAnsi="Calibri"/>
          <w:sz w:val="21"/>
          <w:szCs w:val="21"/>
        </w:rPr>
        <w:t xml:space="preserve"> Crear obligaciones esenciales que nadie comprueba no protege al Ayuntamiento: le construye un expediente vacío para el día en que quiera resolver, y le da al contratista la mejor prueba de que la obligación nunca importó.</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Inasistencia no justificada del contratista a una sesión: </w:t>
      </w:r>
      <w:r>
        <w:rPr>
          <w:rFonts w:ascii="Calibri" w:cs="Calibri" w:eastAsia="Calibri" w:hAnsi="Calibri"/>
          <w:b/>
          <w:bCs/>
          <w:sz w:val="21"/>
          <w:szCs w:val="21"/>
        </w:rPr>
        <w:t xml:space="preserve">penalidad leve</w:t>
      </w:r>
      <w:r>
        <w:rPr>
          <w:rFonts w:ascii="Calibri" w:cs="Calibri" w:eastAsia="Calibri" w:hAnsi="Calibri"/>
          <w:sz w:val="21"/>
          <w:szCs w:val="21"/>
        </w:rPr>
        <w:t xml:space="preserve"> (tipo L4).</w:t>
      </w:r>
    </w:p>
    <w:p>
      <w:pPr>
        <w:pStyle w:val="ListParagraph"/>
        <w:numPr>
          <w:ilvl w:val="0"/>
          <w:numId w:val="1"/>
        </w:numPr>
        <w:spacing w:after="70" w:line="268"/>
      </w:pPr>
      <w:r>
        <w:rPr>
          <w:rFonts w:ascii="Calibri" w:cs="Calibri" w:eastAsia="Calibri" w:hAnsi="Calibri"/>
          <w:sz w:val="21"/>
          <w:szCs w:val="21"/>
        </w:rPr>
        <w:t xml:space="preserve">Falta de entrega de documentación o de accesos requeridos en el plazo del apartado 5: </w:t>
      </w:r>
      <w:r>
        <w:rPr>
          <w:rFonts w:ascii="Calibri" w:cs="Calibri" w:eastAsia="Calibri" w:hAnsi="Calibri"/>
          <w:b/>
          <w:bCs/>
          <w:sz w:val="21"/>
          <w:szCs w:val="21"/>
        </w:rPr>
        <w:t xml:space="preserve">penalidad 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a partir de la segunda en doce meses (tipos L3 y G1).</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Ninguna obligación de esta cláusula lo es.</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Comisión</w:t>
      </w:r>
      <w:r>
        <w:rPr>
          <w:rFonts w:ascii="Calibri" w:cs="Calibri" w:eastAsia="Calibri" w:hAnsi="Calibri"/>
          <w:sz w:val="21"/>
          <w:szCs w:val="21"/>
        </w:rPr>
        <w:t xml:space="preserve"> no se constituye en contratos de duración inferior a [X; se recomienda 12] meses ni en contratos de valor estimado inferior a [X; se recomienda 60.000] euros: en ellos el seguimiento lo hace el responsable del contrato sin órgano colegiado, y el informe anual se sustituye por un informe único a la finalización. Mover el umbral hacia arriba cuando la unidad gestora no tenga capacidad; nunca hacia abajo sin dotarla.</w:t>
      </w:r>
    </w:p>
    <w:p>
      <w:pPr>
        <w:pStyle w:val="ListParagraph"/>
        <w:numPr>
          <w:ilvl w:val="0"/>
          <w:numId w:val="1"/>
        </w:numPr>
        <w:spacing w:after="70" w:line="268"/>
      </w:pPr>
      <w:r>
        <w:rPr>
          <w:rFonts w:ascii="Calibri" w:cs="Calibri" w:eastAsia="Calibri" w:hAnsi="Calibri"/>
          <w:sz w:val="21"/>
          <w:szCs w:val="21"/>
        </w:rPr>
        <w:t xml:space="preserve">El apartado 3 se reduce a las letras que correspondan a las cláusulas efectivamente incorporadas. </w:t>
      </w:r>
      <w:r>
        <w:rPr>
          <w:rFonts w:ascii="Calibri" w:cs="Calibri" w:eastAsia="Calibri" w:hAnsi="Calibri"/>
          <w:b/>
          <w:bCs/>
          <w:sz w:val="21"/>
          <w:szCs w:val="21"/>
        </w:rPr>
        <w:t xml:space="preserve">Las letras huérfanas se borran</w:t>
      </w:r>
      <w:r>
        <w:rPr>
          <w:rFonts w:ascii="Calibri" w:cs="Calibri" w:eastAsia="Calibri" w:hAnsi="Calibri"/>
          <w:sz w:val="21"/>
          <w:szCs w:val="21"/>
        </w:rPr>
        <w:t xml:space="preserve">: un informe anual que se pronuncia sobre un Anexo que no existe es un defecto que el contratista alegará.</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III.5 · ADM-5·v3 — Penalidades</w:t>
      </w:r>
    </w:p>
    <w:p>
      <w:pPr>
        <w:spacing w:after="140" w:line="276"/>
      </w:pPr>
      <w:r>
        <w:rPr>
          <w:rFonts w:ascii="Calibri" w:cs="Calibri" w:eastAsia="Calibri" w:hAnsi="Calibri"/>
          <w:i/>
          <w:iCs/>
          <w:sz w:val="21"/>
          <w:szCs w:val="21"/>
        </w:rPr>
        <w:t xml:space="preserve">(Reescribe ADM-5 de v2. Se conserva el límite cuantitativo, que en v2 estaba bien. Se sustituye la tipificación por conceptos —«obsolescencia tecnológica», «negativa injustificada a evolucionar»— por una tipificación por hechos con documento que los prueba. Y se suprime «falta de la demostración exigida».)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Penalidades por incumplimiento.</w:t>
            </w:r>
          </w:p>
          <w:p>
            <w:pPr>
              <w:pStyle w:val="ListParagraph"/>
              <w:numPr>
                <w:ilvl w:val="0"/>
                <w:numId w:val="2"/>
              </w:numPr>
              <w:spacing w:after="60" w:line="264"/>
            </w:pPr>
            <w:r>
              <w:rPr>
                <w:rFonts w:ascii="Georgia" w:cs="Georgia" w:eastAsia="Georgia" w:hAnsi="Georgia"/>
                <w:b/>
                <w:bCs/>
                <w:sz w:val="20"/>
                <w:szCs w:val="20"/>
              </w:rPr>
              <w:t xml:space="preserve">Régimen y límites.</w:t>
            </w:r>
            <w:r>
              <w:rPr>
                <w:rFonts w:ascii="Georgia" w:cs="Georgia" w:eastAsia="Georgia" w:hAnsi="Georgia"/>
                <w:sz w:val="20"/>
                <w:szCs w:val="20"/>
              </w:rPr>
              <w:t xml:space="preserve"> El incumplimiento de las obligaciones y condiciones especiales de ejecución establecidas en este pliego dará lugar a la imposición de penalidades proporcionadas a la gravedad del incumplimiento, conforme al artículo 192.1 de la Ley 9/2017, sin que la cuantía de cada una pueda ser superior al </w:t>
            </w:r>
            <w:r>
              <w:rPr>
                <w:rFonts w:ascii="Georgia" w:cs="Georgia" w:eastAsia="Georgia" w:hAnsi="Georgia"/>
                <w:b/>
                <w:bCs/>
                <w:sz w:val="20"/>
                <w:szCs w:val="20"/>
              </w:rPr>
              <w:t xml:space="preserve">10 por ciento del precio del contrato, IVA excluido</w:t>
            </w:r>
            <w:r>
              <w:rPr>
                <w:rFonts w:ascii="Georgia" w:cs="Georgia" w:eastAsia="Georgia" w:hAnsi="Georgia"/>
                <w:sz w:val="20"/>
                <w:szCs w:val="20"/>
              </w:rPr>
              <w:t xml:space="preserve">, ni el total de las impuestas superar el </w:t>
            </w:r>
            <w:r>
              <w:rPr>
                <w:rFonts w:ascii="Georgia" w:cs="Georgia" w:eastAsia="Georgia" w:hAnsi="Georgia"/>
                <w:b/>
                <w:bCs/>
                <w:sz w:val="20"/>
                <w:szCs w:val="20"/>
              </w:rPr>
              <w:t xml:space="preserve">50 por ciento del precio del contrato</w:t>
            </w:r>
            <w:r>
              <w:rPr>
                <w:rFonts w:ascii="Georgia" w:cs="Georgia" w:eastAsia="Georgia" w:hAnsi="Georgia"/>
                <w:sz w:val="20"/>
                <w:szCs w:val="20"/>
              </w:rPr>
              <w:t xml:space="preserve">. Este cuadro no sustituye al régimen general de la demora en la ejecución previsto en la Ley 9/2017, que opera conforme a sus propios términos.</w:t>
            </w:r>
          </w:p>
          <w:p>
            <w:pPr>
              <w:pStyle w:val="ListParagraph"/>
              <w:numPr>
                <w:ilvl w:val="0"/>
                <w:numId w:val="2"/>
              </w:numPr>
              <w:spacing w:after="60" w:line="264"/>
            </w:pPr>
            <w:r>
              <w:rPr>
                <w:rFonts w:ascii="Georgia" w:cs="Georgia" w:eastAsia="Georgia" w:hAnsi="Georgia"/>
                <w:b/>
                <w:bCs/>
                <w:sz w:val="20"/>
                <w:szCs w:val="20"/>
              </w:rPr>
              <w:t xml:space="preserve">Cuantías.</w:t>
            </w:r>
          </w:p>
          <w:p>
            <w:pPr>
              <w:spacing w:after="100" w:line="264"/>
            </w:pPr>
            <w:r>
              <w:rPr>
                <w:rFonts w:ascii="Georgia" w:cs="Georgia" w:eastAsia="Georgia" w:hAnsi="Georgia"/>
                <w:sz w:val="20"/>
                <w:szCs w:val="20"/>
              </w:rPr>
              <w:t xml:space="preserve">a) Incumplimiento </w:t>
            </w:r>
            <w:r>
              <w:rPr>
                <w:rFonts w:ascii="Georgia" w:cs="Georgia" w:eastAsia="Georgia" w:hAnsi="Georgia"/>
                <w:b/>
                <w:bCs/>
                <w:sz w:val="20"/>
                <w:szCs w:val="20"/>
              </w:rPr>
              <w:t xml:space="preserve">leve</w:t>
            </w:r>
            <w:r>
              <w:rPr>
                <w:rFonts w:ascii="Georgia" w:cs="Georgia" w:eastAsia="Georgia" w:hAnsi="Georgia"/>
                <w:sz w:val="20"/>
                <w:szCs w:val="20"/>
              </w:rPr>
              <w:t xml:space="preserve">: hasta el [X; se recomienda 0,5] por ciento del precio anual del contrato, IVA excluido, por cada incumplimiento.</w:t>
            </w:r>
          </w:p>
          <w:p>
            <w:pPr>
              <w:spacing w:after="100" w:line="264"/>
            </w:pPr>
            <w:r>
              <w:rPr>
                <w:rFonts w:ascii="Georgia" w:cs="Georgia" w:eastAsia="Georgia" w:hAnsi="Georgia"/>
                <w:sz w:val="20"/>
                <w:szCs w:val="20"/>
              </w:rPr>
              <w:t xml:space="preserve">b) Incumplimiento </w:t>
            </w:r>
            <w:r>
              <w:rPr>
                <w:rFonts w:ascii="Georgia" w:cs="Georgia" w:eastAsia="Georgia" w:hAnsi="Georgia"/>
                <w:b/>
                <w:bCs/>
                <w:sz w:val="20"/>
                <w:szCs w:val="20"/>
              </w:rPr>
              <w:t xml:space="preserve">grave</w:t>
            </w:r>
            <w:r>
              <w:rPr>
                <w:rFonts w:ascii="Georgia" w:cs="Georgia" w:eastAsia="Georgia" w:hAnsi="Georgia"/>
                <w:sz w:val="20"/>
                <w:szCs w:val="20"/>
              </w:rPr>
              <w:t xml:space="preserve">: entre el [X; se recomienda 0,5] y el [X; se recomienda 3] por ciento del precio anual del contrato, IVA excluido, por cada incumplimiento.</w:t>
            </w:r>
          </w:p>
          <w:p>
            <w:pPr>
              <w:spacing w:after="100" w:line="264"/>
            </w:pPr>
            <w:r>
              <w:rPr>
                <w:rFonts w:ascii="Georgia" w:cs="Georgia" w:eastAsia="Georgia" w:hAnsi="Georgia"/>
                <w:sz w:val="20"/>
                <w:szCs w:val="20"/>
              </w:rPr>
              <w:t xml:space="preserve">c) Incumplimiento </w:t>
            </w:r>
            <w:r>
              <w:rPr>
                <w:rFonts w:ascii="Georgia" w:cs="Georgia" w:eastAsia="Georgia" w:hAnsi="Georgia"/>
                <w:b/>
                <w:bCs/>
                <w:sz w:val="20"/>
                <w:szCs w:val="20"/>
              </w:rPr>
              <w:t xml:space="preserve">muy grave</w:t>
            </w:r>
            <w:r>
              <w:rPr>
                <w:rFonts w:ascii="Georgia" w:cs="Georgia" w:eastAsia="Georgia" w:hAnsi="Georgia"/>
                <w:sz w:val="20"/>
                <w:szCs w:val="20"/>
              </w:rPr>
              <w:t xml:space="preserve">: entre el [X; se recomienda 3] y el [X; se recomienda 6] por ciento del precio del contrato, IVA excluido, por cada incumplimiento, sin superar en ningún caso el 10 por ciento.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Tope por hecho continuado.</w:t>
            </w:r>
            <w:r>
              <w:rPr>
                <w:rFonts w:ascii="Georgia" w:cs="Georgia" w:eastAsia="Georgia" w:hAnsi="Georgia"/>
                <w:sz w:val="20"/>
                <w:szCs w:val="20"/>
              </w:rPr>
              <w:t xml:space="preserve"> El importe acumulado de las penalidades impuestas por un mismo hecho continuado no podrá superar el 10 por ciento del precio del contrato, IVA excluido (artículo 192.1 de la Ley 9/2017).</w:t>
            </w:r>
          </w:p>
          <w:p>
            <w:pPr>
              <w:pStyle w:val="ListParagraph"/>
              <w:numPr>
                <w:ilvl w:val="0"/>
                <w:numId w:val="2"/>
              </w:numPr>
              <w:spacing w:after="60" w:line="264"/>
            </w:pPr>
            <w:r>
              <w:rPr>
                <w:rFonts w:ascii="Georgia" w:cs="Georgia" w:eastAsia="Georgia" w:hAnsi="Georgia"/>
                <w:b/>
                <w:bCs/>
                <w:sz w:val="20"/>
                <w:szCs w:val="20"/>
              </w:rPr>
              <w:t xml:space="preserve">Tipificación.</w:t>
            </w:r>
            <w:r>
              <w:rPr>
                <w:rFonts w:ascii="Georgia" w:cs="Georgia" w:eastAsia="Georgia" w:hAnsi="Georgia"/>
                <w:sz w:val="20"/>
                <w:szCs w:val="20"/>
              </w:rPr>
              <w:t xml:space="preserve"> Constituyen incumplimientos sancionables, exclusivamente, los siguientes:</w:t>
            </w:r>
          </w:p>
          <w:p>
            <w:pPr>
              <w:spacing w:after="100" w:line="264"/>
            </w:pPr>
            <w:r>
              <w:rPr>
                <w:rFonts w:ascii="Georgia" w:cs="Georgia" w:eastAsia="Georgia" w:hAnsi="Georgia"/>
                <w:b/>
                <w:bCs/>
                <w:sz w:val="20"/>
                <w:szCs w:val="20"/>
              </w:rPr>
              <w:t xml:space="preserve">Leves</w:t>
            </w:r>
          </w:p>
          <w:p>
            <w:pPr>
              <w:spacing w:after="100" w:line="264"/>
            </w:pPr>
            <w:r>
              <w:rPr>
                <w:rFonts w:ascii="Georgia" w:cs="Georgia" w:eastAsia="Georgia" w:hAnsi="Georgia"/>
                <w:sz w:val="20"/>
                <w:szCs w:val="20"/>
              </w:rPr>
              <w:t xml:space="preserve">L1. Retraso de hasta 30 días naturales en la presentación del Plan Anual de Evolución Tecnológica, contados desde el plazo que para ello fija la cláusula de Plan Anual de este pliego.</w:t>
            </w:r>
          </w:p>
          <w:p>
            <w:pPr>
              <w:spacing w:after="100" w:line="264"/>
            </w:pPr>
            <w:r>
              <w:rPr>
                <w:rFonts w:ascii="Georgia" w:cs="Georgia" w:eastAsia="Georgia" w:hAnsi="Georgia"/>
                <w:sz w:val="20"/>
                <w:szCs w:val="20"/>
              </w:rPr>
              <w:t xml:space="preserve">L2. Retraso de hasta 90 días naturales en la comunicación de la publicación de una versión sucesora del producto contratado.</w:t>
            </w:r>
          </w:p>
          <w:p>
            <w:pPr>
              <w:spacing w:after="100" w:line="264"/>
            </w:pPr>
            <w:r>
              <w:rPr>
                <w:rFonts w:ascii="Georgia" w:cs="Georgia" w:eastAsia="Georgia" w:hAnsi="Georgia"/>
                <w:sz w:val="20"/>
                <w:szCs w:val="20"/>
              </w:rPr>
              <w:t xml:space="preserve">L3. Falta de remisión, en el plazo requerido, de la documentación acreditativa del sistema de gestión de la inteligencia artificial o de cualquier otra documentación exigible conforme a este pliego.</w:t>
            </w:r>
          </w:p>
          <w:p>
            <w:pPr>
              <w:spacing w:after="100" w:line="264"/>
            </w:pPr>
            <w:r>
              <w:rPr>
                <w:rFonts w:ascii="Georgia" w:cs="Georgia" w:eastAsia="Georgia" w:hAnsi="Georgia"/>
                <w:sz w:val="20"/>
                <w:szCs w:val="20"/>
              </w:rPr>
              <w:t xml:space="preserve">L4. Inasistencia no justificada a una sesión de la Comisión de Seguimiento convocada en plazo.</w:t>
            </w:r>
          </w:p>
          <w:p>
            <w:pPr>
              <w:spacing w:after="100" w:line="264"/>
            </w:pPr>
            <w:r>
              <w:rPr>
                <w:rFonts w:ascii="Georgia" w:cs="Georgia" w:eastAsia="Georgia" w:hAnsi="Georgia"/>
                <w:sz w:val="20"/>
                <w:szCs w:val="20"/>
              </w:rPr>
              <w:t xml:space="preserve">L5. Deficiencias documentales subsanables en las actas de aceptación o de recepción, no subsanadas en el plazo requerido.</w:t>
            </w:r>
          </w:p>
          <w:p>
            <w:pPr>
              <w:spacing w:after="100" w:line="264"/>
            </w:pPr>
            <w:r>
              <w:rPr>
                <w:rFonts w:ascii="Georgia" w:cs="Georgia" w:eastAsia="Georgia" w:hAnsi="Georgia"/>
                <w:sz w:val="20"/>
                <w:szCs w:val="20"/>
              </w:rPr>
              <w:t xml:space="preserve">L6. Retraso no superior a [X; se recomienda 15] días naturales en la actualización del inventario de sistemas de inteligencia artificial, o en la entrega de las instrucciones de uso y de los registros exigidos por la cláusula técnica de incorporación de inteligencia artificial.</w:t>
            </w:r>
          </w:p>
          <w:p>
            <w:pPr>
              <w:spacing w:after="100" w:line="264"/>
            </w:pPr>
            <w:r>
              <w:rPr>
                <w:rFonts w:ascii="Georgia" w:cs="Georgia" w:eastAsia="Georgia" w:hAnsi="Georgia"/>
                <w:sz w:val="20"/>
                <w:szCs w:val="20"/>
              </w:rPr>
              <w:t xml:space="preserve">L7. Retraso no superior a [X; se recomienda 15] días naturales en la entrega o actualización de la documentación técnica de las interfaces de interoperabilidad, de la interfaz normalizada de acceso programático o del anclaje de evidencias.</w:t>
            </w:r>
          </w:p>
          <w:p>
            <w:pPr>
              <w:spacing w:after="100" w:line="264"/>
            </w:pPr>
            <w:r>
              <w:rPr>
                <w:rFonts w:ascii="Georgia" w:cs="Georgia" w:eastAsia="Georgia" w:hAnsi="Georgia"/>
                <w:sz w:val="20"/>
                <w:szCs w:val="20"/>
              </w:rPr>
              <w:t xml:space="preserve">L8. Retraso no superior a [X; se recomienda 30] días naturales en la entrega de los indicadores de los procesos automatizados, o en la entrega o actualización del inventario y del plan de transición criptográfica.</w:t>
            </w:r>
          </w:p>
          <w:p>
            <w:pPr>
              <w:spacing w:after="100" w:line="264"/>
            </w:pPr>
            <w:r>
              <w:rPr>
                <w:rFonts w:ascii="Georgia" w:cs="Georgia" w:eastAsia="Georgia" w:hAnsi="Georgia"/>
                <w:sz w:val="20"/>
                <w:szCs w:val="20"/>
              </w:rPr>
              <w:t xml:space="preserve">L9. Retraso no superior a [X; se recomienda 15] días naturales en la entrega del informe de vulnerabilidades o del informe de la prueba de continuidad.</w:t>
            </w:r>
          </w:p>
          <w:p>
            <w:pPr>
              <w:spacing w:after="100" w:line="264"/>
            </w:pPr>
            <w:r>
              <w:rPr>
                <w:rFonts w:ascii="Georgia" w:cs="Georgia" w:eastAsia="Georgia" w:hAnsi="Georgia"/>
                <w:sz w:val="20"/>
                <w:szCs w:val="20"/>
              </w:rPr>
              <w:t xml:space="preserve">L10. Retraso no superior a [X; se recomienda 30] días naturales en la actualización anual del Plan de Reversibilidad.</w:t>
            </w:r>
          </w:p>
          <w:p>
            <w:pPr>
              <w:spacing w:after="100" w:line="264"/>
            </w:pPr>
            <w:r>
              <w:rPr>
                <w:rFonts w:ascii="Georgia" w:cs="Georgia" w:eastAsia="Georgia" w:hAnsi="Georgia"/>
                <w:b/>
                <w:bCs/>
                <w:sz w:val="20"/>
                <w:szCs w:val="20"/>
              </w:rPr>
              <w:t xml:space="preserve">Graves</w:t>
            </w:r>
          </w:p>
          <w:p>
            <w:pPr>
              <w:spacing w:after="100" w:line="264"/>
            </w:pPr>
            <w:r>
              <w:rPr>
                <w:rFonts w:ascii="Georgia" w:cs="Georgia" w:eastAsia="Georgia" w:hAnsi="Georgia"/>
                <w:sz w:val="20"/>
                <w:szCs w:val="20"/>
              </w:rPr>
              <w:t xml:space="preserve">G1. Reiteración de dos incumplimientos leves de la misma clase en doce meses, o persistencia de un incumplimiento leve más allá de 30 días desde el requerimiento de subsanación.</w:t>
            </w:r>
          </w:p>
          <w:p>
            <w:pPr>
              <w:spacing w:after="100" w:line="264"/>
            </w:pPr>
            <w:r>
              <w:rPr>
                <w:rFonts w:ascii="Georgia" w:cs="Georgia" w:eastAsia="Georgia" w:hAnsi="Georgia"/>
                <w:sz w:val="20"/>
                <w:szCs w:val="20"/>
              </w:rPr>
              <w:t xml:space="preserve">G2. Incumplimiento del plazo de implantación de una exigencia del Anexo de Exigencias Tecnológicas Determinadas, por cada mes o fracción de retraso.</w:t>
            </w:r>
          </w:p>
          <w:p>
            <w:pPr>
              <w:spacing w:after="100" w:line="264"/>
            </w:pPr>
            <w:r>
              <w:rPr>
                <w:rFonts w:ascii="Georgia" w:cs="Georgia" w:eastAsia="Georgia" w:hAnsi="Georgia"/>
                <w:sz w:val="20"/>
                <w:szCs w:val="20"/>
              </w:rPr>
              <w:t xml:space="preserve">G3. Falta de entrega o de actualización del Inventario de Componentes en los plazos del pliego.</w:t>
            </w:r>
          </w:p>
          <w:p>
            <w:pPr>
              <w:spacing w:after="100" w:line="264"/>
            </w:pPr>
            <w:r>
              <w:rPr>
                <w:rFonts w:ascii="Georgia" w:cs="Georgia" w:eastAsia="Georgia" w:hAnsi="Georgia"/>
                <w:sz w:val="20"/>
                <w:szCs w:val="20"/>
              </w:rPr>
              <w:t xml:space="preserve">G4. Falta de constitución, de actualización o de verificación del depósito de código en los plazos del pliego.</w:t>
            </w:r>
          </w:p>
          <w:p>
            <w:pPr>
              <w:spacing w:after="100" w:line="264"/>
            </w:pPr>
            <w:r>
              <w:rPr>
                <w:rFonts w:ascii="Georgia" w:cs="Georgia" w:eastAsia="Georgia" w:hAnsi="Georgia"/>
                <w:sz w:val="20"/>
                <w:szCs w:val="20"/>
              </w:rPr>
              <w:t xml:space="preserve">G5. Falta de comunicación, transcurridos 90 días naturales, de la publicación de una versión sucesora.</w:t>
            </w:r>
          </w:p>
          <w:p>
            <w:pPr>
              <w:spacing w:after="100" w:line="264"/>
            </w:pPr>
            <w:r>
              <w:rPr>
                <w:rFonts w:ascii="Georgia" w:cs="Georgia" w:eastAsia="Georgia" w:hAnsi="Georgia"/>
                <w:sz w:val="20"/>
                <w:szCs w:val="20"/>
              </w:rPr>
              <w:t xml:space="preserve">G6. Incumplimiento de las obligaciones de acceso de los órganos de control, incluida la facturación o tarificación de dicho acceso.</w:t>
            </w:r>
          </w:p>
          <w:p>
            <w:pPr>
              <w:spacing w:after="100" w:line="264"/>
            </w:pPr>
            <w:r>
              <w:rPr>
                <w:rFonts w:ascii="Georgia" w:cs="Georgia" w:eastAsia="Georgia" w:hAnsi="Georgia"/>
                <w:sz w:val="20"/>
                <w:szCs w:val="20"/>
              </w:rPr>
              <w:t xml:space="preserve">G7. Alta o utilización de un sistema de inteligencia artificial no autorizado sobre información municipal, cuando no conste incorporación efectiva de información no pública.</w:t>
            </w:r>
          </w:p>
          <w:p>
            <w:pPr>
              <w:spacing w:after="100" w:line="264"/>
            </w:pPr>
            <w:r>
              <w:rPr>
                <w:rFonts w:ascii="Georgia" w:cs="Georgia" w:eastAsia="Georgia" w:hAnsi="Georgia"/>
                <w:sz w:val="20"/>
                <w:szCs w:val="20"/>
              </w:rPr>
              <w:t xml:space="preserve">G8. Pérdida de una certificación o de un sistema de gestión exigidos sin que el contratista acredite, en el plazo requerido, el cumplimiento por la vía documental prevista en la cláusula correspondiente de este pliego, cuando esa vía esté admitida; subsanada en el plazo de [X; se recomienda 3] meses.</w:t>
            </w:r>
          </w:p>
          <w:p>
            <w:pPr>
              <w:spacing w:after="100" w:line="264"/>
            </w:pPr>
            <w:r>
              <w:rPr>
                <w:rFonts w:ascii="Georgia" w:cs="Georgia" w:eastAsia="Georgia" w:hAnsi="Georgia"/>
                <w:sz w:val="20"/>
                <w:szCs w:val="20"/>
              </w:rPr>
              <w:t xml:space="preserve">G9. Incumplimiento de un hito del Plan Anual expresamente aprobado por el órgano de contratación con fecha cierta en acta.</w:t>
            </w:r>
          </w:p>
          <w:p>
            <w:pPr>
              <w:spacing w:after="100" w:line="264"/>
            </w:pPr>
            <w:r>
              <w:rPr>
                <w:rFonts w:ascii="Georgia" w:cs="Georgia" w:eastAsia="Georgia" w:hAnsi="Georgia"/>
                <w:sz w:val="20"/>
                <w:szCs w:val="20"/>
              </w:rPr>
              <w:t xml:space="preserve">G10. Falta de comunicación de un cambio de clasificación de riesgo de un sistema de inteligencia artificial, o ausencia del punto de contacto único exigido por la cláusula técnica de incorporación de inteligencia artificial.</w:t>
            </w:r>
          </w:p>
          <w:p>
            <w:pPr>
              <w:spacing w:after="100" w:line="264"/>
            </w:pPr>
            <w:r>
              <w:rPr>
                <w:rFonts w:ascii="Georgia" w:cs="Georgia" w:eastAsia="Georgia" w:hAnsi="Georgia"/>
                <w:sz w:val="20"/>
                <w:szCs w:val="20"/>
              </w:rPr>
              <w:t xml:space="preserve">G11. Incumplimiento del plazo de respuesta ante un incidente grave imputable a un sistema de inteligencia artificial.</w:t>
            </w:r>
          </w:p>
          <w:p>
            <w:pPr>
              <w:spacing w:after="100" w:line="264"/>
            </w:pPr>
            <w:r>
              <w:rPr>
                <w:rFonts w:ascii="Georgia" w:cs="Georgia" w:eastAsia="Georgia" w:hAnsi="Georgia"/>
                <w:sz w:val="20"/>
                <w:szCs w:val="20"/>
              </w:rPr>
              <w:t xml:space="preserve">G12. Puesta en producción de una funcionalidad de inteligencia artificial sin el acta de aceptación previa exigida por la cláusula técnica de incorporación de inteligencia artificial.</w:t>
            </w:r>
          </w:p>
          <w:p>
            <w:pPr>
              <w:spacing w:after="100" w:line="264"/>
            </w:pPr>
            <w:r>
              <w:rPr>
                <w:rFonts w:ascii="Georgia" w:cs="Georgia" w:eastAsia="Georgia" w:hAnsi="Georgia"/>
                <w:sz w:val="20"/>
                <w:szCs w:val="20"/>
              </w:rPr>
              <w:t xml:space="preserve">G13. Imposibilidad de verificar la integridad de las evidencias ancladas por un tercero sin acceso privilegiado, o falta de entrega del procedimiento de exportación de evidencias.</w:t>
            </w:r>
          </w:p>
          <w:p>
            <w:pPr>
              <w:spacing w:after="100" w:line="264"/>
            </w:pPr>
            <w:r>
              <w:rPr>
                <w:rFonts w:ascii="Georgia" w:cs="Georgia" w:eastAsia="Georgia" w:hAnsi="Georgia"/>
                <w:sz w:val="20"/>
                <w:szCs w:val="20"/>
              </w:rPr>
              <w:t xml:space="preserve">G14. Falta de entrega del plan de transición criptográfica transcurrido su plazo y [X; se recomienda 30] días naturales desde requerimiento.</w:t>
            </w:r>
          </w:p>
          <w:p>
            <w:pPr>
              <w:spacing w:after="100" w:line="264"/>
            </w:pPr>
            <w:r>
              <w:rPr>
                <w:rFonts w:ascii="Georgia" w:cs="Georgia" w:eastAsia="Georgia" w:hAnsi="Georgia"/>
                <w:sz w:val="20"/>
                <w:szCs w:val="20"/>
              </w:rPr>
              <w:t xml:space="preserve">G15. Incumplimiento, sin causa justificada, del plazo de automatización de un proceso de la lista cerrada y numerada del Pliego de Prescripciones Técnicas, o puesta en producción de una automatización sin el acta de aceptación exigida.</w:t>
            </w:r>
          </w:p>
          <w:p>
            <w:pPr>
              <w:spacing w:after="100" w:line="264"/>
            </w:pPr>
            <w:r>
              <w:rPr>
                <w:rFonts w:ascii="Georgia" w:cs="Georgia" w:eastAsia="Georgia" w:hAnsi="Georgia"/>
                <w:sz w:val="20"/>
                <w:szCs w:val="20"/>
              </w:rPr>
              <w:t xml:space="preserve">G16. Exportación de datos que requiera la intervención del personal del adjudicatario, o falta de entrega o desactualización del diccionario de datos.</w:t>
            </w:r>
          </w:p>
          <w:p>
            <w:pPr>
              <w:spacing w:after="100" w:line="264"/>
            </w:pPr>
            <w:r>
              <w:rPr>
                <w:rFonts w:ascii="Georgia" w:cs="Georgia" w:eastAsia="Georgia" w:hAnsi="Georgia"/>
                <w:sz w:val="20"/>
                <w:szCs w:val="20"/>
              </w:rPr>
              <w:t xml:space="preserve">G17. Indisponibilidad del entorno de pruebas en la fecha comprometida, o superior a [X; se recomienda 10] días hábiles.</w:t>
            </w:r>
          </w:p>
          <w:p>
            <w:pPr>
              <w:spacing w:after="100" w:line="264"/>
            </w:pPr>
            <w:r>
              <w:rPr>
                <w:rFonts w:ascii="Georgia" w:cs="Georgia" w:eastAsia="Georgia" w:hAnsi="Georgia"/>
                <w:sz w:val="20"/>
                <w:szCs w:val="20"/>
              </w:rPr>
              <w:t xml:space="preserve">G18. Incumplimiento de los plazos de subsanación de vulnerabilidades de severidad alta, o falta de comunicación de una vulnerabilidad crítica en el plazo del pliego.</w:t>
            </w:r>
          </w:p>
          <w:p>
            <w:pPr>
              <w:spacing w:after="100" w:line="264"/>
            </w:pPr>
            <w:r>
              <w:rPr>
                <w:rFonts w:ascii="Georgia" w:cs="Georgia" w:eastAsia="Georgia" w:hAnsi="Georgia"/>
                <w:sz w:val="20"/>
                <w:szCs w:val="20"/>
              </w:rPr>
              <w:t xml:space="preserve">G19. Falta de entrega del inventario de funciones expuestas por la interfaz normalizada de acceso programático, o incumplimiento del plazo de entrega de la interfaz ofertado por debajo del plazo máximo del pliego.</w:t>
            </w:r>
          </w:p>
          <w:p>
            <w:pPr>
              <w:spacing w:after="100" w:line="264"/>
            </w:pPr>
            <w:r>
              <w:rPr>
                <w:rFonts w:ascii="Georgia" w:cs="Georgia" w:eastAsia="Georgia" w:hAnsi="Georgia"/>
                <w:sz w:val="20"/>
                <w:szCs w:val="20"/>
              </w:rPr>
              <w:t xml:space="preserve">G20. Falta de realización, en el plazo previsto, del ensayo de reversibilidad.</w:t>
            </w:r>
          </w:p>
          <w:p>
            <w:pPr>
              <w:spacing w:after="100" w:line="264"/>
            </w:pPr>
            <w:r>
              <w:rPr>
                <w:rFonts w:ascii="Georgia" w:cs="Georgia" w:eastAsia="Georgia" w:hAnsi="Georgia"/>
                <w:sz w:val="20"/>
                <w:szCs w:val="20"/>
              </w:rPr>
              <w:t xml:space="preserve">G21. Degradación de una capacidad ya aceptada del Anexo de Exigencias Tecnológicas Determinadas, no subsanada en [X; se recomienda 30] días naturales.</w:t>
            </w:r>
          </w:p>
          <w:p>
            <w:pPr>
              <w:spacing w:after="100" w:line="264"/>
            </w:pPr>
            <w:r>
              <w:rPr>
                <w:rFonts w:ascii="Georgia" w:cs="Georgia" w:eastAsia="Georgia" w:hAnsi="Georgia"/>
                <w:sz w:val="20"/>
                <w:szCs w:val="20"/>
              </w:rPr>
              <w:t xml:space="preserve">G22. Falta de constancia en el acta de aceptación de alguno de los criterios de aceptación de una exigencia del Anexo de Exigencias Tecnológicas Determinadas.</w:t>
            </w:r>
          </w:p>
          <w:p>
            <w:pPr>
              <w:spacing w:after="100" w:line="264"/>
            </w:pPr>
            <w:r>
              <w:rPr>
                <w:rFonts w:ascii="Georgia" w:cs="Georgia" w:eastAsia="Georgia" w:hAnsi="Georgia"/>
                <w:b/>
                <w:bCs/>
                <w:sz w:val="20"/>
                <w:szCs w:val="20"/>
              </w:rPr>
              <w:t xml:space="preserve">Muy graves</w:t>
            </w:r>
          </w:p>
          <w:p>
            <w:pPr>
              <w:spacing w:after="100" w:line="264"/>
            </w:pPr>
            <w:r>
              <w:rPr>
                <w:rFonts w:ascii="Georgia" w:cs="Georgia" w:eastAsia="Georgia" w:hAnsi="Georgia"/>
                <w:sz w:val="20"/>
                <w:szCs w:val="20"/>
              </w:rPr>
              <w:t xml:space="preserve">M1. Falta de implantación de una exigencia del Anexo de Exigencias Tecnológicas Determinadas, transcurrido su plazo y un plazo adicional de subsanación de un mes desde requerimiento fehaciente.</w:t>
            </w:r>
          </w:p>
          <w:p>
            <w:pPr>
              <w:spacing w:after="100" w:line="264"/>
            </w:pPr>
            <w:r>
              <w:rPr>
                <w:rFonts w:ascii="Georgia" w:cs="Georgia" w:eastAsia="Georgia" w:hAnsi="Georgia"/>
                <w:sz w:val="20"/>
                <w:szCs w:val="20"/>
              </w:rPr>
              <w:t xml:space="preserve">M2. Negativa a poner a disposición del Ayuntamiento una versión sucesora publicada por el fabricante y a la que el contratista tenga acceso.</w:t>
            </w:r>
          </w:p>
          <w:p>
            <w:pPr>
              <w:spacing w:after="100" w:line="264"/>
            </w:pPr>
            <w:r>
              <w:rPr>
                <w:rFonts w:ascii="Georgia" w:cs="Georgia" w:eastAsia="Georgia" w:hAnsi="Georgia"/>
                <w:sz w:val="20"/>
                <w:szCs w:val="20"/>
              </w:rPr>
              <w:t xml:space="preserve">M3. Negativa a constituir el depósito de código o el plan de continuidad equivalente por la vía de cumplimiento elegida; negativa a liberar el depósito concurriendo un supuesto tasado de liberación; o entrega de material incompleto o no verificable.</w:t>
            </w:r>
          </w:p>
          <w:p>
            <w:pPr>
              <w:spacing w:after="100" w:line="264"/>
            </w:pPr>
            <w:r>
              <w:rPr>
                <w:rFonts w:ascii="Georgia" w:cs="Georgia" w:eastAsia="Georgia" w:hAnsi="Georgia"/>
                <w:sz w:val="20"/>
                <w:szCs w:val="20"/>
              </w:rPr>
              <w:t xml:space="preserve">M4. Negativa a entregar la reversibilidad, entrega incompleta del Dossier de Reversibilidad no subsanada en el plazo requerido, o negativa a mantener la licencia de continuidad del producto base en los términos de este pliego.</w:t>
            </w:r>
          </w:p>
          <w:p>
            <w:pPr>
              <w:spacing w:after="100" w:line="264"/>
            </w:pPr>
            <w:r>
              <w:rPr>
                <w:rFonts w:ascii="Georgia" w:cs="Georgia" w:eastAsia="Georgia" w:hAnsi="Georgia"/>
                <w:sz w:val="20"/>
                <w:szCs w:val="20"/>
              </w:rPr>
              <w:t xml:space="preserve">M5. Introducción de información municipal no pública en un sistema de inteligencia artificial no autorizado.</w:t>
            </w:r>
          </w:p>
          <w:p>
            <w:pPr>
              <w:spacing w:after="100" w:line="264"/>
            </w:pPr>
            <w:r>
              <w:rPr>
                <w:rFonts w:ascii="Georgia" w:cs="Georgia" w:eastAsia="Georgia" w:hAnsi="Georgia"/>
                <w:sz w:val="20"/>
                <w:szCs w:val="20"/>
              </w:rPr>
              <w:t xml:space="preserve">M6. Denegación o supresión del acceso de los órganos de control.</w:t>
            </w:r>
          </w:p>
          <w:p>
            <w:pPr>
              <w:spacing w:after="100" w:line="264"/>
            </w:pPr>
            <w:r>
              <w:rPr>
                <w:rFonts w:ascii="Georgia" w:cs="Georgia" w:eastAsia="Georgia" w:hAnsi="Georgia"/>
                <w:sz w:val="20"/>
                <w:szCs w:val="20"/>
              </w:rPr>
              <w:t xml:space="preserve">M7. Falta de acreditación del sistema de gestión exigido por cualquiera de las vías admitidas en la cláusula correspondiente de este pliego, no subsanada en el plazo de la letra G8.</w:t>
            </w:r>
          </w:p>
          <w:p>
            <w:pPr>
              <w:spacing w:after="100" w:line="264"/>
            </w:pPr>
            <w:r>
              <w:rPr>
                <w:rFonts w:ascii="Georgia" w:cs="Georgia" w:eastAsia="Georgia" w:hAnsi="Georgia"/>
                <w:sz w:val="20"/>
                <w:szCs w:val="20"/>
              </w:rPr>
              <w:t xml:space="preserve">M8. Afectación grave a la seguridad o a la continuidad del servicio imputable al contratista.</w:t>
            </w:r>
          </w:p>
          <w:p>
            <w:pPr>
              <w:spacing w:after="100" w:line="264"/>
            </w:pPr>
            <w:r>
              <w:rPr>
                <w:rFonts w:ascii="Georgia" w:cs="Georgia" w:eastAsia="Georgia" w:hAnsi="Georgia"/>
                <w:sz w:val="20"/>
                <w:szCs w:val="20"/>
              </w:rPr>
              <w:t xml:space="preserve">M9. Empleo de una práctica de inteligencia artificial prohibida; adopción de decisiones automatizadas con efecto jurídico sin la habilitación exigida; o negativa a entregar los registros de funcionamiento o a facilitar el acceso para auditoría previstos en la cláusula técnica de incorporación de inteligencia artificial.</w:t>
            </w:r>
          </w:p>
          <w:p>
            <w:pPr>
              <w:spacing w:after="100" w:line="264"/>
            </w:pPr>
            <w:r>
              <w:rPr>
                <w:rFonts w:ascii="Georgia" w:cs="Georgia" w:eastAsia="Georgia" w:hAnsi="Georgia"/>
                <w:sz w:val="20"/>
                <w:szCs w:val="20"/>
              </w:rPr>
              <w:t xml:space="preserve">M10. Inscripción de datos personales en un registro distribuido contra lo previsto en la cláusula técnica de capa de confianza.</w:t>
            </w:r>
          </w:p>
          <w:p>
            <w:pPr>
              <w:spacing w:after="100" w:line="264"/>
            </w:pPr>
            <w:r>
              <w:rPr>
                <w:rFonts w:ascii="Georgia" w:cs="Georgia" w:eastAsia="Georgia" w:hAnsi="Georgia"/>
                <w:sz w:val="20"/>
                <w:szCs w:val="20"/>
              </w:rPr>
              <w:t xml:space="preserve">M11. Empleo de algoritmos criptográficos expresamente desaconsejados por las guías CCN-STIC aplicables, no subsanado tras requerimiento.</w:t>
            </w:r>
          </w:p>
          <w:p>
            <w:pPr>
              <w:spacing w:after="100" w:line="264"/>
            </w:pPr>
            <w:r>
              <w:rPr>
                <w:rFonts w:ascii="Georgia" w:cs="Georgia" w:eastAsia="Georgia" w:hAnsi="Georgia"/>
                <w:sz w:val="20"/>
                <w:szCs w:val="20"/>
              </w:rPr>
              <w:t xml:space="preserve">M12. Automatización que afecte a un procedimiento administrativo sin la habilitación exigida por la cláusula técnica de incorporación de inteligencia artificial, o ausencia de procedimiento de reversión en una automatización con efectos sobre terceros.</w:t>
            </w:r>
          </w:p>
          <w:p>
            <w:pPr>
              <w:spacing w:after="100" w:line="264"/>
            </w:pPr>
            <w:r>
              <w:rPr>
                <w:rFonts w:ascii="Georgia" w:cs="Georgia" w:eastAsia="Georgia" w:hAnsi="Georgia"/>
                <w:sz w:val="20"/>
                <w:szCs w:val="20"/>
              </w:rPr>
              <w:t xml:space="preserve">M13. Falta de integración con un servicio común de utilización obligatoria en el plazo del pliego, o facturación o tarificación de las consultas o de las exportaciones que este pliego declara incluidas en el precio.</w:t>
            </w:r>
          </w:p>
          <w:p>
            <w:pPr>
              <w:spacing w:after="100" w:line="264"/>
            </w:pPr>
            <w:r>
              <w:rPr>
                <w:rFonts w:ascii="Georgia" w:cs="Georgia" w:eastAsia="Georgia" w:hAnsi="Georgia"/>
                <w:sz w:val="20"/>
                <w:szCs w:val="20"/>
              </w:rPr>
              <w:t xml:space="preserve">M14. Incumplimiento de los plazos de subsanación de vulnerabilidades de severidad crítica, o negativa a la auditoría de seguridad prevista en este pliego.</w:t>
            </w:r>
          </w:p>
          <w:p>
            <w:pPr>
              <w:spacing w:after="100" w:line="264"/>
            </w:pPr>
            <w:r>
              <w:rPr>
                <w:rFonts w:ascii="Georgia" w:cs="Georgia" w:eastAsia="Georgia" w:hAnsi="Georgia"/>
                <w:sz w:val="20"/>
                <w:szCs w:val="20"/>
              </w:rPr>
              <w:t xml:space="preserve">M15. Incumplimiento del plazo máximo de entrega de la interfaz normalizada de acceso programático; imposibilidad de ejecutar la suspensión de la actuación de los agentes sin intervención del adjudicatario; o imposibilidad de exportar el registro de auditoría de la interfaz.</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Las penalidades se imponen por acuerdo del órgano de contratación, a propuesta motivada del responsable del contrato, previa audiencia del contratista por plazo no inferior a [X; se recomienda 10] días hábiles, y se hacen efectivas mediante deducción de las cantidades que deban abonarse al contratista o, en su defecto, sobre la garantía definitiva.</w:t>
            </w:r>
          </w:p>
          <w:p>
            <w:pPr>
              <w:pStyle w:val="ListParagraph"/>
              <w:numPr>
                <w:ilvl w:val="0"/>
                <w:numId w:val="2"/>
              </w:numPr>
              <w:spacing w:after="60" w:line="264"/>
            </w:pPr>
            <w:r>
              <w:rPr>
                <w:rFonts w:ascii="Georgia" w:cs="Georgia" w:eastAsia="Georgia" w:hAnsi="Georgia"/>
                <w:b/>
                <w:bCs/>
                <w:sz w:val="20"/>
                <w:szCs w:val="20"/>
              </w:rPr>
              <w:t xml:space="preserve">Regla de acumulación.</w:t>
            </w:r>
            <w:r>
              <w:rPr>
                <w:rFonts w:ascii="Georgia" w:cs="Georgia" w:eastAsia="Georgia" w:hAnsi="Georgia"/>
                <w:sz w:val="20"/>
                <w:szCs w:val="20"/>
              </w:rPr>
              <w:t xml:space="preserve"> Cuando el importe acumulado de las penalidades impuestas alcance el [X; se recomienda 20] por ciento del precio del contrato, el órgano de contratación valorará expresamente, y hará constar en el expediente, la procedencia de iniciar el procedimiento de resolución conforme a la cláusula de obligaciones esenciales de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penalidades. Las cuantías concretas, en el cuadro de características. </w:t>
      </w:r>
      <w:r>
        <w:rPr>
          <w:rFonts w:ascii="Calibri" w:cs="Calibri" w:eastAsia="Calibri" w:hAnsi="Calibri"/>
          <w:b/>
          <w:bCs/>
          <w:sz w:val="21"/>
          <w:szCs w:val="21"/>
        </w:rPr>
        <w:t xml:space="preserve">El listado del apartado 3 se copia como lista con casillas de borrado, no como texto corrido</w:t>
      </w:r>
      <w:r>
        <w:rPr>
          <w:rFonts w:ascii="Calibri" w:cs="Calibri" w:eastAsia="Calibri" w:hAnsi="Calibri"/>
          <w:sz w:val="21"/>
          <w:szCs w:val="21"/>
        </w:rPr>
        <w:t xml:space="preserve">: cada tipo que remita a una cláusula marcada NO APLICA se elimina antes de publicar. La tabla de dependencias del Anexo VI indica cuáles.</w:t>
      </w:r>
    </w:p>
    <w:p>
      <w:pPr>
        <w:spacing w:after="140" w:line="276"/>
      </w:pPr>
      <w:r>
        <w:rPr>
          <w:rFonts w:ascii="Calibri" w:cs="Calibri" w:eastAsia="Calibri" w:hAnsi="Calibri"/>
          <w:b/>
          <w:bCs/>
          <w:sz w:val="21"/>
          <w:szCs w:val="21"/>
        </w:rPr>
        <w:t xml:space="preserve">Instrucción de alta, que es la que faltaba.</w:t>
      </w:r>
      <w:r>
        <w:rPr>
          <w:rFonts w:ascii="Calibri" w:cs="Calibri" w:eastAsia="Calibri" w:hAnsi="Calibri"/>
          <w:sz w:val="21"/>
          <w:szCs w:val="21"/>
        </w:rPr>
        <w:t xml:space="preserve"> Los tipos </w:t>
      </w:r>
      <w:r>
        <w:rPr>
          <w:rFonts w:ascii="Calibri" w:cs="Calibri" w:eastAsia="Calibri" w:hAnsi="Calibri"/>
          <w:b/>
          <w:bCs/>
          <w:sz w:val="21"/>
          <w:szCs w:val="21"/>
        </w:rPr>
        <w:t xml:space="preserve">L6 a L10, G10 a G22 y M9 a M15 proceden de las cláusulas técnicas de la Parte II</w:t>
      </w:r>
      <w:r>
        <w:rPr>
          <w:rFonts w:ascii="Calibri" w:cs="Calibri" w:eastAsia="Calibri" w:hAnsi="Calibri"/>
          <w:sz w:val="21"/>
          <w:szCs w:val="21"/>
        </w:rPr>
        <w:t xml:space="preserve">, y reproducen los hechos verificables que cada una tipifica en su epígrafe 6. Se conserva el tipo cuya cláusula técnica se haya incorporado y se borra el de la que se haya marcado NO APLICA. Correspondencia: DT-1·v3 → L6, G10, G11, G12, M9 · DT-2·v3 → L7 </w:t>
      </w:r>
      <w:r>
        <w:rPr>
          <w:rFonts w:ascii="Calibri" w:cs="Calibri" w:eastAsia="Calibri" w:hAnsi="Calibri"/>
          <w:i/>
          <w:iCs/>
          <w:sz w:val="21"/>
          <w:szCs w:val="21"/>
        </w:rPr>
        <w:t xml:space="preserve">(en lo relativo al anclaje)</w:t>
      </w:r>
      <w:r>
        <w:rPr>
          <w:rFonts w:ascii="Calibri" w:cs="Calibri" w:eastAsia="Calibri" w:hAnsi="Calibri"/>
          <w:sz w:val="21"/>
          <w:szCs w:val="21"/>
        </w:rPr>
        <w:t xml:space="preserve">, G13, M10 · DT-3·v3 → L8 </w:t>
      </w:r>
      <w:r>
        <w:rPr>
          <w:rFonts w:ascii="Calibri" w:cs="Calibri" w:eastAsia="Calibri" w:hAnsi="Calibri"/>
          <w:i/>
          <w:iCs/>
          <w:sz w:val="21"/>
          <w:szCs w:val="21"/>
        </w:rPr>
        <w:t xml:space="preserve">(en lo relativo al plan criptográfico)</w:t>
      </w:r>
      <w:r>
        <w:rPr>
          <w:rFonts w:ascii="Calibri" w:cs="Calibri" w:eastAsia="Calibri" w:hAnsi="Calibri"/>
          <w:sz w:val="21"/>
          <w:szCs w:val="21"/>
        </w:rPr>
        <w:t xml:space="preserve">, G14, M11 · DT-4·v3 → L8 </w:t>
      </w:r>
      <w:r>
        <w:rPr>
          <w:rFonts w:ascii="Calibri" w:cs="Calibri" w:eastAsia="Calibri" w:hAnsi="Calibri"/>
          <w:i/>
          <w:iCs/>
          <w:sz w:val="21"/>
          <w:szCs w:val="21"/>
        </w:rPr>
        <w:t xml:space="preserve">(en lo relativo a los indicadores)</w:t>
      </w:r>
      <w:r>
        <w:rPr>
          <w:rFonts w:ascii="Calibri" w:cs="Calibri" w:eastAsia="Calibri" w:hAnsi="Calibri"/>
          <w:sz w:val="21"/>
          <w:szCs w:val="21"/>
        </w:rPr>
        <w:t xml:space="preserve">, G15, M12 · DT-5·v3 → L7, G16, G17, M13 · DT-6·v3 → L9, G8, G18, M7, M14 · DT-7·v3 → L7, G17, G19, M15 · DT-8·v3 → L10, G3, G20, M4 · DT-9·v3 → L2, G2, G5, G21, G22, M1, M2. </w:t>
      </w:r>
      <w:r>
        <w:rPr>
          <w:rFonts w:ascii="Calibri" w:cs="Calibri" w:eastAsia="Calibri" w:hAnsi="Calibri"/>
          <w:b/>
          <w:bCs/>
          <w:sz w:val="21"/>
          <w:szCs w:val="21"/>
        </w:rPr>
        <w:t xml:space="preserve">Sin este trasvase, el pliego anuncia en el PPT penalidades que su PCAP declara inexistentes</w:t>
      </w:r>
      <w:r>
        <w:rPr>
          <w:rFonts w:ascii="Calibri" w:cs="Calibri" w:eastAsia="Calibri" w:hAnsi="Calibri"/>
          <w:sz w:val="21"/>
          <w:szCs w:val="21"/>
        </w:rPr>
        <w:t xml:space="preserve">, porque el apartado 3 tipifica de forma cerrada («exclusivamente») y ese adverbio es justamente lo que hace defendible el cuadro frente al artículo 211.1.f).2.º.</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Artículo 192.1 LCSP</w:t>
      </w:r>
      <w:r>
        <w:rPr>
          <w:rFonts w:ascii="Calibri" w:cs="Calibri" w:eastAsia="Calibri" w:hAnsi="Calibri"/>
          <w:sz w:val="21"/>
          <w:szCs w:val="21"/>
        </w:rPr>
        <w:t xml:space="preserve">, literal verificado: «Estas penalidades deberán ser proporcionales a la gravedad del incumplimiento y las cuantías de cada una de ellas no podrán ser superiores al 10 por ciento del precio del contrato, IVA excluido, ni el total de las mismas superar el 50 por cien del precio del contrato.» Y </w:t>
      </w:r>
      <w:r>
        <w:rPr>
          <w:rFonts w:ascii="Calibri" w:cs="Calibri" w:eastAsia="Calibri" w:hAnsi="Calibri"/>
          <w:b/>
          <w:bCs/>
          <w:sz w:val="21"/>
          <w:szCs w:val="21"/>
        </w:rPr>
        <w:t xml:space="preserve">artículo 202.3 LCSP</w:t>
      </w:r>
      <w:r>
        <w:rPr>
          <w:rFonts w:ascii="Calibri" w:cs="Calibri" w:eastAsia="Calibri" w:hAnsi="Calibri"/>
          <w:sz w:val="21"/>
          <w:szCs w:val="21"/>
        </w:rPr>
        <w:t xml:space="preserve">: los pliegos «podrán establecer penalidades, conforme a lo previsto en el apartado 1 del artículo 192, para el caso de incumplimiento de estas condiciones especiales de ejecución, o atribuirles el carácter de obligaciones contractuales esenciales a los efectos señalados en la letra f) del artículo 211». La ley ofrece dos vías; este catálogo usa las dos, pero no sobre las mismas conductas ni con el mismo automatismo.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tipo del apartado 3 está construido sobre un </w:t>
      </w:r>
      <w:r>
        <w:rPr>
          <w:rFonts w:ascii="Calibri" w:cs="Calibri" w:eastAsia="Calibri" w:hAnsi="Calibri"/>
          <w:b/>
          <w:bCs/>
          <w:sz w:val="21"/>
          <w:szCs w:val="21"/>
        </w:rPr>
        <w:t xml:space="preserve">hecho con documento</w:t>
      </w:r>
      <w:r>
        <w:rPr>
          <w:rFonts w:ascii="Calibri" w:cs="Calibri" w:eastAsia="Calibri" w:hAnsi="Calibri"/>
          <w:sz w:val="21"/>
          <w:szCs w:val="21"/>
        </w:rPr>
        <w:t xml:space="preserve">. Es deliberado: en un procedimiento contradictorio, una penalidad sólo se sostiene si el hecho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lo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 G1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presentación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L2, G5, M2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publicación de la versión sucesora y fecha de comunicación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del fabricante o publicación en su catálogo, y registro de comunicaciones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e inasistencia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con acuse y acta de la sesión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 M1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Vencimiento del plazo del Anexo sin acta de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transcrito en el PPT + ausencia de acta + requerimiento fehaciente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G3, G4, M3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y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la entidad depositaria y acta de verificación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G6, M6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acceso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del órgano interventor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G7, M5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utilizado y su autorización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contratista, autorizaciones concedidas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G8, 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 certificación y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comunicación de la entidad certificadora, y requerimiento con la documentación aportada o su ausencia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 aprobado y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y acuerdo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Incidente y su imputabilidad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de informática y, en su caso, del responsable de seguridad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L6, G10, G11, G12, M9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de sistemas de IA, clasificación de riesgo comunicada, punto de contacto y aceptación previa de cada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con fecha, registro de comunicaciones, acta de aceptación por funcionalidad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G13, M10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anclaje y verificación por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verificación de integridad y de exportación de evidencias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G14, 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inventario y del plan de transición criptográfica, y algoritmos empleados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revisión del inventario y del plan, y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G15, M12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acta de aceptación e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de la automatización e informe trimestral de indicadores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G16, G17, M13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Autonomía de la exportación, estado del diccionario, disponibilidad del entorno de pruebas e integración con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exportación autónoma, acta de prueba de integración y acta de disponibilidad del entorno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L9, G18, M14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comunicación y de subsanación de vulnerabilidades, y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vulnerabilidades con fecha, informe anual de seguimiento de seguridad y requerimiento de auditoría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G19, 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plazo, suspensión y exportación del registro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 con una fila por cada capacidad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L10, G20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Plan de Reversibilidad y realización del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con fecha y acta de ensayo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G21, G22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las capacidades ya aceptadas y contenido del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 y nota de comprobación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Los hechos se constatan en el curso de las verificaciones de ADM-4·v3; esta cláusula no añade carga periódica propia. La carga aparece cuando hay incumplimiento: </w:t>
      </w:r>
      <w:r>
        <w:rPr>
          <w:rFonts w:ascii="Calibri" w:cs="Calibri" w:eastAsia="Calibri" w:hAnsi="Calibri"/>
          <w:b/>
          <w:bCs/>
          <w:sz w:val="21"/>
          <w:szCs w:val="21"/>
        </w:rPr>
        <w:t xml:space="preserve">6 horas por expediente de penalidad</w:t>
      </w:r>
      <w:r>
        <w:rPr>
          <w:rFonts w:ascii="Calibri" w:cs="Calibri" w:eastAsia="Calibri" w:hAnsi="Calibri"/>
          <w:sz w:val="21"/>
          <w:szCs w:val="21"/>
        </w:rPr>
        <w:t xml:space="preserve"> (propuesta del responsable, audiencia, acuerdo y notificación), a las que se añaden las de fiscalización cuando proceda.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Es la propia cláusula. Dos precisiones que evitan errores frecuentes:</w:t>
      </w:r>
    </w:p>
    <w:p>
      <w:pPr>
        <w:pStyle w:val="ListParagraph"/>
        <w:numPr>
          <w:ilvl w:val="0"/>
          <w:numId w:val="1"/>
        </w:numPr>
        <w:spacing w:after="70" w:line="268"/>
      </w:pPr>
      <w:r>
        <w:rPr>
          <w:rFonts w:ascii="Calibri" w:cs="Calibri" w:eastAsia="Calibri" w:hAnsi="Calibri"/>
          <w:sz w:val="21"/>
          <w:szCs w:val="21"/>
        </w:rPr>
        <w:t xml:space="preserve">La imposición de una penalidad </w:t>
      </w:r>
      <w:r>
        <w:rPr>
          <w:rFonts w:ascii="Calibri" w:cs="Calibri" w:eastAsia="Calibri" w:hAnsi="Calibri"/>
          <w:b/>
          <w:bCs/>
          <w:sz w:val="21"/>
          <w:szCs w:val="21"/>
        </w:rPr>
        <w:t xml:space="preserve">no impide</w:t>
      </w:r>
      <w:r>
        <w:rPr>
          <w:rFonts w:ascii="Calibri" w:cs="Calibri" w:eastAsia="Calibri" w:hAnsi="Calibri"/>
          <w:sz w:val="21"/>
          <w:szCs w:val="21"/>
        </w:rPr>
        <w:t xml:space="preserve"> que el mismo hecho, si está tipificado en ADM-6·v3, funde además la resolución y la indemnización de daños. El Pleno del TACRC lo declaró expresamente: </w:t>
      </w:r>
      <w:r>
        <w:rPr>
          <w:rFonts w:ascii="Calibri" w:cs="Calibri" w:eastAsia="Calibri" w:hAnsi="Calibri"/>
          <w:i/>
          <w:iCs/>
          <w:sz w:val="21"/>
          <w:szCs w:val="21"/>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r>
        <w:rPr>
          <w:rFonts w:ascii="Calibri" w:cs="Calibri" w:eastAsia="Calibri" w:hAnsi="Calibri"/>
          <w:sz w:val="21"/>
          <w:szCs w:val="21"/>
        </w:rPr>
        <w:t xml:space="preserve"> (Resolución 1111/2022, Pleno, de 27 de septiembre de 2022, recurso 842/2022, FD Octavo; </w:t>
      </w:r>
      <w:hyperlink w:history="1" r:id="rId1hxtsnsb6f9taa6zrnukt">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 Doctrina general trasladada por analogía; la incorporación del PDF al expediente es lo que la hace útil.</w:t>
      </w:r>
    </w:p>
    <w:p>
      <w:pPr>
        <w:pStyle w:val="ListParagraph"/>
        <w:numPr>
          <w:ilvl w:val="0"/>
          <w:numId w:val="1"/>
        </w:numPr>
        <w:spacing w:after="70" w:line="268"/>
      </w:pPr>
      <w:r>
        <w:rPr>
          <w:rFonts w:ascii="Calibri" w:cs="Calibri" w:eastAsia="Calibri" w:hAnsi="Calibri"/>
          <w:sz w:val="21"/>
          <w:szCs w:val="21"/>
        </w:rPr>
        <w:t xml:space="preserve">La penalidad </w:t>
      </w:r>
      <w:r>
        <w:rPr>
          <w:rFonts w:ascii="Calibri" w:cs="Calibri" w:eastAsia="Calibri" w:hAnsi="Calibri"/>
          <w:b/>
          <w:bCs/>
          <w:sz w:val="21"/>
          <w:szCs w:val="21"/>
        </w:rPr>
        <w:t xml:space="preserve">no es requisito previo</w:t>
      </w:r>
      <w:r>
        <w:rPr>
          <w:rFonts w:ascii="Calibri" w:cs="Calibri" w:eastAsia="Calibri" w:hAnsi="Calibri"/>
          <w:sz w:val="21"/>
          <w:szCs w:val="21"/>
        </w:rPr>
        <w:t xml:space="preserve"> de la resolución, ni la resolución consecuencia automática de la penalidad.</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Los tipos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No se tipifica, en ningún caso, la falta de la demostración funcional ni su resultado.</w:t>
      </w:r>
      <w:r>
        <w:rPr>
          <w:rFonts w:ascii="Calibri" w:cs="Calibri" w:eastAsia="Calibri" w:hAnsi="Calibri"/>
          <w:sz w:val="21"/>
          <w:szCs w:val="21"/>
        </w:rPr>
        <w:t xml:space="preserve"> La demostración es un acto de la fase de licitación, no de la ejecución del contrato, y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su único efecto posible es confirmar o retirar la puntuación previamente asignada a lo que el licitador declaró por escrito en su oferta (ADM-9·v3, apartados 1 y 4), y nunca una penalidad. El v2 la tipificaba entre los incumplimientos graves; ese inciso desaparece.</w:t>
      </w:r>
    </w:p>
    <w:p>
      <w:pPr>
        <w:pStyle w:val="ListParagraph"/>
        <w:numPr>
          <w:ilvl w:val="0"/>
          <w:numId w:val="1"/>
        </w:numPr>
        <w:spacing w:after="70" w:line="268"/>
      </w:pPr>
      <w:r>
        <w:rPr>
          <w:rFonts w:ascii="Calibri" w:cs="Calibri" w:eastAsia="Calibri" w:hAnsi="Calibri"/>
          <w:b/>
          <w:bCs/>
          <w:sz w:val="21"/>
          <w:szCs w:val="21"/>
        </w:rPr>
        <w:t xml:space="preserve">No se tipifica la «obsolescencia tecnológica» como concepto</w:t>
      </w:r>
      <w:r>
        <w:rPr>
          <w:rFonts w:ascii="Calibri" w:cs="Calibri" w:eastAsia="Calibri" w:hAnsi="Calibri"/>
          <w:sz w:val="21"/>
          <w:szCs w:val="21"/>
        </w:rPr>
        <w:t xml:space="preserve">, ni la «negativa injustificada a evolucionar». Son apreciaciones, no hechos, y no sobreviven a un procedimiento contradictorio. Lo que se sanciona es la falta de implantación de una exigencia identificada del Anexo, con plazo vencido y requerimiento acreditado.</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III.6 · ADM-6·v3 — Obligaciones contractuales esenciales y resolución</w:t>
      </w:r>
    </w:p>
    <w:p>
      <w:pPr>
        <w:spacing w:after="140" w:line="276"/>
      </w:pPr>
      <w:r>
        <w:rPr>
          <w:rFonts w:ascii="Calibri" w:cs="Calibri" w:eastAsia="Calibri" w:hAnsi="Calibri"/>
          <w:i/>
          <w:iCs/>
          <w:sz w:val="21"/>
          <w:szCs w:val="21"/>
        </w:rPr>
        <w:t xml:space="preserve">(Reescribe ADM-6 de v2. Es, junto con ADM-2·v3, el cambio de mayor calado. El v2 calificaba como esencial «un compromiso» y «el cumplimiento de un plan» redactado por el propio adjudicatario. El artículo 211.1.f).2.º exige lo contrario: enumeración «precisa, clara e inequívoca», y declara «no siendo admisibles cláusulas de tipo general».)</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Obligaciones contractuales esenciales y resolución del contrato.</w:t>
            </w:r>
          </w:p>
          <w:p>
            <w:pPr>
              <w:spacing w:after="100" w:line="264"/>
            </w:pPr>
            <w:r>
              <w:rPr>
                <w:rFonts w:ascii="Georgia" w:cs="Georgia" w:eastAsia="Georgia" w:hAnsi="Georgia"/>
                <w:b/>
                <w:bCs/>
                <w:sz w:val="20"/>
                <w:szCs w:val="20"/>
              </w:rPr>
              <w:t xml:space="preserve">1. Bloque A. Obligaciones esenciales por imperativo legal.</w:t>
            </w:r>
            <w:r>
              <w:rPr>
                <w:rFonts w:ascii="Georgia" w:cs="Georgia" w:eastAsia="Georgia" w:hAnsi="Georgia"/>
                <w:sz w:val="20"/>
                <w:szCs w:val="20"/>
              </w:rPr>
              <w:t xml:space="preserve"> </w:t>
            </w:r>
            <w:r>
              <w:rPr>
                <w:rFonts w:ascii="Georgia" w:cs="Georgia" w:eastAsia="Georgia" w:hAnsi="Georgia"/>
                <w:i/>
                <w:iCs/>
                <w:sz w:val="20"/>
                <w:szCs w:val="20"/>
              </w:rPr>
              <w:t xml:space="preserve">[Se copian únicamente los apartados cuyo presupuesto concurra en este contrato. Si no concurre ninguno, este bloque no se incorpora.]</w:t>
            </w:r>
          </w:p>
          <w:p>
            <w:pPr>
              <w:spacing w:after="100" w:line="264"/>
            </w:pPr>
            <w:r>
              <w:rPr>
                <w:rFonts w:ascii="Georgia" w:cs="Georgia" w:eastAsia="Georgia" w:hAnsi="Georgia"/>
                <w:sz w:val="20"/>
                <w:szCs w:val="20"/>
              </w:rPr>
              <w:t xml:space="preserve">1.1 </w:t>
            </w:r>
            <w:r>
              <w:rPr>
                <w:rFonts w:ascii="Georgia" w:cs="Georgia" w:eastAsia="Georgia" w:hAnsi="Georgia"/>
                <w:i/>
                <w:iCs/>
                <w:sz w:val="20"/>
                <w:szCs w:val="20"/>
              </w:rPr>
              <w:t xml:space="preserve">[Sólo si la ejecución de este contrato implica la cesión de datos por el Ayuntamiento al contratista.]</w:t>
            </w:r>
            <w:r>
              <w:rPr>
                <w:rFonts w:ascii="Georgia" w:cs="Georgia" w:eastAsia="Georgia" w:hAnsi="Georgia"/>
                <w:sz w:val="20"/>
                <w:szCs w:val="20"/>
              </w:rPr>
              <w:t xml:space="preserve"> Conforme al artículo 202.1, párrafo tercero, de la Ley 9/2017, se establece como condición especial de ejecución la obligación del contratista de someterse a la normativa nacional y de la Unión Europea en materia de protección de datos, y </w:t>
            </w:r>
            <w:r>
              <w:rPr>
                <w:rFonts w:ascii="Georgia" w:cs="Georgia" w:eastAsia="Georgia" w:hAnsi="Georgia"/>
                <w:b/>
                <w:bCs/>
                <w:sz w:val="20"/>
                <w:szCs w:val="20"/>
              </w:rPr>
              <w:t xml:space="preserve">se le advierte de que esta obligación tiene el carácter de obligación contractual esencial</w:t>
            </w:r>
            <w:r>
              <w:rPr>
                <w:rFonts w:ascii="Georgia" w:cs="Georgia" w:eastAsia="Georgia" w:hAnsi="Georgia"/>
                <w:sz w:val="20"/>
                <w:szCs w:val="20"/>
              </w:rPr>
              <w:t xml:space="preserve"> a los efectos de la letra f) del apartado 1 del artículo 211 de la misma ley. La finalidad del tratamiento de los datos cedidos es la que consta especificada en el expediente de contratación.</w:t>
            </w:r>
          </w:p>
          <w:p>
            <w:pPr>
              <w:spacing w:after="100" w:line="264"/>
            </w:pPr>
            <w:r>
              <w:rPr>
                <w:rFonts w:ascii="Georgia" w:cs="Georgia" w:eastAsia="Georgia" w:hAnsi="Georgia"/>
                <w:sz w:val="20"/>
                <w:szCs w:val="20"/>
              </w:rPr>
              <w:t xml:space="preserve">1.2 </w:t>
            </w:r>
            <w:r>
              <w:rPr>
                <w:rFonts w:ascii="Georgia" w:cs="Georgia" w:eastAsia="Georgia" w:hAnsi="Georgia"/>
                <w:i/>
                <w:iCs/>
                <w:sz w:val="20"/>
                <w:szCs w:val="20"/>
              </w:rPr>
              <w:t xml:space="preserve">[Sólo si la ejecución de este contrato requiere el tratamiento por el contratista de datos personales por cuenta del responsable.]</w:t>
            </w:r>
            <w:r>
              <w:rPr>
                <w:rFonts w:ascii="Georgia" w:cs="Georgia" w:eastAsia="Georgia" w:hAnsi="Georgia"/>
                <w:sz w:val="20"/>
                <w:szCs w:val="20"/>
              </w:rPr>
              <w:t xml:space="preserve"> Se incorporan a este pliego las menciones exigidas por el artículo 122.2 de la Ley 9/2017 —relativas, entre otras, a la finalidad del tratamiento, a la obligación del contratista de someterse a la normativa de protección de datos, a la indicación del servidor y del país donde se alojarán los datos, a la comunicación de cualquier cambio al respecto y a la subcontratación de servicios que comporten dicho tratamiento—, </w:t>
            </w:r>
            <w:r>
              <w:rPr>
                <w:rFonts w:ascii="Georgia" w:cs="Georgia" w:eastAsia="Georgia" w:hAnsi="Georgia"/>
                <w:b/>
                <w:bCs/>
                <w:sz w:val="20"/>
                <w:szCs w:val="20"/>
              </w:rPr>
              <w:t xml:space="preserve">que en todo caso tienen el carácter de obligaciones contractuales esenciales</w:t>
            </w:r>
            <w:r>
              <w:rPr>
                <w:rFonts w:ascii="Georgia" w:cs="Georgia" w:eastAsia="Georgia" w:hAnsi="Georgia"/>
                <w:sz w:val="20"/>
                <w:szCs w:val="20"/>
              </w:rPr>
              <w:t xml:space="preserve"> a los efectos de la letra f) del apartado 1 del artículo 211. </w:t>
            </w:r>
            <w:r>
              <w:rPr>
                <w:rFonts w:ascii="Georgia" w:cs="Georgia" w:eastAsia="Georgia" w:hAnsi="Georgia"/>
                <w:i/>
                <w:iCs/>
                <w:sz w:val="20"/>
                <w:szCs w:val="20"/>
              </w:rPr>
              <w:t xml:space="preserve">[Transcríbanse aquí las letras a) a e) del artículo 122.2 de la Ley 9/2017 en su redacción vigente.]</w:t>
            </w:r>
          </w:p>
          <w:p>
            <w:pPr>
              <w:spacing w:after="100" w:line="264"/>
            </w:pPr>
            <w:r>
              <w:rPr>
                <w:rFonts w:ascii="Georgia" w:cs="Georgia" w:eastAsia="Georgia" w:hAnsi="Georgia"/>
                <w:b/>
                <w:bCs/>
                <w:sz w:val="20"/>
                <w:szCs w:val="20"/>
              </w:rPr>
              <w:t xml:space="preserve">2. Bloque B. Obligaciones esenciales por decisión de este pliego.</w:t>
            </w:r>
            <w:r>
              <w:rPr>
                <w:rFonts w:ascii="Georgia" w:cs="Georgia" w:eastAsia="Georgia" w:hAnsi="Georgia"/>
                <w:sz w:val="20"/>
                <w:szCs w:val="20"/>
              </w:rPr>
              <w:t xml:space="preserve"> Se califican expresamente como obligaciones contractuales esenciales, a los efectos del artículo 211.1.f) de la Ley 9/2017, y de forma tasada,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siguientes incumplimientos:</w:t>
            </w:r>
          </w:p>
          <w:p>
            <w:pPr>
              <w:spacing w:after="100" w:line="264"/>
            </w:pPr>
            <w:r>
              <w:rPr>
                <w:rFonts w:ascii="Georgia" w:cs="Georgia" w:eastAsia="Georgia" w:hAnsi="Georgia"/>
                <w:b/>
                <w:bCs/>
                <w:sz w:val="20"/>
                <w:szCs w:val="20"/>
              </w:rPr>
              <w:t xml:space="preserve">B.1 — Respecto de las cláusulas de este pliego que efectivamente se hayan incorporado:</w:t>
            </w:r>
          </w:p>
          <w:p>
            <w:pPr>
              <w:spacing w:after="100" w:line="264"/>
            </w:pPr>
            <w:r>
              <w:rPr>
                <w:rFonts w:ascii="Georgia" w:cs="Georgia" w:eastAsia="Georgia" w:hAnsi="Georgia"/>
                <w:sz w:val="20"/>
                <w:szCs w:val="20"/>
              </w:rPr>
              <w:t xml:space="preserve">a) </w:t>
            </w:r>
            <w:r>
              <w:rPr>
                <w:rFonts w:ascii="Georgia" w:cs="Georgia" w:eastAsia="Georgia" w:hAnsi="Georgia"/>
                <w:i/>
                <w:iCs/>
                <w:sz w:val="20"/>
                <w:szCs w:val="20"/>
              </w:rPr>
              <w:t xml:space="preserve">[Sólo si este pliego incorpora la cláusula de reversibilidad.]</w:t>
            </w:r>
            <w:r>
              <w:rPr>
                <w:rFonts w:ascii="Georgia" w:cs="Georgia" w:eastAsia="Georgia" w:hAnsi="Georgia"/>
                <w:sz w:val="20"/>
                <w:szCs w:val="20"/>
              </w:rPr>
              <w:t xml:space="preserve"> La negativa a entregar el material de titularidad municipal, el Dossier de Reversibilidad y el Inventario de Componentes, o su entrega incompleta no subsanada en el plazo de [X; se recomienda 1] mes desde requerimiento fehaciente.</w:t>
            </w:r>
          </w:p>
          <w:p>
            <w:pPr>
              <w:spacing w:after="100" w:line="264"/>
            </w:pPr>
            <w:r>
              <w:rPr>
                <w:rFonts w:ascii="Georgia" w:cs="Georgia" w:eastAsia="Georgia" w:hAnsi="Georgia"/>
                <w:sz w:val="20"/>
                <w:szCs w:val="20"/>
              </w:rPr>
              <w:t xml:space="preserve">b) </w:t>
            </w:r>
            <w:r>
              <w:rPr>
                <w:rFonts w:ascii="Georgia" w:cs="Georgia" w:eastAsia="Georgia" w:hAnsi="Georgia"/>
                <w:i/>
                <w:iCs/>
                <w:sz w:val="20"/>
                <w:szCs w:val="20"/>
              </w:rPr>
              <w:t xml:space="preserve">[Sólo si este pliego incorpora la cláusula de depósito de código.]</w:t>
            </w:r>
            <w:r>
              <w:rPr>
                <w:rFonts w:ascii="Georgia" w:cs="Georgia" w:eastAsia="Georgia" w:hAnsi="Georgia"/>
                <w:sz w:val="20"/>
                <w:szCs w:val="20"/>
              </w:rPr>
              <w:t xml:space="preserve"> La negativa a constituir el depósito de código </w:t>
            </w:r>
            <w:r>
              <w:rPr>
                <w:rFonts w:ascii="Georgia" w:cs="Georgia" w:eastAsia="Georgia" w:hAnsi="Georgia"/>
                <w:b/>
                <w:bCs/>
                <w:sz w:val="20"/>
                <w:szCs w:val="20"/>
              </w:rPr>
              <w:t xml:space="preserve">o el plan de continuidad equivalente, por la vía de cumplimiento elegida conforme a la cláusula [ADM-11], apartado 3</w:t>
            </w:r>
            <w:r>
              <w:rPr>
                <w:rFonts w:ascii="Georgia" w:cs="Georgia" w:eastAsia="Georgia" w:hAnsi="Georgia"/>
                <w:sz w:val="20"/>
                <w:szCs w:val="20"/>
              </w:rPr>
              <w:t xml:space="preserve">, la negativa a liberar el depósito concurriendo un supuesto tasado de liberación, o la entrega de material incompleto o no verificable, no subsanadas en el plazo de [X; se recomienda 1] mes desde requerimiento fehaciente.</w:t>
            </w:r>
          </w:p>
          <w:p>
            <w:pPr>
              <w:spacing w:after="100" w:line="264"/>
            </w:pPr>
            <w:r>
              <w:rPr>
                <w:rFonts w:ascii="Georgia" w:cs="Georgia" w:eastAsia="Georgia" w:hAnsi="Georgia"/>
                <w:sz w:val="20"/>
                <w:szCs w:val="20"/>
              </w:rPr>
              <w:t xml:space="preserve">c) </w:t>
            </w:r>
            <w:r>
              <w:rPr>
                <w:rFonts w:ascii="Georgia" w:cs="Georgia" w:eastAsia="Georgia" w:hAnsi="Georgia"/>
                <w:i/>
                <w:iCs/>
                <w:sz w:val="20"/>
                <w:szCs w:val="20"/>
              </w:rPr>
              <w:t xml:space="preserve">[Sólo si este pliego incorpora la cláusula de acceso de los órganos de control.]</w:t>
            </w:r>
            <w:r>
              <w:rPr>
                <w:rFonts w:ascii="Georgia" w:cs="Georgia" w:eastAsia="Georgia" w:hAnsi="Georgia"/>
                <w:sz w:val="20"/>
                <w:szCs w:val="20"/>
              </w:rPr>
              <w:t xml:space="preserve"> La denegación o supresión del acceso de los órganos municipales de control a los datos de ejecución del contrato, no restablecido en el plazo de [X; se recomienda 15] días naturales desde requerimiento fehaciente.</w:t>
            </w:r>
          </w:p>
          <w:p>
            <w:pPr>
              <w:spacing w:after="100" w:line="264"/>
            </w:pPr>
            <w:r>
              <w:rPr>
                <w:rFonts w:ascii="Georgia" w:cs="Georgia" w:eastAsia="Georgia" w:hAnsi="Georgia"/>
                <w:sz w:val="20"/>
                <w:szCs w:val="20"/>
              </w:rPr>
              <w:t xml:space="preserve">d) </w:t>
            </w:r>
            <w:r>
              <w:rPr>
                <w:rFonts w:ascii="Georgia" w:cs="Georgia" w:eastAsia="Georgia" w:hAnsi="Georgia"/>
                <w:i/>
                <w:iCs/>
                <w:sz w:val="20"/>
                <w:szCs w:val="20"/>
              </w:rPr>
              <w:t xml:space="preserve">[Sólo si este pliego incorpora la cláusula de uso de sistemas de inteligencia artificial sobre información municipal.]</w:t>
            </w:r>
            <w:r>
              <w:rPr>
                <w:rFonts w:ascii="Georgia" w:cs="Georgia" w:eastAsia="Georgia" w:hAnsi="Georgia"/>
                <w:sz w:val="20"/>
                <w:szCs w:val="20"/>
              </w:rPr>
              <w:t xml:space="preserve"> La introducción de información municipal no pública en sistemas de inteligencia artificial no autorizados en este contrato, cuando conste su incorporación efectiva.</w:t>
            </w:r>
          </w:p>
          <w:p>
            <w:pPr>
              <w:spacing w:after="100" w:line="264"/>
            </w:pPr>
            <w:r>
              <w:rPr>
                <w:rFonts w:ascii="Georgia" w:cs="Georgia" w:eastAsia="Georgia" w:hAnsi="Georgia"/>
                <w:b/>
                <w:bCs/>
                <w:sz w:val="20"/>
                <w:szCs w:val="20"/>
              </w:rPr>
              <w:t xml:space="preserve">B.2 — Sólo cuando este pliego lo haya marcado expresamente en el cuadro de características:</w:t>
            </w:r>
          </w:p>
          <w:p>
            <w:pPr>
              <w:spacing w:after="100" w:line="264"/>
            </w:pPr>
            <w:r>
              <w:rPr>
                <w:rFonts w:ascii="Georgia" w:cs="Georgia" w:eastAsia="Georgia" w:hAnsi="Georgia"/>
                <w:sz w:val="20"/>
                <w:szCs w:val="20"/>
              </w:rPr>
              <w:t xml:space="preserve">e) La falta de implantación de una exigencia del Anexo de Exigencias Tecnológicas Determinadas transcrito en el Pliego de Prescripciones Técnicas —nunca del alcance que el licitador haya ofertado por encima de él—, transcurrido su plazo y un plazo adicional de subsanación de [X; se recomienda 1] mes desde requerimiento fehaciente.</w:t>
            </w:r>
          </w:p>
          <w:p>
            <w:pPr>
              <w:spacing w:after="100" w:line="264"/>
            </w:pPr>
            <w:r>
              <w:rPr>
                <w:rFonts w:ascii="Georgia" w:cs="Georgia" w:eastAsia="Georgia" w:hAnsi="Georgia"/>
                <w:sz w:val="20"/>
                <w:szCs w:val="20"/>
              </w:rPr>
              <w:t xml:space="preserve">f) La falta de puesta a disposición del Ayuntamiento de una versión sucesora publicada por el fabricante y a la que el contratista tenga acceso, transcurrido el plazo de [X; se recomienda 1] mes desde requerimiento fehaciente.</w:t>
            </w:r>
          </w:p>
          <w:p>
            <w:pPr>
              <w:spacing w:after="100" w:line="264"/>
            </w:pPr>
            <w:r>
              <w:rPr>
                <w:rFonts w:ascii="Georgia" w:cs="Georgia" w:eastAsia="Georgia" w:hAnsi="Georgia"/>
                <w:sz w:val="20"/>
                <w:szCs w:val="20"/>
              </w:rPr>
              <w:t xml:space="preserve">g) La falta de entrega, en el </w:t>
            </w:r>
            <w:r>
              <w:rPr>
                <w:rFonts w:ascii="Georgia" w:cs="Georgia" w:eastAsia="Georgia" w:hAnsi="Georgia"/>
                <w:b/>
                <w:bCs/>
                <w:sz w:val="20"/>
                <w:szCs w:val="20"/>
              </w:rPr>
              <w:t xml:space="preserve">plazo máximo fijado en el Pliego de Prescripciones Técnicas</w:t>
            </w:r>
            <w:r>
              <w:rPr>
                <w:rFonts w:ascii="Georgia" w:cs="Georgia" w:eastAsia="Georgia" w:hAnsi="Georgia"/>
                <w:sz w:val="20"/>
                <w:szCs w:val="20"/>
              </w:rPr>
              <w:t xml:space="preserve"> —nunca en el plazo inferior que el licitador haya ofertado—, de la interfaz normalizada de acceso programático prevista en dicho pliego.</w:t>
            </w:r>
          </w:p>
          <w:p>
            <w:pPr>
              <w:spacing w:after="100" w:line="264"/>
            </w:pPr>
            <w:r>
              <w:rPr>
                <w:rFonts w:ascii="Georgia" w:cs="Georgia" w:eastAsia="Georgia" w:hAnsi="Georgia"/>
                <w:sz w:val="20"/>
                <w:szCs w:val="20"/>
              </w:rPr>
              <w:t xml:space="preserve">h) La falta de presentación del Plan Anual de Evolución Tecnológica </w:t>
            </w:r>
            <w:r>
              <w:rPr>
                <w:rFonts w:ascii="Georgia" w:cs="Georgia" w:eastAsia="Georgia" w:hAnsi="Georgia"/>
                <w:b/>
                <w:bCs/>
                <w:sz w:val="20"/>
                <w:szCs w:val="20"/>
              </w:rPr>
              <w:t xml:space="preserve">durante dos ejercicios consecutivos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i) El incumplimiento de los hitos del Plan Anual </w:t>
            </w:r>
            <w:r>
              <w:rPr>
                <w:rFonts w:ascii="Georgia" w:cs="Georgia" w:eastAsia="Georgia" w:hAnsi="Georgia"/>
                <w:b/>
                <w:bCs/>
                <w:sz w:val="20"/>
                <w:szCs w:val="20"/>
              </w:rPr>
              <w:t xml:space="preserve">expresamente aprobados por el órgano de contratación y recogidos con fecha cierta en acta de la Comisión de Seguimiento</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Regla de cierre.</w:t>
            </w:r>
            <w:r>
              <w:rPr>
                <w:rFonts w:ascii="Georgia" w:cs="Georgia" w:eastAsia="Georgia" w:hAnsi="Georgia"/>
                <w:sz w:val="20"/>
                <w:szCs w:val="20"/>
              </w:rPr>
              <w:t xml:space="preserve"> </w:t>
            </w:r>
            <w:r>
              <w:rPr>
                <w:rFonts w:ascii="Georgia" w:cs="Georgia" w:eastAsia="Georgia" w:hAnsi="Georgia"/>
                <w:b/>
                <w:bCs/>
                <w:sz w:val="20"/>
                <w:szCs w:val="20"/>
              </w:rPr>
              <w:t xml:space="preserve">Ninguna otra de las obligaciones incorporadas a este pliego en virtud del catálogo [denominación y versión del catálogo, tal como conste en el acuerdo de aprobación] tiene el carácter de obligación contractual esencial</w:t>
            </w:r>
            <w:r>
              <w:rPr>
                <w:rFonts w:ascii="Georgia" w:cs="Georgia" w:eastAsia="Georgia" w:hAnsi="Georgia"/>
                <w:sz w:val="20"/>
                <w:szCs w:val="20"/>
              </w:rPr>
              <w:t xml:space="preserve">, sin perjuicio de las penalidades que procedan conforme a la cláusula de penalidades. Esta regla </w:t>
            </w:r>
            <w:r>
              <w:rPr>
                <w:rFonts w:ascii="Georgia" w:cs="Georgia" w:eastAsia="Georgia" w:hAnsi="Georgia"/>
                <w:b/>
                <w:bCs/>
                <w:sz w:val="20"/>
                <w:szCs w:val="20"/>
              </w:rPr>
              <w:t xml:space="preserve">no afecta</w:t>
            </w:r>
            <w:r>
              <w:rPr>
                <w:rFonts w:ascii="Georgia" w:cs="Georgia" w:eastAsia="Georgia" w:hAnsi="Georgia"/>
                <w:sz w:val="20"/>
                <w:szCs w:val="20"/>
              </w:rPr>
              <w:t xml:space="preserve"> a las obligaciones que este pliego califique como esenciales por causas ajenas a dicho catálogo.</w:t>
            </w:r>
          </w:p>
          <w:p>
            <w:pPr>
              <w:spacing w:after="100" w:line="264"/>
            </w:pPr>
            <w:r>
              <w:rPr>
                <w:rFonts w:ascii="Georgia" w:cs="Georgia" w:eastAsia="Georgia" w:hAnsi="Georgia"/>
                <w:b/>
                <w:bCs/>
                <w:sz w:val="20"/>
                <w:szCs w:val="20"/>
              </w:rPr>
              <w:t xml:space="preserve">4. Efectos y procedimiento.</w:t>
            </w:r>
            <w:r>
              <w:rPr>
                <w:rFonts w:ascii="Georgia" w:cs="Georgia" w:eastAsia="Georgia" w:hAnsi="Georgia"/>
                <w:sz w:val="20"/>
                <w:szCs w:val="20"/>
              </w:rPr>
              <w:t xml:space="preserve"> El incumplimiento de una obligación esencial de los bloques A o B constituye causa de resolución del contrato conforme al artículo 211.1.f) de la Ley 9/2017, con los efectos de los artículos 212 y 213. La resolución:</w:t>
            </w:r>
          </w:p>
          <w:p>
            <w:pPr>
              <w:spacing w:after="100" w:line="264"/>
            </w:pPr>
            <w:r>
              <w:rPr>
                <w:rFonts w:ascii="Georgia" w:cs="Georgia" w:eastAsia="Georgia" w:hAnsi="Georgia"/>
                <w:sz w:val="20"/>
                <w:szCs w:val="20"/>
              </w:rPr>
              <w:t xml:space="preserve">a) Es </w:t>
            </w:r>
            <w:r>
              <w:rPr>
                <w:rFonts w:ascii="Georgia" w:cs="Georgia" w:eastAsia="Georgia" w:hAnsi="Georgia"/>
                <w:b/>
                <w:bCs/>
                <w:sz w:val="20"/>
                <w:szCs w:val="20"/>
              </w:rPr>
              <w:t xml:space="preserve">potestativa</w:t>
            </w:r>
            <w:r>
              <w:rPr>
                <w:rFonts w:ascii="Georgia" w:cs="Georgia" w:eastAsia="Georgia" w:hAnsi="Georgia"/>
                <w:sz w:val="20"/>
                <w:szCs w:val="20"/>
              </w:rPr>
              <w:t xml:space="preserve">. El órgano de contratación puede optar por la imposición de la penalidad que corresponda.</w:t>
            </w:r>
          </w:p>
          <w:p>
            <w:pPr>
              <w:spacing w:after="100" w:line="264"/>
            </w:pPr>
            <w:r>
              <w:rPr>
                <w:rFonts w:ascii="Georgia" w:cs="Georgia" w:eastAsia="Georgia" w:hAnsi="Georgia"/>
                <w:sz w:val="20"/>
                <w:szCs w:val="20"/>
              </w:rPr>
              <w:t xml:space="preserve">b) Requiere </w:t>
            </w:r>
            <w:r>
              <w:rPr>
                <w:rFonts w:ascii="Georgia" w:cs="Georgia" w:eastAsia="Georgia" w:hAnsi="Georgia"/>
                <w:b/>
                <w:bCs/>
                <w:sz w:val="20"/>
                <w:szCs w:val="20"/>
              </w:rPr>
              <w:t xml:space="preserve">requerimiento previo de subsanación</w:t>
            </w:r>
            <w:r>
              <w:rPr>
                <w:rFonts w:ascii="Georgia" w:cs="Georgia" w:eastAsia="Georgia" w:hAnsi="Georgia"/>
                <w:sz w:val="20"/>
                <w:szCs w:val="20"/>
              </w:rPr>
              <w:t xml:space="preserve">, con plazo no inferior a [X; se recomienda 1] mes, salvo que la obligación sea insusceptible de cumplimiento tardío.</w:t>
            </w:r>
          </w:p>
          <w:p>
            <w:pPr>
              <w:spacing w:after="100" w:line="264"/>
            </w:pPr>
            <w:r>
              <w:rPr>
                <w:rFonts w:ascii="Georgia" w:cs="Georgia" w:eastAsia="Georgia" w:hAnsi="Georgia"/>
                <w:sz w:val="20"/>
                <w:szCs w:val="20"/>
              </w:rPr>
              <w:t xml:space="preserve">c) Requiere la tramitación de </w:t>
            </w:r>
            <w:r>
              <w:rPr>
                <w:rFonts w:ascii="Georgia" w:cs="Georgia" w:eastAsia="Georgia" w:hAnsi="Georgia"/>
                <w:b/>
                <w:bCs/>
                <w:sz w:val="20"/>
                <w:szCs w:val="20"/>
              </w:rPr>
              <w:t xml:space="preserve">procedimiento contradictorio con audiencia del contratista</w:t>
            </w:r>
            <w:r>
              <w:rPr>
                <w:rFonts w:ascii="Georgia" w:cs="Georgia" w:eastAsia="Georgia" w:hAnsi="Georgia"/>
                <w:sz w:val="20"/>
                <w:szCs w:val="20"/>
              </w:rPr>
              <w:t xml:space="preserve">, conforme a los artículos 191 y 212 de la Ley 9/2017.</w:t>
            </w:r>
          </w:p>
          <w:p>
            <w:pPr>
              <w:spacing w:after="100" w:line="264"/>
            </w:pPr>
            <w:r>
              <w:rPr>
                <w:rFonts w:ascii="Georgia" w:cs="Georgia" w:eastAsia="Georgia" w:hAnsi="Georgia"/>
                <w:sz w:val="20"/>
                <w:szCs w:val="20"/>
              </w:rPr>
              <w:t xml:space="preserve">d) Sólo se acordará cuando del expediente resulte, de forma motivada, que </w:t>
            </w:r>
            <w:r>
              <w:rPr>
                <w:rFonts w:ascii="Georgia" w:cs="Georgia" w:eastAsia="Georgia" w:hAnsi="Georgia"/>
                <w:b/>
                <w:bCs/>
                <w:sz w:val="20"/>
                <w:szCs w:val="20"/>
              </w:rPr>
              <w:t xml:space="preserve">el perjuicio derivado de la resolución no es superior al derivado del mantenimiento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causas de resolución, y en el cuadro de características las casillas del bloque B.2. Las condiciones especiales del bloque A deben figurar además en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211.1.f).2.º LCSP</w:t>
      </w:r>
      <w:r>
        <w:rPr>
          <w:rFonts w:ascii="Calibri" w:cs="Calibri" w:eastAsia="Calibri" w:hAnsi="Calibri"/>
          <w:sz w:val="21"/>
          <w:szCs w:val="21"/>
        </w:rPr>
        <w:t xml:space="preserve">, literal verificado: las obligaciones esenciales deben figurar «enumeradas de manera precisa, clara e inequívoca en los pliegos o en el documento descriptivo,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 y respetar los límites del artículo 34.1 a la libertad de pactos.</w:t>
      </w:r>
    </w:p>
    <w:p>
      <w:pPr>
        <w:pStyle w:val="ListParagraph"/>
        <w:numPr>
          <w:ilvl w:val="0"/>
          <w:numId w:val="1"/>
        </w:numPr>
        <w:spacing w:after="70" w:line="268"/>
      </w:pPr>
      <w:r>
        <w:rPr>
          <w:rFonts w:ascii="Calibri" w:cs="Calibri" w:eastAsia="Calibri" w:hAnsi="Calibri"/>
          <w:b/>
          <w:bCs/>
          <w:sz w:val="21"/>
          <w:szCs w:val="21"/>
        </w:rPr>
        <w:t xml:space="preserve">Artículo 202.1, párrafo tercero, LCSP</w:t>
      </w:r>
      <w:r>
        <w:rPr>
          <w:rFonts w:ascii="Calibri" w:cs="Calibri" w:eastAsia="Calibri" w:hAnsi="Calibri"/>
          <w:sz w:val="21"/>
          <w:szCs w:val="21"/>
        </w:rPr>
        <w:t xml:space="preserve">, literal verificado: en los contratos «cuya ejecución implique la cesión de datos por las entidades del sector público al contratista» es obligatorio establecer la condición especial de protección de datos, «advirtiéndose además al contratista de que esta obligación tiene el carácter de obligación contractual esencial de conformidad con lo dispuesto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122.2 LCSP</w:t>
      </w:r>
      <w:r>
        <w:rPr>
          <w:rFonts w:ascii="Calibri" w:cs="Calibri" w:eastAsia="Calibri" w:hAnsi="Calibri"/>
          <w:sz w:val="21"/>
          <w:szCs w:val="21"/>
        </w:rPr>
        <w:t xml:space="preserve">, literal verificado en su parte final: «las obligaciones recogidas en las letras a) a e) anteriores en todo caso deberán ser calificadas como esenciales a los efectos de lo previsto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habilita a atribuir a una condición especial el carácter de obligación esencial.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El incumplimiento de una obligación esencial se acredita </w:t>
      </w:r>
      <w:r>
        <w:rPr>
          <w:rFonts w:ascii="Calibri" w:cs="Calibri" w:eastAsia="Calibri" w:hAnsi="Calibri"/>
          <w:b/>
          <w:bCs/>
          <w:sz w:val="21"/>
          <w:szCs w:val="21"/>
        </w:rPr>
        <w:t xml:space="preserve">por los mismos medios tasados</w:t>
      </w:r>
      <w:r>
        <w:rPr>
          <w:rFonts w:ascii="Calibri" w:cs="Calibri" w:eastAsia="Calibri" w:hAnsi="Calibri"/>
          <w:sz w:val="21"/>
          <w:szCs w:val="21"/>
        </w:rPr>
        <w:t xml:space="preserve"> que la obligación de la que deriva: acta de aceptación o su ausencia unida al requerimiento fehaciente, acta de la Comisión, certificado de la entidad depositaria, diligencia del órgano interventor, registro de accesos. No cabe fundar una resolución en una apreciación técnica sin documento. La cláusula ADM-2·v3, apartado 7, es explícita: «la ausencia de estos medios no podrá suplirse por apreciación discrecional del órgano de contratación».</w:t>
      </w:r>
    </w:p>
    <w:p>
      <w:pPr>
        <w:spacing w:after="140" w:line="276"/>
      </w:pPr>
      <w:r>
        <w:rPr>
          <w:rFonts w:ascii="Calibri" w:cs="Calibri" w:eastAsia="Calibri" w:hAnsi="Calibri"/>
          <w:sz w:val="21"/>
          <w:szCs w:val="21"/>
        </w:rPr>
        <w:t xml:space="preserve">Además, y esto conviene decirlo antes de que lo diga el contratista: </w:t>
      </w:r>
      <w:r>
        <w:rPr>
          <w:rFonts w:ascii="Calibri" w:cs="Calibri" w:eastAsia="Calibri" w:hAnsi="Calibri"/>
          <w:b/>
          <w:bCs/>
          <w:sz w:val="21"/>
          <w:szCs w:val="21"/>
        </w:rPr>
        <w:t xml:space="preserve">la falta del requerimiento fehaciente de subsanación, o la falta de acta de la verificación en la que se apoya, hace decaer la resolución con independencia de lo grave que sea el incumplimiento.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No hay verificación periódica: la constatación se produce en el informe anual de ejecución de ADM-4·v3 o en el momento del hecho. La carga aparece cuando se activa: </w:t>
      </w:r>
      <w:r>
        <w:rPr>
          <w:rFonts w:ascii="Calibri" w:cs="Calibri" w:eastAsia="Calibri" w:hAnsi="Calibri"/>
          <w:b/>
          <w:bCs/>
          <w:sz w:val="21"/>
          <w:szCs w:val="21"/>
        </w:rPr>
        <w:t xml:space="preserve">entre 25 y 40 horas por expediente de resolución</w:t>
      </w:r>
      <w:r>
        <w:rPr>
          <w:rFonts w:ascii="Calibri" w:cs="Calibri" w:eastAsia="Calibri" w:hAnsi="Calibri"/>
          <w:sz w:val="21"/>
          <w:szCs w:val="21"/>
        </w:rPr>
        <w:t xml:space="preserve">, repartidas entre el responsable del contrato, el órgano al que corresponda el informe jurídico preceptivo, el órgano interventor y el órgano de contratación, más el plazo del procedimiento contradictorio. Es una carga baja en frecuencia y alta en intensidad; el catálogo la señala para que nadie tipifique esencialidades pensando que la resolución es un trámite.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Resolución potestativa del contrato con los efectos de los artículos 212 y 213 LCSP, previa la tramitación del apartado 4. Alternativamente, penalidad muy grave conforme a ADM-5·v3. Ambas vías, más la indemnización de daños, son acumulables sobre el mismo hecho (Res. TACRC 1111/2022, Pleno, citada en ADM-5·v3).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El bloque A no se copia si no concurre su presupuesto.</w:t>
      </w:r>
      <w:r>
        <w:rPr>
          <w:rFonts w:ascii="Calibri" w:cs="Calibri" w:eastAsia="Calibri" w:hAnsi="Calibri"/>
          <w:sz w:val="21"/>
          <w:szCs w:val="21"/>
        </w:rPr>
        <w:t xml:space="preserve"> Si el contrato no implica cesión de datos por el Ayuntamiento al contratista, el apartado 1.1 no existe. Si el contrato no requiere tratamiento de datos personales por cuenta del responsable, el apartado 1.2 no existe. Copiarlos igualmente declara esenciales obligaciones improcedentes, que es exactamente lo que el artículo 211.1.f).2.º castiga.</w:t>
      </w:r>
    </w:p>
    <w:p>
      <w:pPr>
        <w:pStyle w:val="ListParagraph"/>
        <w:numPr>
          <w:ilvl w:val="0"/>
          <w:numId w:val="1"/>
        </w:numPr>
        <w:spacing w:after="70" w:line="268"/>
      </w:pPr>
      <w:r>
        <w:rPr>
          <w:rFonts w:ascii="Calibri" w:cs="Calibri" w:eastAsia="Calibri" w:hAnsi="Calibri"/>
          <w:b/>
          <w:bCs/>
          <w:sz w:val="21"/>
          <w:szCs w:val="21"/>
        </w:rPr>
        <w:t xml:space="preserve">El bloque B.2 no se marca por defecto.</w:t>
      </w:r>
      <w:r>
        <w:rPr>
          <w:rFonts w:ascii="Calibri" w:cs="Calibri" w:eastAsia="Calibri" w:hAnsi="Calibri"/>
          <w:sz w:val="21"/>
          <w:szCs w:val="21"/>
        </w:rPr>
        <w:t xml:space="preserve"> Su marcado requiere superar el test de relevancia del comentario siguiente, y dejar constancia motivada en la memoria justificativa del expediente.</w:t>
      </w:r>
    </w:p>
    <w:p>
      <w:pPr>
        <w:pStyle w:val="ListParagraph"/>
        <w:numPr>
          <w:ilvl w:val="0"/>
          <w:numId w:val="1"/>
        </w:numPr>
        <w:spacing w:after="70" w:line="268"/>
      </w:pPr>
      <w:r>
        <w:rPr>
          <w:rFonts w:ascii="Calibri" w:cs="Calibri" w:eastAsia="Calibri" w:hAnsi="Calibri"/>
          <w:sz w:val="21"/>
          <w:szCs w:val="21"/>
        </w:rPr>
        <w:t xml:space="preserve">Las letras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Cuatro correcciones que no son opcionales</w:t>
      </w:r>
    </w:p>
    <w:p>
      <w:pPr>
        <w:spacing w:after="140" w:line="276"/>
      </w:pPr>
      <w:r>
        <w:rPr>
          <w:rFonts w:ascii="Calibri" w:cs="Calibri" w:eastAsia="Calibri" w:hAnsi="Calibri"/>
          <w:b/>
          <w:bCs/>
          <w:sz w:val="21"/>
          <w:szCs w:val="21"/>
        </w:rPr>
        <w:t xml:space="preserve">Primera: las esencialidades legales van condicionadas, no afirmadas.</w:t>
      </w:r>
    </w:p>
    <w:p>
      <w:pPr>
        <w:spacing w:after="140" w:line="276"/>
      </w:pPr>
      <w:r>
        <w:rPr>
          <w:rFonts w:ascii="Calibri" w:cs="Calibri" w:eastAsia="Calibri" w:hAnsi="Calibri"/>
          <w:sz w:val="21"/>
          <w:szCs w:val="21"/>
        </w:rPr>
        <w:t xml:space="preserve">Es tentador escribir el bloque A como una lista de obligaciones esenciales «que ningún tribunal puede discutir». Es cierto que ningún tribunal las discute </w:t>
      </w:r>
      <w:r>
        <w:rPr>
          <w:rFonts w:ascii="Calibri" w:cs="Calibri" w:eastAsia="Calibri" w:hAnsi="Calibri"/>
          <w:b/>
          <w:bCs/>
          <w:sz w:val="21"/>
          <w:szCs w:val="21"/>
        </w:rPr>
        <w:t xml:space="preserve">cuando concurre su presupuesto</w:t>
      </w:r>
      <w:r>
        <w:rPr>
          <w:rFonts w:ascii="Calibri" w:cs="Calibri" w:eastAsia="Calibri" w:hAnsi="Calibri"/>
          <w:sz w:val="21"/>
          <w:szCs w:val="21"/>
        </w:rPr>
        <w:t xml:space="preserve">, y falso fuera de él. El artículo 202.1, párrafo tercero, opera sólo «en los contratos cuya ejecución implique la cesión de datos por las entidades del sector público al contratista»; el artículo 122.2 sólo «en aquellos contratos cuya ejecución requiera el tratamiento por el contratista de datos personales por cuenta del responsable». En un contrato sin cesión de datos y sin encargo de tratamiento, ese bloque </w:t>
      </w:r>
      <w:r>
        <w:rPr>
          <w:rFonts w:ascii="Calibri" w:cs="Calibri" w:eastAsia="Calibri" w:hAnsi="Calibri"/>
          <w:b/>
          <w:bCs/>
          <w:sz w:val="21"/>
          <w:szCs w:val="21"/>
        </w:rPr>
        <w:t xml:space="preserve">no existe</w:t>
      </w:r>
      <w:r>
        <w:rPr>
          <w:rFonts w:ascii="Calibri" w:cs="Calibri" w:eastAsia="Calibri" w:hAnsi="Calibri"/>
          <w:sz w:val="21"/>
          <w:szCs w:val="21"/>
        </w:rPr>
        <w:t xml:space="preserve">. Un pliego que lo copie igualmente estará declarando esenciales obligaciones improcedentes —y ofreciendo, en la misma línea, la prueba de que la lista no fue examinada, que es el reproche del artículo 211.1.f).2.º. Por eso cada apartado del bloque A lleva delante, entre corchetes, la condición de su aplicación, y por eso la lista de comprobación del expediente (apartado V.10) obliga a marcarla.</w:t>
      </w:r>
    </w:p>
    <w:p>
      <w:pPr>
        <w:spacing w:after="140" w:line="276"/>
      </w:pPr>
      <w:r>
        <w:rPr>
          <w:rFonts w:ascii="Calibri" w:cs="Calibri" w:eastAsia="Calibri" w:hAnsi="Calibri"/>
          <w:b/>
          <w:bCs/>
          <w:sz w:val="21"/>
          <w:szCs w:val="21"/>
        </w:rPr>
        <w:t xml:space="preserve">Segunda: la cláusula de cierre no puede arrasar el resto del PCAP.</w:t>
      </w:r>
    </w:p>
    <w:p>
      <w:pPr>
        <w:spacing w:after="140" w:line="276"/>
      </w:pPr>
      <w:r>
        <w:rPr>
          <w:rFonts w:ascii="Calibri" w:cs="Calibri" w:eastAsia="Calibri" w:hAnsi="Calibri"/>
          <w:sz w:val="21"/>
          <w:szCs w:val="21"/>
        </w:rPr>
        <w:t xml:space="preserve">El v2 y los primeros borradores del v3 escribían: «Ninguna otra obligación de este clausulado tiene carácter esencial». Esa frase funciona dentro de un documento doctrinal y es destructiva dentro de un pliego. Copiada al PCAP, «este clausulado» pasa a leerse como «este pliego», y el PCAP tiene sus propias obligaciones esenciales que nada tienen que ver con este catálogo: el compromiso de adscripción de medios personales o materiales, las condiciones salariales del convenio sectorial, las obligaciones que el propio órgano haya calificado como esenciales por razones ajenas a la tecnología. La cláusula de cierre las anularía todas de un plumazo, y el Ayuntamiento se enteraría el día que quisiera resolver por una de ellas.</w:t>
      </w:r>
    </w:p>
    <w:p>
      <w:pPr>
        <w:spacing w:after="140" w:line="276"/>
      </w:pPr>
      <w:r>
        <w:rPr>
          <w:rFonts w:ascii="Calibri" w:cs="Calibri" w:eastAsia="Calibri" w:hAnsi="Calibri"/>
          <w:sz w:val="21"/>
          <w:szCs w:val="21"/>
        </w:rPr>
        <w:t xml:space="preserve">La redacción correcta es la del apartado 3: </w:t>
      </w:r>
      <w:r>
        <w:rPr>
          <w:rFonts w:ascii="Calibri" w:cs="Calibri" w:eastAsia="Calibri" w:hAnsi="Calibri"/>
          <w:b/>
          <w:bCs/>
          <w:sz w:val="21"/>
          <w:szCs w:val="21"/>
        </w:rPr>
        <w:t xml:space="preserve">«ninguna otra de las obligaciones incorporadas a este pliego en virtud del catálogo [denominación y versión]…»</w:t>
      </w:r>
      <w:r>
        <w:rPr>
          <w:rFonts w:ascii="Calibri" w:cs="Calibri" w:eastAsia="Calibri" w:hAnsi="Calibri"/>
          <w:sz w:val="21"/>
          <w:szCs w:val="21"/>
        </w:rPr>
        <w:t xml:space="preserve">, con la salvedad expresa de las esenciales de origen distinto. Es una corrección de cuatro palabras y evita un daño que no tiene arreglo. Obsérvese además que el catálogo se identifica en el pliego </w:t>
      </w:r>
      <w:r>
        <w:rPr>
          <w:rFonts w:ascii="Calibri" w:cs="Calibri" w:eastAsia="Calibri" w:hAnsi="Calibri"/>
          <w:b/>
          <w:bCs/>
          <w:sz w:val="21"/>
          <w:szCs w:val="21"/>
        </w:rPr>
        <w:t xml:space="preserve">por su denominación y versión concretas</w:t>
      </w:r>
      <w:r>
        <w:rPr>
          <w:rFonts w:ascii="Calibri" w:cs="Calibri" w:eastAsia="Calibri" w:hAnsi="Calibri"/>
          <w:sz w:val="21"/>
          <w:szCs w:val="21"/>
        </w:rPr>
        <w:t xml:space="preserve">: sin ese dato, la regla de cierre no delimita nada.</w:t>
      </w:r>
    </w:p>
    <w:p>
      <w:pPr>
        <w:spacing w:after="140" w:line="276"/>
      </w:pPr>
      <w:r>
        <w:rPr>
          <w:rFonts w:ascii="Calibri" w:cs="Calibri" w:eastAsia="Calibri" w:hAnsi="Calibri"/>
          <w:b/>
          <w:bCs/>
          <w:sz w:val="21"/>
          <w:szCs w:val="21"/>
        </w:rPr>
        <w:t xml:space="preserve">Tercera: la esencialidad se gradúa, o es desproporcionada.</w:t>
      </w:r>
    </w:p>
    <w:p>
      <w:pPr>
        <w:spacing w:after="140" w:line="276"/>
      </w:pPr>
      <w:r>
        <w:rPr>
          <w:rFonts w:ascii="Calibri" w:cs="Calibri" w:eastAsia="Calibri" w:hAnsi="Calibri"/>
          <w:sz w:val="21"/>
          <w:szCs w:val="21"/>
        </w:rPr>
        <w:t xml:space="preserve">En este punto la objeción del letrado del licitador es fundada, y procede reconocerla por escrito en la memoria antes de que se formule. </w:t>
      </w:r>
      <w:r>
        <w:rPr>
          <w:rFonts w:ascii="Calibri" w:cs="Calibri" w:eastAsia="Calibri" w:hAnsi="Calibri"/>
          <w:b/>
          <w:bCs/>
          <w:sz w:val="21"/>
          <w:szCs w:val="21"/>
        </w:rPr>
        <w:t xml:space="preserve">Resolver un contrato de contabilidad y patrimonio municipal porque el contratista no entregó en plazo una interfaz para agentes de inteligencia artificial es desproporcionado en grado manifiesto.</w:t>
      </w:r>
      <w:r>
        <w:rPr>
          <w:rFonts w:ascii="Calibri" w:cs="Calibri" w:eastAsia="Calibri" w:hAnsi="Calibri"/>
          <w:sz w:val="21"/>
          <w:szCs w:val="21"/>
        </w:rPr>
        <w:t xml:space="preserve"> El contrato sirve para llevar la contabilidad del Ayuntamiento; la interfaz es una capacidad accesoria y valiosa, pero accesoria. Resolver por ella deja al Ayuntamiento sin contabilidad para ganar una discusión sobre una interfaz. Ningún tribunal lo va a validar, y bastará con que un licitador lo señale en el recurso contra el pliego para que caiga la calificación entera.</w:t>
      </w:r>
    </w:p>
    <w:p>
      <w:pPr>
        <w:spacing w:after="140" w:line="276"/>
      </w:pPr>
      <w:r>
        <w:rPr>
          <w:rFonts w:ascii="Calibri" w:cs="Calibri" w:eastAsia="Calibri" w:hAnsi="Calibri"/>
          <w:sz w:val="21"/>
          <w:szCs w:val="21"/>
        </w:rPr>
        <w:t xml:space="preserve">De ahí la separación en B.1 y B.2, que es la pieza nueva de esta cláusula:</w:t>
      </w:r>
    </w:p>
    <w:p>
      <w:pPr>
        <w:pStyle w:val="ListParagraph"/>
        <w:numPr>
          <w:ilvl w:val="0"/>
          <w:numId w:val="1"/>
        </w:numPr>
        <w:spacing w:after="70" w:line="268"/>
      </w:pPr>
      <w:r>
        <w:rPr>
          <w:rFonts w:ascii="Calibri" w:cs="Calibri" w:eastAsia="Calibri" w:hAnsi="Calibri"/>
          <w:b/>
          <w:bCs/>
          <w:sz w:val="21"/>
          <w:szCs w:val="21"/>
        </w:rPr>
        <w:t xml:space="preserve">B.1 son incumplimientos que afectan a la posición institucional del Ayuntamiento y no a una capacidad accesoria</w:t>
      </w:r>
      <w:r>
        <w:rPr>
          <w:rFonts w:ascii="Calibri" w:cs="Calibri" w:eastAsia="Calibri" w:hAnsi="Calibri"/>
          <w:sz w:val="21"/>
          <w:szCs w:val="21"/>
        </w:rPr>
        <w:t xml:space="preserve">: quedarse sin poder recuperar sus datos y su lógica de negocio (reversibilidad), quedarse sin la garantía de continuidad que pagó (depósito), quedarse sin control interno sobre el contrato (acceso de los órganos de control), o descubrir que su información no pública ha entrado en un sistema de terceros no autorizado. En los cuatro casos, el mantenimiento del contrato en esas condiciones es peor que su resolución, que es justamente el juicio que exige la cautela del apartado 4.d).</w:t>
      </w:r>
    </w:p>
    <w:p>
      <w:pPr>
        <w:pStyle w:val="ListParagraph"/>
        <w:numPr>
          <w:ilvl w:val="0"/>
          <w:numId w:val="1"/>
        </w:numPr>
        <w:spacing w:after="70" w:line="268"/>
      </w:pPr>
      <w:r>
        <w:rPr>
          <w:rFonts w:ascii="Calibri" w:cs="Calibri" w:eastAsia="Calibri" w:hAnsi="Calibri"/>
          <w:b/>
          <w:bCs/>
          <w:sz w:val="21"/>
          <w:szCs w:val="21"/>
        </w:rPr>
        <w:t xml:space="preserve">B.2 son incumplimientos sobre capacidades tecnológicas determinadas</w:t>
      </w:r>
      <w:r>
        <w:rPr>
          <w:rFonts w:ascii="Calibri" w:cs="Calibri" w:eastAsia="Calibri" w:hAnsi="Calibri"/>
          <w:sz w:val="21"/>
          <w:szCs w:val="21"/>
        </w:rPr>
        <w:t xml:space="preserve">, y su esencialidad no puede presumirse. Sólo procede marcarlas cuando el expediente supere este </w:t>
      </w:r>
      <w:r>
        <w:rPr>
          <w:rFonts w:ascii="Calibri" w:cs="Calibri" w:eastAsia="Calibri" w:hAnsi="Calibri"/>
          <w:b/>
          <w:bCs/>
          <w:sz w:val="21"/>
          <w:szCs w:val="21"/>
        </w:rPr>
        <w:t xml:space="preserve">test de relevancia</w:t>
      </w:r>
      <w:r>
        <w:rPr>
          <w:rFonts w:ascii="Calibri" w:cs="Calibri" w:eastAsia="Calibri" w:hAnsi="Calibri"/>
          <w:sz w:val="21"/>
          <w:szCs w:val="21"/>
        </w:rPr>
        <w:t xml:space="preserve">, cuya conclusión debe constar en la memoria justificativa:</w:t>
      </w:r>
    </w:p>
    <w:p>
      <w:pPr>
        <w:spacing w:after="140" w:line="276"/>
      </w:pPr>
      <w:r>
        <w:rPr>
          <w:rFonts w:ascii="Calibri" w:cs="Calibri" w:eastAsia="Calibri" w:hAnsi="Calibri"/>
          <w:sz w:val="21"/>
          <w:szCs w:val="21"/>
        </w:rPr>
        <w:t xml:space="preserve">(i) que la capacidad esté identificada en el Informe de Necesidad como </w:t>
      </w:r>
      <w:r>
        <w:rPr>
          <w:rFonts w:ascii="Calibri" w:cs="Calibri" w:eastAsia="Calibri" w:hAnsi="Calibri"/>
          <w:b/>
          <w:bCs/>
          <w:sz w:val="21"/>
          <w:szCs w:val="21"/>
        </w:rPr>
        <w:t xml:space="preserve">determinante de la finalidad</w:t>
      </w:r>
      <w:r>
        <w:rPr>
          <w:rFonts w:ascii="Calibri" w:cs="Calibri" w:eastAsia="Calibri" w:hAnsi="Calibri"/>
          <w:sz w:val="21"/>
          <w:szCs w:val="21"/>
        </w:rPr>
        <w:t xml:space="preserve"> del contrato, y no como mejora deseable;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 que su peso económico en la oferta sea igual o superior al [X; se recomienda 10] por ciento del precio del contrato;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(iii) que su falta impida el uso de la solución para la finalidad contratada, o impida al Ayuntamiento cumplir una obligación legal propia.</w:t>
      </w:r>
    </w:p>
    <w:p>
      <w:pPr>
        <w:spacing w:after="140" w:line="276"/>
      </w:pPr>
      <w:r>
        <w:rPr>
          <w:rFonts w:ascii="Calibri" w:cs="Calibri" w:eastAsia="Calibri" w:hAnsi="Calibri"/>
          <w:sz w:val="21"/>
          <w:szCs w:val="21"/>
        </w:rPr>
        <w:t xml:space="preserve">Si no concurre ninguno de los tres, la casilla no se marca y el incumplimiento queda en penalidad grave o muy grave. Es consecuencia suficiente: una penalidad de hasta el 6 por ciento del precio del contrato por no entregar una capacidad comprometida no es un castigo simbólico.</w:t>
      </w:r>
    </w:p>
    <w:p>
      <w:pPr>
        <w:spacing w:after="140" w:line="276"/>
      </w:pPr>
      <w:r>
        <w:rPr>
          <w:rFonts w:ascii="Calibri" w:cs="Calibri" w:eastAsia="Calibri" w:hAnsi="Calibri"/>
          <w:sz w:val="21"/>
          <w:szCs w:val="21"/>
        </w:rPr>
        <w:t xml:space="preserve">Y una regla de coherencia que hay que respetar al montar el pliego: </w:t>
      </w:r>
      <w:r>
        <w:rPr>
          <w:rFonts w:ascii="Calibri" w:cs="Calibri" w:eastAsia="Calibri" w:hAnsi="Calibri"/>
          <w:b/>
          <w:bCs/>
          <w:sz w:val="21"/>
          <w:szCs w:val="21"/>
        </w:rPr>
        <w:t xml:space="preserve">una obligación no puede figurar a la vez como criterio de adjudicación y como obligación esencial del bloque B.2</w:t>
      </w:r>
      <w:r>
        <w:rPr>
          <w:rFonts w:ascii="Calibri" w:cs="Calibri" w:eastAsia="Calibri" w:hAnsi="Calibri"/>
          <w:sz w:val="21"/>
          <w:szCs w:val="21"/>
        </w:rPr>
        <w:t xml:space="preserve">. Si la capacidad se puntúa en el baremo, se está retribuyendo su ofrecimiento; convertir además su falta en causa de resolución acumula sobre el mismo elemento un premio y una pena de máxima intensidad, y alimenta el reproche de doble cómputo del Cuadro Maestro (Anexo I).</w:t>
      </w:r>
    </w:p>
    <w:p>
      <w:pPr>
        <w:spacing w:after="140" w:line="276"/>
      </w:pPr>
      <w:r>
        <w:rPr>
          <w:rFonts w:ascii="Calibri" w:cs="Calibri" w:eastAsia="Calibri" w:hAnsi="Calibri"/>
          <w:b/>
          <w:bCs/>
          <w:sz w:val="21"/>
          <w:szCs w:val="21"/>
        </w:rPr>
        <w:t xml:space="preserve">Cuarta, sobre lo que desaparece.</w:t>
      </w:r>
      <w:r>
        <w:rPr>
          <w:rFonts w:ascii="Calibri" w:cs="Calibri" w:eastAsia="Calibri" w:hAnsi="Calibri"/>
          <w:sz w:val="21"/>
          <w:szCs w:val="21"/>
        </w:rPr>
        <w:t xml:space="preserve"> Del v2 se eliminan íntegramente: la calificación como esencial del «compromiso de evolución tecnológica continua»; la del «cumplimiento del Plan de Actualización y de los compromisos anti-obsolescencia»; el párrafo de «obsolescencia tecnológica» como causa autónoma de resolución —«el Ayuntamiento podrá resolver el contrato como penalidad por obsolescencia tecnológica»—; y la calificación como esencial del «mantenimiento de las certificaciones». Los cuatro son calificaciones sobre conceptos y no sobre incumplimientos, y los cuatro son, en el lenguaje del artículo 211.1.f).2.º, cláusulas de tipo general. Quien tenga un pliego redactado con el texto de v2 debe sustituir la cláusula entera; una corrección parcial no subsana el defecto.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Cierre de la primera mitad de la Parte III</w:t>
      </w:r>
    </w:p>
    <w:p>
      <w:pPr>
        <w:spacing w:after="140" w:line="276"/>
      </w:pPr>
      <w:r>
        <w:rPr>
          <w:rFonts w:ascii="Calibri" w:cs="Calibri" w:eastAsia="Calibri" w:hAnsi="Calibri"/>
          <w:sz w:val="21"/>
          <w:szCs w:val="21"/>
        </w:rPr>
        <w:t xml:space="preserve">Lo que estas seis cláusulas hacen, y lo que no.</w:t>
      </w:r>
    </w:p>
    <w:p>
      <w:pPr>
        <w:spacing w:after="140" w:line="276"/>
      </w:pPr>
      <w:r>
        <w:rPr>
          <w:rFonts w:ascii="Calibri" w:cs="Calibri" w:eastAsia="Calibri" w:hAnsi="Calibri"/>
          <w:b/>
          <w:bCs/>
          <w:sz w:val="21"/>
          <w:szCs w:val="21"/>
        </w:rPr>
        <w:t xml:space="preserve">Hacen</w:t>
      </w:r>
      <w:r>
        <w:rPr>
          <w:rFonts w:ascii="Calibri" w:cs="Calibri" w:eastAsia="Calibri" w:hAnsi="Calibri"/>
          <w:sz w:val="21"/>
          <w:szCs w:val="21"/>
        </w:rPr>
        <w:t xml:space="preserve"> que cada exigencia tenga su instrumento —solvencia, condición especial de ejecución o prescripción técnica, nunca dos a la vez—, su necesidad identificada, su medio de acreditación tasado, su verificador municipal con horas contadas y su consecuencia graduada. Y hacen que la caída de una pieza no arrastre las demás: si el Anexo de Exigencias Tecnológicas no llega a aprobarse, ADM-2·v3 no se incorpora y ADM-1·v3, ADM-4·v3, ADM-5·v3 y ADM-6·v3 siguen funcionando; si la bolsa de evolutivos no supera el informe jurídico, se borra el bloque 2 de ADM-3·v3 y el resto queda intacto.</w:t>
      </w:r>
    </w:p>
    <w:p>
      <w:pPr>
        <w:spacing w:after="140" w:line="276"/>
      </w:pPr>
      <w:r>
        <w:rPr>
          <w:rFonts w:ascii="Calibri" w:cs="Calibri" w:eastAsia="Calibri" w:hAnsi="Calibri"/>
          <w:b/>
          <w:bCs/>
          <w:sz w:val="21"/>
          <w:szCs w:val="21"/>
        </w:rPr>
        <w:t xml:space="preserve">No hacen</w:t>
      </w:r>
      <w:r>
        <w:rPr>
          <w:rFonts w:ascii="Calibri" w:cs="Calibri" w:eastAsia="Calibri" w:hAnsi="Calibri"/>
          <w:sz w:val="21"/>
          <w:szCs w:val="21"/>
        </w:rPr>
        <w:t xml:space="preserve"> que ningún tribunal deje de poder anular un pliego. Lo que este catálogo no promete está enunciado en la Parte 0, §0.3, y razonado en la Parte IV, §M8; no se repite aquí. Sobre condiciones especiales de ejecución de contenido tecnológico-evolutivo, sobre interfaces para agentes de inteligencia artificial, sobre la norma ISO/IEC 42001 como criterio y sobre bolsas de servicios evolutivos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Tribunal Administrativo Central de Recursos Contractuales, del Tribunal Administrativo de Contratación Pública de la Comunidad de Madrid y del Órgano Administrativo de Recursos Contractuales de Euskadi. El primer pliego que se recurra sobre estas materias creará el precedente. Lo único que cabe diseñar es que, cuando eso ocurra, el expediente esté completo y la exigencia impugnada esté motivada donde el Tribunal la busca: en la memoria justificativa del expediente, antes de publicar, y no en el escrito de alegaciones.</w:t>
      </w:r>
    </w:p>
    <w:p>
      <w:pPr>
        <w:pBdr>
          <w:bottom w:val="single" w:color="D0D0D0" w:sz="6"/>
        </w:pBdr>
        <w:spacing w:after="200" w:before="120"/>
      </w:pPr>
    </w:p>
    <w:p>
      <w:pPr>
        <w:spacing w:after="140" w:line="276"/>
      </w:pPr>
      <w:r>
        <w:rPr>
          <w:rFonts w:ascii="Calibri" w:cs="Calibri" w:eastAsia="Calibri" w:hAnsi="Calibri"/>
          <w:i/>
          <w:iCs/>
          <w:sz w:val="21"/>
          <w:szCs w:val="21"/>
        </w:rPr>
        <w:t xml:space="preserve">Continúa la Parte III. Las tres reglas de uso que gobiernan las catorce cláusulas —motivación, separación de instrumentos y verificabilidad municipal—, la advertencia sobre parámetros y la regla de reutilización por otras administraciones están al inicio de la Parte III y no se repiten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III.7 · ADM-7·v3 — Criterios de adjudicación</w:t>
      </w:r>
    </w:p>
    <w:p>
      <w:pPr>
        <w:spacing w:after="140" w:line="276"/>
      </w:pPr>
      <w:r>
        <w:rPr>
          <w:rFonts w:ascii="Calibri" w:cs="Calibri" w:eastAsia="Calibri" w:hAnsi="Calibri"/>
          <w:i/>
          <w:iCs/>
          <w:sz w:val="21"/>
          <w:szCs w:val="21"/>
        </w:rPr>
        <w:t xml:space="preserve">(Sustituye a ADM-7 de v2. Corrige tres defectos de construcción del baremo anterior: no valoraba la prestación contratada, incurría en doble cómputo y no encajaba en el procedimiento. La explicación completa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ADM-7.1 · Reglas de construcción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Criterios de adjudicación: reglas de construcción del baremo.</w:t>
            </w:r>
          </w:p>
          <w:p>
            <w:pPr>
              <w:pStyle w:val="ListParagraph"/>
              <w:numPr>
                <w:ilvl w:val="0"/>
                <w:numId w:val="2"/>
              </w:numPr>
              <w:spacing w:after="60" w:line="264"/>
            </w:pPr>
            <w:r>
              <w:rPr>
                <w:rFonts w:ascii="Georgia" w:cs="Georgia" w:eastAsia="Georgia" w:hAnsi="Georgia"/>
                <w:b/>
                <w:bCs/>
                <w:sz w:val="20"/>
                <w:szCs w:val="20"/>
              </w:rPr>
              <w:t xml:space="preserve">Regla de separación de instrumentos.</w:t>
            </w:r>
            <w:r>
              <w:rPr>
                <w:rFonts w:ascii="Georgia" w:cs="Georgia" w:eastAsia="Georgia" w:hAnsi="Georgia"/>
                <w:sz w:val="20"/>
                <w:szCs w:val="20"/>
              </w:rPr>
              <w:t xml:space="preserve"> Cada exigencia de este contrato se asigna a un único instrumento —prescripción técnica (artículos 124 a 126 LCSP), criterio de solvencia (artículos 90, 93 y 94 LCSP), compromiso de adscripción de medios (artículo 76 LCSP), condición especial de ejecución (artículo 202 LCSP) o criterio de adjudicación (artículo 145 LCSP)— y no puede computarse en más de uno. Queda prohibido, en particular:</w:t>
            </w:r>
          </w:p>
          <w:p>
            <w:pPr>
              <w:spacing w:after="100" w:line="264"/>
            </w:pPr>
            <w:r>
              <w:rPr>
                <w:rFonts w:ascii="Georgia" w:cs="Georgia" w:eastAsia="Georgia" w:hAnsi="Georgia"/>
                <w:sz w:val="20"/>
                <w:szCs w:val="20"/>
              </w:rPr>
              <w:t xml:space="preserve">a) valorar como criterio de adjudicación una exigencia que este pliego configure como requisito de solvencia;</w:t>
            </w:r>
          </w:p>
          <w:p>
            <w:pPr>
              <w:spacing w:after="100" w:line="264"/>
            </w:pPr>
            <w:r>
              <w:rPr>
                <w:rFonts w:ascii="Georgia" w:cs="Georgia" w:eastAsia="Georgia" w:hAnsi="Georgia"/>
                <w:sz w:val="20"/>
                <w:szCs w:val="20"/>
              </w:rPr>
              <w:t xml:space="preserve">b) valorar como criterio de adjudicación el cumplimiento de una prescripción técnica que el pliego de prescripciones técnicas o sus anexos impongan como obligatoria; sólo podrá valorarse el </w:t>
            </w:r>
            <w:r>
              <w:rPr>
                <w:rFonts w:ascii="Georgia" w:cs="Georgia" w:eastAsia="Georgia" w:hAnsi="Georgia"/>
                <w:b/>
                <w:bCs/>
                <w:sz w:val="20"/>
                <w:szCs w:val="20"/>
              </w:rPr>
              <w:t xml:space="preserve">incremento ofertado sobre el mínimo obligatorio</w:t>
            </w:r>
            <w:r>
              <w:rPr>
                <w:rFonts w:ascii="Georgia" w:cs="Georgia" w:eastAsia="Georgia" w:hAnsi="Georgia"/>
                <w:sz w:val="20"/>
                <w:szCs w:val="20"/>
              </w:rPr>
              <w:t xml:space="preserve">, expresado sobre la misma unidad de medida y sobre la misma relación cerrada y numerada que fije el mínimo;</w:t>
            </w:r>
          </w:p>
          <w:p>
            <w:pPr>
              <w:spacing w:after="100" w:line="264"/>
            </w:pPr>
            <w:r>
              <w:rPr>
                <w:rFonts w:ascii="Georgia" w:cs="Georgia" w:eastAsia="Georgia" w:hAnsi="Georgia"/>
                <w:sz w:val="20"/>
                <w:szCs w:val="20"/>
              </w:rPr>
              <w:t xml:space="preserve">c) valorar como criterio de adjudicación el contenido de una condición especial de ejecución de este contrato. Cuando una prestación se configure como condición especial de ejecución, no se puntúa; cuando se puntúe, no se configura además como condición especial de ejecución sobre el mismo contenido.</w:t>
            </w:r>
          </w:p>
          <w:p>
            <w:pPr>
              <w:pStyle w:val="ListParagraph"/>
              <w:numPr>
                <w:ilvl w:val="0"/>
                <w:numId w:val="2"/>
              </w:numPr>
              <w:spacing w:after="60" w:line="264"/>
            </w:pPr>
            <w:r>
              <w:rPr>
                <w:rFonts w:ascii="Georgia" w:cs="Georgia" w:eastAsia="Georgia" w:hAnsi="Georgia"/>
                <w:b/>
                <w:bCs/>
                <w:sz w:val="20"/>
                <w:szCs w:val="20"/>
              </w:rPr>
              <w:t xml:space="preserve">Regla de no valoración de la tenencia previa.</w:t>
            </w:r>
            <w:r>
              <w:rPr>
                <w:rFonts w:ascii="Georgia" w:cs="Georgia" w:eastAsia="Georgia" w:hAnsi="Georgia"/>
                <w:sz w:val="20"/>
                <w:szCs w:val="20"/>
              </w:rPr>
              <w:t xml:space="preserve"> No se configurarán como criterios de adjudicación las circunstancias que describen a la empresa licitadora y no a la prestación que se contrata. En particular, no se valorarán: la mera tenencia de certificaciones que acrediten sistemas de gestión de la empresa; la experiencia previa del licitador; la disponibilidad, a la fecha de finalización del plazo de presentación de ofertas, de medios personales, medios materiales o instalaciones; ni la titularidad o disponibilidad, a esa misma fecha, de desarrollos, productos o infraestructuras </w:t>
            </w:r>
            <w:r>
              <w:rPr>
                <w:rFonts w:ascii="Georgia" w:cs="Georgia" w:eastAsia="Georgia" w:hAnsi="Georgia"/>
                <w:b/>
                <w:bCs/>
                <w:sz w:val="20"/>
                <w:szCs w:val="20"/>
              </w:rPr>
              <w:t xml:space="preserve">ajenos al objeto de este contrato</w:t>
            </w:r>
            <w:r>
              <w:rPr>
                <w:rFonts w:ascii="Georgia" w:cs="Georgia" w:eastAsia="Georgia" w:hAnsi="Georgia"/>
                <w:sz w:val="20"/>
                <w:szCs w:val="20"/>
              </w:rPr>
              <w:t xml:space="preserve">. Estas circunstancias se sitúan, cuando proceda y esté justificado en el expediente, en la solvencia, en el compromiso de adscripción de medios del artículo 76 LCSP —acreditable por el licitador propuesto como adjudicatario en el trámite del artículo 150.2 LCSP— o en una condición especial de ejecución.</w:t>
            </w:r>
          </w:p>
          <w:p>
            <w:pPr>
              <w:spacing w:after="100" w:line="264"/>
            </w:pPr>
            <w:r>
              <w:rPr>
                <w:rFonts w:ascii="Georgia" w:cs="Georgia" w:eastAsia="Georgia" w:hAnsi="Georgia"/>
                <w:b/>
                <w:bCs/>
                <w:sz w:val="20"/>
                <w:szCs w:val="20"/>
              </w:rPr>
              <w:t xml:space="preserve">Lo que sí se valora: la prestación comprometida.</w:t>
            </w:r>
            <w:r>
              <w:rPr>
                <w:rFonts w:ascii="Georgia" w:cs="Georgia" w:eastAsia="Georgia" w:hAnsi="Georgia"/>
                <w:sz w:val="20"/>
                <w:szCs w:val="20"/>
              </w:rPr>
              <w:t xml:space="preserve"> El alcance funcional que el licitador se compromete a entregar sobre las relaciones cerradas y numeradas publicadas en el pliego de prescripciones técnicas y en sus apéndices es contenido de la prestación contratada, y se valora </w:t>
            </w:r>
            <w:r>
              <w:rPr>
                <w:rFonts w:ascii="Georgia" w:cs="Georgia" w:eastAsia="Georgia" w:hAnsi="Georgia"/>
                <w:b/>
                <w:bCs/>
                <w:sz w:val="20"/>
                <w:szCs w:val="20"/>
              </w:rPr>
              <w:t xml:space="preserve">con independencia de que la solución ofertada lo cubra desde su entrega inicial o de que el licitador deba desarrollarlo dentro del plazo de ejecución fijado en el pliego</w:t>
            </w:r>
            <w:r>
              <w:rPr>
                <w:rFonts w:ascii="Georgia" w:cs="Georgia" w:eastAsia="Georgia" w:hAnsi="Georgia"/>
                <w:sz w:val="20"/>
                <w:szCs w:val="20"/>
              </w:rPr>
              <w:t xml:space="preserve">. En consecuencia, ningún criterio de adjudicación podrá condicionar la puntuación a que la funcionalidad esté disponible a la fecha de finalización del plazo de presentación de ofertas, ni excluir de la puntuación lo que el licitador se comprometa a desarrollar dentro de plazo. El alcance comprometido se incorpora al contrato como obligación contractual exigible, en los términos del criterio que lo valore.</w:t>
            </w:r>
          </w:p>
          <w:p>
            <w:pPr>
              <w:pStyle w:val="ListParagraph"/>
              <w:numPr>
                <w:ilvl w:val="0"/>
                <w:numId w:val="2"/>
              </w:numPr>
              <w:spacing w:after="60" w:line="264"/>
            </w:pPr>
            <w:r>
              <w:rPr>
                <w:rFonts w:ascii="Georgia" w:cs="Georgia" w:eastAsia="Georgia" w:hAnsi="Georgia"/>
                <w:b/>
                <w:bCs/>
                <w:sz w:val="20"/>
                <w:szCs w:val="20"/>
              </w:rPr>
              <w:t xml:space="preserve">Regla de correspondencia con el pliego técnico.</w:t>
            </w:r>
            <w:r>
              <w:rPr>
                <w:rFonts w:ascii="Georgia" w:cs="Georgia" w:eastAsia="Georgia" w:hAnsi="Georgia"/>
                <w:sz w:val="20"/>
                <w:szCs w:val="20"/>
              </w:rPr>
              <w:t xml:space="preserve"> No se incorporará ningún criterio de adjudicación que valore una capacidad, prestación o integración que el pliego de prescripciones técnicas no exija ni describa. Si una cláusula técnica se marca como NO APLICA en la Ficha de Aplicabilidad, se suprime el criterio de adjudicación que la valoraba y </w:t>
            </w:r>
            <w:r>
              <w:rPr>
                <w:rFonts w:ascii="Georgia" w:cs="Georgia" w:eastAsia="Georgia" w:hAnsi="Georgia"/>
                <w:b/>
                <w:bCs/>
                <w:sz w:val="20"/>
                <w:szCs w:val="20"/>
              </w:rPr>
              <w:t xml:space="preserve">se recompone el baremo antes de publicar el anuncio de licitación, sin que quepa redistribución alguna una vez iniciada la licitación (apartado 6)</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Reglas de proporción.</w:t>
            </w:r>
            <w:r>
              <w:rPr>
                <w:rFonts w:ascii="Georgia" w:cs="Georgia" w:eastAsia="Georgia" w:hAnsi="Georgia"/>
                <w:sz w:val="20"/>
                <w:szCs w:val="20"/>
              </w:rPr>
              <w:t xml:space="preserve"> En la determinación del baremo:</w:t>
            </w:r>
          </w:p>
          <w:p>
            <w:pPr>
              <w:spacing w:after="100" w:line="264"/>
            </w:pPr>
            <w:r>
              <w:rPr>
                <w:rFonts w:ascii="Georgia" w:cs="Georgia" w:eastAsia="Georgia" w:hAnsi="Georgia"/>
                <w:sz w:val="20"/>
                <w:szCs w:val="20"/>
              </w:rPr>
              <w:t xml:space="preserve">a) el conjunto de los criterios agrupados en el bloque «Innovación y tecnología» no superará el </w:t>
            </w:r>
            <w:r>
              <w:rPr>
                <w:rFonts w:ascii="Georgia" w:cs="Georgia" w:eastAsia="Georgia" w:hAnsi="Georgia"/>
                <w:b/>
                <w:bCs/>
                <w:sz w:val="20"/>
                <w:szCs w:val="20"/>
              </w:rPr>
              <w:t xml:space="preserve">[X; se recomienda 25] por ciento</w:t>
            </w:r>
            <w:r>
              <w:rPr>
                <w:rFonts w:ascii="Georgia" w:cs="Georgia" w:eastAsia="Georgia" w:hAnsi="Georgia"/>
                <w:sz w:val="20"/>
                <w:szCs w:val="20"/>
              </w:rPr>
              <w:t xml:space="preserve"> de la puntuación total del contrato y, en ningún caso, el cuarenta por ciento;</w:t>
            </w:r>
          </w:p>
          <w:p>
            <w:pPr>
              <w:spacing w:after="100" w:line="264"/>
            </w:pPr>
            <w:r>
              <w:rPr>
                <w:rFonts w:ascii="Georgia" w:cs="Georgia" w:eastAsia="Georgia" w:hAnsi="Georgia"/>
                <w:sz w:val="20"/>
                <w:szCs w:val="20"/>
              </w:rPr>
              <w:t xml:space="preserve">b) se dará preponderancia a los criterios evaluables mediante la mera aplicación de fórmulas (artículo 146.2, párrafo primero, LCSP);</w:t>
            </w:r>
          </w:p>
          <w:p>
            <w:pPr>
              <w:spacing w:after="100" w:line="264"/>
            </w:pPr>
            <w:r>
              <w:rPr>
                <w:rFonts w:ascii="Georgia" w:cs="Georgia" w:eastAsia="Georgia" w:hAnsi="Georgia"/>
                <w:sz w:val="20"/>
                <w:szCs w:val="20"/>
              </w:rPr>
              <w:t xml:space="preserve">c) si, pese a lo anterior, la ponderación conjunta de los criterios sujetos a juicio de valor resultara superior a la de los evaluables mediante fórmulas, será </w:t>
            </w:r>
            <w:r>
              <w:rPr>
                <w:rFonts w:ascii="Georgia" w:cs="Georgia" w:eastAsia="Georgia" w:hAnsi="Georgia"/>
                <w:b/>
                <w:bCs/>
                <w:sz w:val="20"/>
                <w:szCs w:val="20"/>
              </w:rPr>
              <w:t xml:space="preserve">preceptiva</w:t>
            </w:r>
            <w:r>
              <w:rPr>
                <w:rFonts w:ascii="Georgia" w:cs="Georgia" w:eastAsia="Georgia" w:hAnsi="Georgia"/>
                <w:sz w:val="20"/>
                <w:szCs w:val="20"/>
              </w:rPr>
              <w:t xml:space="preserve"> la constitución del comité de expertos del artículo 146.2.a) LCSP, con un mínimo de tres miembros con cualificación apropiada no adscritos al órgano proponente del contrato, cuya composición, procedimiento de designación, metodología y plazo de valoración constarán identificados en este pliego y publicados en el perfil de contratante con anterioridad a la apertura del sobre correspondiente;</w:t>
            </w:r>
          </w:p>
          <w:p>
            <w:pPr>
              <w:spacing w:after="100" w:line="264"/>
            </w:pPr>
            <w:r>
              <w:rPr>
                <w:rFonts w:ascii="Georgia" w:cs="Georgia" w:eastAsia="Georgia" w:hAnsi="Georgia"/>
                <w:sz w:val="20"/>
                <w:szCs w:val="20"/>
              </w:rPr>
              <w:t xml:space="preserve">d) las mejoras que se valoren mediante juicio de valor no superarán el 2,5 por ciento de la puntuación total y estarán suficientemente especificadas (artículo 145.7 LCSP);</w:t>
            </w:r>
          </w:p>
          <w:p>
            <w:pPr>
              <w:spacing w:after="100" w:line="264"/>
            </w:pPr>
            <w:r>
              <w:rPr>
                <w:rFonts w:ascii="Georgia" w:cs="Georgia" w:eastAsia="Georgia" w:hAnsi="Georgia"/>
                <w:sz w:val="20"/>
                <w:szCs w:val="20"/>
              </w:rPr>
              <w:t xml:space="preserve">e) cuando el objeto del contrato sean prestaciones de carácter intelectual, los criterios relacionados con la calidad representarán al menos el 51 por ciento de la puntuación asignable (artículo 145.4 LCSP), extremo que se motivará en el expediente;</w:t>
            </w:r>
          </w:p>
          <w:p>
            <w:pPr>
              <w:spacing w:after="100" w:line="264"/>
            </w:pPr>
            <w:r>
              <w:rPr>
                <w:rFonts w:ascii="Georgia" w:cs="Georgia" w:eastAsia="Georgia" w:hAnsi="Georgia"/>
                <w:sz w:val="20"/>
                <w:szCs w:val="20"/>
              </w:rPr>
              <w:t xml:space="preserve">f) no se emplea la categoría «mixto»: cada criterio es evaluable mediante fórmula o sujeto a juicio de valor, sin excepción, y así consta en la columna correspondiente del baremo.</w:t>
            </w:r>
          </w:p>
          <w:p>
            <w:pPr>
              <w:pStyle w:val="ListParagraph"/>
              <w:numPr>
                <w:ilvl w:val="0"/>
                <w:numId w:val="2"/>
              </w:numPr>
              <w:spacing w:after="60" w:line="264"/>
            </w:pPr>
            <w:r>
              <w:rPr>
                <w:rFonts w:ascii="Georgia" w:cs="Georgia" w:eastAsia="Georgia" w:hAnsi="Georgia"/>
                <w:b/>
                <w:bCs/>
                <w:sz w:val="20"/>
                <w:szCs w:val="20"/>
              </w:rPr>
              <w:t xml:space="preserve">Verificabilidad.</w:t>
            </w:r>
            <w:r>
              <w:rPr>
                <w:rFonts w:ascii="Georgia" w:cs="Georgia" w:eastAsia="Georgia" w:hAnsi="Georgia"/>
                <w:sz w:val="20"/>
                <w:szCs w:val="20"/>
              </w:rPr>
              <w:t xml:space="preserve"> Cada criterio va acompañado en este pliego de la especificación del medio por el que se comprobará de manera efectiva la información facilitada por los licitadores (artículo 145.5.c LCSP). El criterio que no pueda comprobarse de manera efectiva no se incorpora al baremo.</w:t>
            </w:r>
          </w:p>
          <w:p>
            <w:pPr>
              <w:pStyle w:val="ListParagraph"/>
              <w:numPr>
                <w:ilvl w:val="0"/>
                <w:numId w:val="2"/>
              </w:numPr>
              <w:spacing w:after="60" w:line="264"/>
            </w:pPr>
            <w:r>
              <w:rPr>
                <w:rFonts w:ascii="Georgia" w:cs="Georgia" w:eastAsia="Georgia" w:hAnsi="Georgia"/>
                <w:b/>
                <w:bCs/>
                <w:sz w:val="20"/>
                <w:szCs w:val="20"/>
              </w:rPr>
              <w:t xml:space="preserve">Ponderaciones.</w:t>
            </w:r>
            <w:r>
              <w:rPr>
                <w:rFonts w:ascii="Georgia" w:cs="Georgia" w:eastAsia="Georgia" w:hAnsi="Georgia"/>
                <w:sz w:val="20"/>
                <w:szCs w:val="20"/>
              </w:rPr>
              <w:t xml:space="preserve"> Las ponderaciones publicadas en este pliego no serán objeto de reescalado ni de redistribución una vez publicado el anuncio de licitación.</w:t>
            </w:r>
          </w:p>
          <w:p>
            <w:pPr>
              <w:pStyle w:val="ListParagraph"/>
              <w:numPr>
                <w:ilvl w:val="0"/>
                <w:numId w:val="2"/>
              </w:numPr>
              <w:spacing w:after="60" w:line="264"/>
            </w:pPr>
            <w:r>
              <w:rPr>
                <w:rFonts w:ascii="Georgia" w:cs="Georgia" w:eastAsia="Georgia" w:hAnsi="Georgia"/>
                <w:b/>
                <w:bCs/>
                <w:sz w:val="20"/>
                <w:szCs w:val="20"/>
              </w:rPr>
              <w:t xml:space="preserve">Ofertas anormalmente bajas.</w:t>
            </w:r>
            <w:r>
              <w:rPr>
                <w:rFonts w:ascii="Georgia" w:cs="Georgia" w:eastAsia="Georgia" w:hAnsi="Georgia"/>
                <w:sz w:val="20"/>
                <w:szCs w:val="20"/>
              </w:rPr>
              <w:t xml:space="preserve"> Este pliego publica, en el apartado [ ], los </w:t>
            </w:r>
            <w:r>
              <w:rPr>
                <w:rFonts w:ascii="Georgia" w:cs="Georgia" w:eastAsia="Georgia" w:hAnsi="Georgia"/>
                <w:b/>
                <w:bCs/>
                <w:sz w:val="20"/>
                <w:szCs w:val="20"/>
              </w:rPr>
              <w:t xml:space="preserve">parámetros objetivos</w:t>
            </w:r>
            <w:r>
              <w:rPr>
                <w:rFonts w:ascii="Georgia" w:cs="Georgia" w:eastAsia="Georgia" w:hAnsi="Georgia"/>
                <w:sz w:val="20"/>
                <w:szCs w:val="20"/>
              </w:rPr>
              <w:t xml:space="preserve"> con arreglo a los cuales se identificará la oferta presuntamente anormalmente baja, referidos a </w:t>
            </w:r>
            <w:r>
              <w:rPr>
                <w:rFonts w:ascii="Georgia" w:cs="Georgia" w:eastAsia="Georgia" w:hAnsi="Georgia"/>
                <w:b/>
                <w:bCs/>
                <w:sz w:val="20"/>
                <w:szCs w:val="20"/>
              </w:rPr>
              <w:t xml:space="preserve">[la oferta en su conjunto / el criterio de precio]</w:t>
            </w:r>
            <w:r>
              <w:rPr>
                <w:rFonts w:ascii="Georgia" w:cs="Georgia" w:eastAsia="Georgia" w:hAnsi="Georgia"/>
                <w:sz w:val="20"/>
                <w:szCs w:val="20"/>
              </w:rPr>
              <w:t xml:space="preserve">, sin remisión a parámetros supletorios de normas de desarrollo. Identificada una oferta como presuntamente anormal, se requerirá al licitador para que la justifique, se recabará el informe técnico y se resolverá de forma motivada conforme al artículo 149 de la LCSP </w:t>
            </w:r>
            <w:r>
              <w:rPr>
                <w:rFonts w:ascii="Georgia" w:cs="Georgia" w:eastAsia="Georgia" w:hAnsi="Georgia"/>
                <w:b/>
                <w:bCs/>
                <w:sz w:val="20"/>
                <w:szCs w:val="20"/>
              </w:rPr>
              <w:t xml:space="preserve">con anterioridad a la aplicación de las fórmulas de valoración</w:t>
            </w:r>
            <w:r>
              <w:rPr>
                <w:rFonts w:ascii="Georgia" w:cs="Georgia" w:eastAsia="Georgia" w:hAnsi="Georgia"/>
                <w:sz w:val="20"/>
                <w:szCs w:val="20"/>
              </w:rPr>
              <w:t xml:space="preserve">. </w:t>
            </w:r>
            <w:r>
              <w:rPr>
                <w:rFonts w:ascii="Georgia" w:cs="Georgia" w:eastAsia="Georgia" w:hAnsi="Georgia"/>
                <w:b/>
                <w:bCs/>
                <w:sz w:val="20"/>
                <w:szCs w:val="20"/>
              </w:rPr>
              <w:t xml:space="preserve">La oferta excluida no se computará como referencia de cálculo en ninguna fórmula de este pliego.</w:t>
            </w:r>
          </w:p>
        </w:tc>
      </w:tr>
    </w:tbl>
    <w:p>
      <w:pPr>
        <w:spacing w:after="220"/>
      </w:pPr>
    </w:p>
    <w:p>
      <w:pPr>
        <w:spacing w:after="140" w:line="276"/>
      </w:pPr>
      <w:r>
        <w:rPr>
          <w:rFonts w:ascii="Calibri" w:cs="Calibri" w:eastAsia="Calibri" w:hAnsi="Calibri"/>
          <w:b/>
          <w:bCs/>
          <w:sz w:val="21"/>
          <w:szCs w:val="21"/>
        </w:rPr>
        <w:t xml:space="preserve">ADM-7.2 · Baremo modelo. Variante A: procedimiento abierto (artículo 156 LCSP).</w:t>
      </w:r>
    </w:p>
    <w:p>
      <w:pPr>
        <w:spacing w:after="140" w:line="276"/>
      </w:pPr>
      <w:r>
        <w:rPr>
          <w:rFonts w:ascii="Calibri" w:cs="Calibri" w:eastAsia="Calibri" w:hAnsi="Calibri"/>
          <w:sz w:val="21"/>
          <w:szCs w:val="21"/>
        </w:rPr>
        <w:t xml:space="preserve">Ejemplo completo trabajado sobre un contrato de servicios de mantenimiento, evolución y soporte de la aplicación de contabilidad y patrimonio. </w:t>
      </w:r>
      <w:r>
        <w:rPr>
          <w:rFonts w:ascii="Calibri" w:cs="Calibri" w:eastAsia="Calibri" w:hAnsi="Calibri"/>
          <w:b/>
          <w:bCs/>
          <w:sz w:val="21"/>
          <w:szCs w:val="21"/>
        </w:rPr>
        <w:t xml:space="preserve">Es el mismo contrato de ejemplo que emplea la aplicación piloto de la Parte VI, con sus mismas cifras</w:t>
      </w:r>
      <w:r>
        <w:rPr>
          <w:rFonts w:ascii="Calibri" w:cs="Calibri" w:eastAsia="Calibri" w:hAnsi="Calibri"/>
          <w:sz w:val="21"/>
          <w:szCs w:val="21"/>
        </w:rPr>
        <w:t xml:space="preserve">, para que no existan dos baremos modelo distintos para el mismo objeto: presupuesto base de licitación del servicio 240.000 euros (IVA excluido) para dos años, a razón de 120.000 euros anuales, más una bolsa de servicios evolutivos de 12.000 euros —el 5 por ciento de esa misma base, calculada conforme a ADM-3·v3, bloque 2, apartado 5— que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lo sitúa en </w:t>
      </w:r>
      <w:r>
        <w:rPr>
          <w:rFonts w:ascii="Calibri" w:cs="Calibri" w:eastAsia="Calibri" w:hAnsi="Calibri"/>
          <w:b/>
          <w:bCs/>
          <w:sz w:val="21"/>
          <w:szCs w:val="21"/>
        </w:rPr>
        <w:t xml:space="preserve">252.000 euros</w:t>
      </w:r>
      <w:r>
        <w:rPr>
          <w:rFonts w:ascii="Calibri" w:cs="Calibri" w:eastAsia="Calibri" w:hAnsi="Calibri"/>
          <w:sz w:val="21"/>
          <w:szCs w:val="21"/>
        </w:rPr>
        <w:t xml:space="preserve">; prórroga prevista de dos años en las mismas condiciones, 252.000 euros, con la bolsa dotada en la misma proporción; </w:t>
      </w:r>
      <w:r>
        <w:rPr>
          <w:rFonts w:ascii="Calibri" w:cs="Calibri" w:eastAsia="Calibri" w:hAnsi="Calibri"/>
          <w:b/>
          <w:bCs/>
          <w:sz w:val="21"/>
          <w:szCs w:val="21"/>
        </w:rPr>
        <w:t xml:space="preserve">valor estimado 504.000 euros</w:t>
      </w:r>
      <w:r>
        <w:rPr>
          <w:rFonts w:ascii="Calibri" w:cs="Calibri" w:eastAsia="Calibri" w:hAnsi="Calibri"/>
          <w:sz w:val="21"/>
          <w:szCs w:val="21"/>
        </w:rPr>
        <w:t xml:space="preserve">; sin reserva de modificación. Al superar el umbral de regulación armonizada, el contrato se publica en el Diario Oficial de la Unión Europea, los pliegos son directamente recurribles y no cabe el procedimiento abierto simplificado.</w:t>
      </w:r>
    </w:p>
    <w:p>
      <w:pPr>
        <w:spacing w:after="140" w:line="276"/>
      </w:pPr>
      <w:r>
        <w:rPr>
          <w:rFonts w:ascii="Calibri" w:cs="Calibri" w:eastAsia="Calibri" w:hAnsi="Calibri"/>
          <w:sz w:val="21"/>
          <w:szCs w:val="21"/>
        </w:rPr>
        <w:t xml:space="preserve">Los códigos de criterio de este baremo (</w:t>
      </w:r>
      <w:r>
        <w:rPr>
          <w:rFonts w:ascii="Calibri" w:cs="Calibri" w:eastAsia="Calibri" w:hAnsi="Calibri"/>
          <w:color w:val="2F5496"/>
          <w:sz w:val="21"/>
          <w:szCs w:val="21"/>
        </w:rPr>
        <w:t xml:space="preserve">P · C1 · C2 · C3 · C4 · A · B · D · E · F · H</w:t>
      </w:r>
      <w:r>
        <w:rPr>
          <w:rFonts w:ascii="Calibri" w:cs="Calibri" w:eastAsia="Calibri" w:hAnsi="Calibri"/>
          <w:sz w:val="21"/>
          <w:szCs w:val="21"/>
        </w:rPr>
        <w:t xml:space="preserve">) son los que emplean el Cuadro Maestro del Anexo I, la tabla de dependencias del Anexo VI y la aplicación piloto de la Parte VI. Es </w:t>
      </w:r>
      <w:r>
        <w:rPr>
          <w:rFonts w:ascii="Calibri" w:cs="Calibri" w:eastAsia="Calibri" w:hAnsi="Calibri"/>
          <w:b/>
          <w:bCs/>
          <w:sz w:val="21"/>
          <w:szCs w:val="21"/>
        </w:rPr>
        <w:t xml:space="preserve">la única serie del catálogo</w:t>
      </w:r>
      <w:r>
        <w:rPr>
          <w:rFonts w:ascii="Calibri" w:cs="Calibri" w:eastAsia="Calibri" w:hAnsi="Calibri"/>
          <w:sz w:val="21"/>
          <w:szCs w:val="21"/>
        </w:rPr>
        <w:t xml:space="preserve">: no existe ninguna otra.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comprobación efectiva (art. 145.5.c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del servicio.</w:t>
                  </w:r>
                  <w:r>
                    <w:rPr>
                      <w:rFonts w:ascii="Calibri" w:cs="Calibri" w:eastAsia="Calibri" w:hAnsi="Calibri"/>
                      <w:b w:val="false"/>
                      <w:bCs w:val="false"/>
                      <w:sz w:val="18"/>
                      <w:szCs w:val="18"/>
                    </w:rPr>
                    <w:t xml:space="preserve"> Baja sobre el presupuesto base de licitación, con la fórmula publicada en el apartado [ ] de este pliego y el tratamiento de las ofertas anormalmente bajas del artículo 149 de la LCSP y del apartado [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económica, modelo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Cobertura funcional comprometida</w:t>
                  </w:r>
                  <w:r>
                    <w:rPr>
                      <w:rFonts w:ascii="Calibri" w:cs="Calibri" w:eastAsia="Calibri" w:hAnsi="Calibri"/>
                      <w:b w:val="false"/>
                      <w:bCs w:val="false"/>
                      <w:sz w:val="18"/>
                      <w:szCs w:val="18"/>
                    </w:rPr>
                    <w:t xml:space="preserve"> sobre la relación cerrada de requisitos del pliego de prescripciones técnicas, contando únicamente los requisitos identificados como «valorables» en dicha relación que el licitador se compromete a tener operativos en el plazo fijado en dicho pliego. </w:t>
                  </w:r>
                  <w:r>
                    <w:rPr>
                      <w:rFonts w:ascii="Calibri" w:cs="Calibri" w:eastAsia="Calibri" w:hAnsi="Calibri"/>
                      <w:b/>
                      <w:bCs/>
                      <w:sz w:val="18"/>
                      <w:szCs w:val="18"/>
                    </w:rPr>
                    <w:t xml:space="preserve">Es indiferente que el requisito lo cubra la solución ofertada desde su entrega inicial o que se cubra mediante desarrollo dentro de ese plazo</w:t>
                  </w:r>
                  <w:r>
                    <w:rPr>
                      <w:rFonts w:ascii="Calibri" w:cs="Calibri" w:eastAsia="Calibri" w:hAnsi="Calibri"/>
                      <w:b w:val="false"/>
                      <w:bCs w:val="false"/>
                      <w:sz w:val="18"/>
                      <w:szCs w:val="18"/>
                    </w:rPr>
                    <w:t xml:space="preserve">: se valora el compromiso, no la disponibilidad a la fecha de la oferta (apartado 2 de la cláusula anterior). Los requisitos identificados como «mínimos obligatorios» no puntúan. Umbrales publicados en el apartado [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la matriz de requisitos del Anexo [ ] de este pliego, presentada en el sobre de criterios evaluables mediante fórmulas y verificable conforme a la cláusula [ADM-9], apartado 5, párrafo segundo; la cobertura comprometida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implantación y migración de datos</w:t>
                  </w:r>
                  <w:r>
                    <w:rPr>
                      <w:rFonts w:ascii="Calibri" w:cs="Calibri" w:eastAsia="Calibri" w:hAnsi="Calibri"/>
                      <w:b w:val="false"/>
                      <w:bCs w:val="false"/>
                      <w:sz w:val="18"/>
                      <w:szCs w:val="18"/>
                    </w:rPr>
                    <w:t xml:space="preserve">: migración de los ejercicios históricos, plan de pruebas y plan de vuelta atrás, valorados conforme a la rúbrica con descriptores por tramos publicada en el Anexo [ ] de este pliego. El plan es obligatorio conforme al pliego de prescripciones técnicas; se valora únicamente su contenido por encima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Niveles de servicio ofertados por encima del mínimo del pliego de prescripciones técnicas</w:t>
                  </w:r>
                  <w:r>
                    <w:rPr>
                      <w:rFonts w:ascii="Calibri" w:cs="Calibri" w:eastAsia="Calibri" w:hAnsi="Calibri"/>
                      <w:b w:val="false"/>
                      <w:bCs w:val="false"/>
                      <w:sz w:val="18"/>
                      <w:szCs w:val="18"/>
                    </w:rPr>
                    <w:t xml:space="preserve">: tiempo máximo de respuesta y tiempo máximo de resolución de incidencias críticas, en horas por debajo del máximo exigido.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los niveles ofertados se incorporan al contrato y se penalizan conforme a la cláusula [ADM-5]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formación y acompañamiento</w:t>
                  </w:r>
                  <w:r>
                    <w:rPr>
                      <w:rFonts w:ascii="Calibri" w:cs="Calibri" w:eastAsia="Calibri" w:hAnsi="Calibri"/>
                      <w:b w:val="false"/>
                      <w:bCs w:val="false"/>
                      <w:sz w:val="18"/>
                      <w:szCs w:val="18"/>
                    </w:rPr>
                    <w:t xml:space="preserve"> al personal de los servicios de Intervención, Tesorería y Contabilidad, valorado conforme a la rúbrica con descriptores por tramos publicada en el Anexo [ ] de este pliego, y por encima de las horas mínimas exigidas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Alcance funcional adicional de la interfaz normalizada de acceso programático</w:t>
                  </w:r>
                  <w:r>
                    <w:rPr>
                      <w:rFonts w:ascii="Calibri" w:cs="Calibri" w:eastAsia="Calibri" w:hAnsi="Calibri"/>
                      <w:b w:val="false"/>
                      <w:bCs w:val="false"/>
                      <w:sz w:val="18"/>
                      <w:szCs w:val="18"/>
                    </w:rPr>
                    <w:t xml:space="preserve">, sobre la relación cerrada y numerada de módulos y funciones contenida en 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pliego de prescripciones técnicas, contando únicamente las funciones y conjuntos de datos del bloque de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el licitador se compromete a exponer por encima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relacionadas en ese mismo bloque. No se computa ninguna función que no figure en esa relación, que es la única del pliego sobre esta interfaz.</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y verificable conforme a la cláusula [ADM-9], apartado 5, párrafo segundo; el alcance comprometido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Plazo ofertado de puesta en producción de la interfaz</w:t>
                  </w:r>
                  <w:r>
                    <w:rPr>
                      <w:rFonts w:ascii="Calibri" w:cs="Calibri" w:eastAsia="Calibri" w:hAnsi="Calibri"/>
                      <w:b w:val="false"/>
                      <w:bCs w:val="false"/>
                      <w:sz w:val="18"/>
                      <w:szCs w:val="18"/>
                    </w:rPr>
                    <w:t xml:space="preserve">, en meses por debajo del máximo de </w:t>
                  </w:r>
                  <w:r>
                    <w:rPr>
                      <w:rFonts w:ascii="Calibri" w:cs="Calibri" w:eastAsia="Calibri" w:hAnsi="Calibri"/>
                      <w:b/>
                      <w:bCs/>
                      <w:sz w:val="18"/>
                      <w:szCs w:val="18"/>
                    </w:rPr>
                    <w:t xml:space="preserve">[X; se recomienda 12] meses</w:t>
                  </w:r>
                  <w:r>
                    <w:rPr>
                      <w:rFonts w:ascii="Calibri" w:cs="Calibri" w:eastAsia="Calibri" w:hAnsi="Calibri"/>
                      <w:b w:val="false"/>
                      <w:bCs w:val="false"/>
                      <w:sz w:val="18"/>
                      <w:szCs w:val="18"/>
                    </w:rPr>
                    <w:t xml:space="preserve"> fijado en el pliego de prescripciones técnicas, con </w:t>
                  </w:r>
                  <w:r>
                    <w:rPr>
                      <w:rFonts w:ascii="Calibri" w:cs="Calibri" w:eastAsia="Calibri" w:hAnsi="Calibri"/>
                      <w:b/>
                      <w:bCs/>
                      <w:sz w:val="18"/>
                      <w:szCs w:val="18"/>
                    </w:rPr>
                    <w:t xml:space="preserve">suelo en [X; se recomienda 6] meses</w:t>
                  </w:r>
                  <w:r>
                    <w:rPr>
                      <w:rFonts w:ascii="Calibri" w:cs="Calibri" w:eastAsia="Calibri" w:hAnsi="Calibri"/>
                      <w:b w:val="false"/>
                      <w:bCs w:val="false"/>
                      <w:sz w:val="18"/>
                      <w:szCs w:val="18"/>
                    </w:rPr>
                    <w:t xml:space="preserve">: por debajo de ese suelo no se atribuye puntuación adicional.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el plazo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Tratamiento del caso de uso municipal publicado.</w:t>
                  </w:r>
                  <w:r>
                    <w:rPr>
                      <w:rFonts w:ascii="Calibri" w:cs="Calibri" w:eastAsia="Calibri" w:hAnsi="Calibri"/>
                      <w:b w:val="false"/>
                      <w:bCs w:val="false"/>
                      <w:sz w:val="18"/>
                      <w:szCs w:val="18"/>
                    </w:rPr>
                    <w:t xml:space="preserve"> Descripción, en la memoria técnica presentada en plazo, de cómo la solución ofertada resuelve las tareas del caso de uso único publicado en este pliego, valorada conforme a la rúbrica del Anexo [ ] de este pliego. </w:t>
                  </w:r>
                  <w:r>
                    <w:rPr>
                      <w:rFonts w:ascii="Calibri" w:cs="Calibri" w:eastAsia="Calibri" w:hAnsi="Calibri"/>
                      <w:b/>
                      <w:bCs/>
                      <w:sz w:val="18"/>
                      <w:szCs w:val="18"/>
                    </w:rPr>
                    <w:t xml:space="preserve">Se valora lo descrito por escrito, no el desempeño en sala.</w:t>
                  </w:r>
                  <w:r>
                    <w:rPr>
                      <w:rFonts w:ascii="Calibri" w:cs="Calibri" w:eastAsia="Calibri" w:hAnsi="Calibri"/>
                      <w:b w:val="false"/>
                      <w:bCs w:val="false"/>
                      <w:sz w:val="18"/>
                      <w:szCs w:val="18"/>
                    </w:rPr>
                    <w:t xml:space="preserve"> La demostración funcional de la cláusula [ADM-9] confirma o retira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 y acta de la sesión de comprobación de la cláusula [ADM-9]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gobernanza de la inteligencia artificial aplicado a este contrato</w:t>
                  </w:r>
                  <w:r>
                    <w:rPr>
                      <w:rFonts w:ascii="Calibri" w:cs="Calibri" w:eastAsia="Calibri" w:hAnsi="Calibri"/>
                      <w:b w:val="false"/>
                      <w:bCs w:val="false"/>
                      <w:sz w:val="18"/>
                      <w:szCs w:val="18"/>
                    </w:rPr>
                    <w:t xml:space="preserve">: supervisión humana sobre las operaciones que afecten a derechos, gestión de riesgos sobre los datos municipales tratados, registro y trazabilidad, e información periódica al Ayuntamiento y al órgano interventor. No se valora la tenencia de certificación alguna ni el cumplimiento del Reglamento (UE) 2024/1689 en su redacción vigente, que es obligación legal exigida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unitario ponderado del Cuadro de Precios Unitarios.</w:t>
                  </w:r>
                  <w:r>
                    <w:rPr>
                      <w:rFonts w:ascii="Calibri" w:cs="Calibri" w:eastAsia="Calibri" w:hAnsi="Calibri"/>
                      <w:b w:val="false"/>
                      <w:bCs w:val="false"/>
                      <w:sz w:val="18"/>
                      <w:szCs w:val="18"/>
                    </w:rPr>
                    <w:t xml:space="preserve"> Precio/hora ofertado por cada uno de los </w:t>
                  </w:r>
                  <w:r>
                    <w:rPr>
                      <w:rFonts w:ascii="Calibri" w:cs="Calibri" w:eastAsia="Calibri" w:hAnsi="Calibri"/>
                      <w:b/>
                      <w:bCs/>
                      <w:sz w:val="18"/>
                      <w:szCs w:val="18"/>
                    </w:rPr>
                    <w:t xml:space="preserve">[X; se recomienda 5]</w:t>
                  </w:r>
                  <w:r>
                    <w:rPr>
                      <w:rFonts w:ascii="Calibri" w:cs="Calibri" w:eastAsia="Calibri" w:hAnsi="Calibri"/>
                      <w:b w:val="false"/>
                      <w:bCs w:val="false"/>
                      <w:sz w:val="18"/>
                      <w:szCs w:val="18"/>
                    </w:rPr>
                    <w:t xml:space="preserve"> perfiles profesionales de la relación cerrada del Anexo [ ] de este pliego, ponderados según la cesta de consumo publicada.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Precios Unitarios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automatizados adicionales</w:t>
                  </w:r>
                  <w:r>
                    <w:rPr>
                      <w:rFonts w:ascii="Calibri" w:cs="Calibri" w:eastAsia="Calibri" w:hAnsi="Calibri"/>
                      <w:b w:val="false"/>
                      <w:bCs w:val="false"/>
                      <w:sz w:val="18"/>
                      <w:szCs w:val="18"/>
                    </w:rPr>
                    <w:t xml:space="preserve">, sobre la relación cerrada y numerada de procesos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pliego de prescripciones técnicas, contando únicamente los que excedan del mínimo obligatorio allí fijado.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y verificable conforme a la cláusula [ADM-9], apartado 5, párrafo segundo; los procesos comprometidos se incorporan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tc>
      </w:tr>
    </w:tbl>
    <w:p>
      <w:pPr>
        <w:spacing w:after="220"/>
      </w:pPr>
    </w:p>
    <w:p>
      <w:pPr>
        <w:spacing w:after="140" w:line="276"/>
      </w:pPr>
      <w:r>
        <w:rPr>
          <w:rFonts w:ascii="Calibri" w:cs="Calibri" w:eastAsia="Calibri" w:hAnsi="Calibri"/>
          <w:sz w:val="21"/>
          <w:szCs w:val="21"/>
        </w:rPr>
        <w:t xml:space="preserve">Reparto resultante, que es el que la hoja de comprobación de ADM-7.5 verifica: criterios evaluables mediante fórmula, </w:t>
      </w:r>
      <w:r>
        <w:rPr>
          <w:rFonts w:ascii="Calibri" w:cs="Calibri" w:eastAsia="Calibri" w:hAnsi="Calibri"/>
          <w:b/>
          <w:bCs/>
          <w:sz w:val="21"/>
          <w:szCs w:val="21"/>
        </w:rPr>
        <w:t xml:space="preserve">76 puntos (76 %)</w:t>
      </w:r>
      <w:r>
        <w:rPr>
          <w:rFonts w:ascii="Calibri" w:cs="Calibri" w:eastAsia="Calibri" w:hAnsi="Calibri"/>
          <w:sz w:val="21"/>
          <w:szCs w:val="21"/>
        </w:rPr>
        <w:t xml:space="preserve">; criterios sujetos a juicio de valor, </w:t>
      </w:r>
      <w:r>
        <w:rPr>
          <w:rFonts w:ascii="Calibri" w:cs="Calibri" w:eastAsia="Calibri" w:hAnsi="Calibri"/>
          <w:b/>
          <w:bCs/>
          <w:sz w:val="21"/>
          <w:szCs w:val="21"/>
        </w:rPr>
        <w:t xml:space="preserve">24 puntos (24 %)</w:t>
      </w:r>
      <w:r>
        <w:rPr>
          <w:rFonts w:ascii="Calibri" w:cs="Calibri" w:eastAsia="Calibri" w:hAnsi="Calibri"/>
          <w:sz w:val="21"/>
          <w:szCs w:val="21"/>
        </w:rPr>
        <w:t xml:space="preserve">, luego no procede el comité de expertos del art. 146.2.a) LCSP y el baremo cabe en el procedimiento abierto simplificado si el valor estimado lo permite. Bloque «Innovación y tecnología» (A, B, E y H): </w:t>
      </w:r>
      <w:r>
        <w:rPr>
          <w:rFonts w:ascii="Calibri" w:cs="Calibri" w:eastAsia="Calibri" w:hAnsi="Calibri"/>
          <w:b/>
          <w:bCs/>
          <w:sz w:val="21"/>
          <w:szCs w:val="21"/>
        </w:rPr>
        <w:t xml:space="preserve">22 puntos (22 %)</w:t>
      </w:r>
      <w:r>
        <w:rPr>
          <w:rFonts w:ascii="Calibri" w:cs="Calibri" w:eastAsia="Calibri" w:hAnsi="Calibri"/>
          <w:sz w:val="21"/>
          <w:szCs w:val="21"/>
        </w:rPr>
        <w:t xml:space="preserve">. Criterios relacionados con la calidad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w:t>
      </w:r>
      <w:r>
        <w:rPr>
          <w:rFonts w:ascii="Calibri" w:cs="Calibri" w:eastAsia="Calibri" w:hAnsi="Calibri"/>
          <w:b/>
          <w:bCs/>
          <w:sz w:val="21"/>
          <w:szCs w:val="21"/>
        </w:rPr>
        <w:t xml:space="preserve">55 puntos (55 %)</w:t>
      </w:r>
      <w:r>
        <w:rPr>
          <w:rFonts w:ascii="Calibri" w:cs="Calibri" w:eastAsia="Calibri" w:hAnsi="Calibri"/>
          <w:sz w:val="21"/>
          <w:szCs w:val="21"/>
        </w:rPr>
        <w:t xml:space="preserve">, con lo que se cumple el 51 por ciento del art. 145.4 LCSP tanto si el contrato se califica de prestación de carácter intelectual como si no.</w:t>
      </w:r>
    </w:p>
    <w:p>
      <w:pPr>
        <w:spacing w:after="140" w:line="276"/>
      </w:pPr>
      <w:r>
        <w:rPr>
          <w:rFonts w:ascii="Calibri" w:cs="Calibri" w:eastAsia="Calibri" w:hAnsi="Calibri"/>
          <w:b/>
          <w:bCs/>
          <w:sz w:val="21"/>
          <w:szCs w:val="21"/>
        </w:rPr>
        <w:t xml:space="preserve">Cuatro advertencias que acompañan siempre a esta tabla:</w:t>
      </w:r>
    </w:p>
    <w:p>
      <w:pPr>
        <w:pStyle w:val="ListParagraph"/>
        <w:numPr>
          <w:ilvl w:val="0"/>
          <w:numId w:val="1"/>
        </w:numPr>
        <w:spacing w:after="70" w:line="268"/>
      </w:pPr>
      <w:r>
        <w:rPr>
          <w:rFonts w:ascii="Calibri" w:cs="Calibri" w:eastAsia="Calibri" w:hAnsi="Calibri"/>
          <w:b/>
          <w:bCs/>
          <w:sz w:val="21"/>
          <w:szCs w:val="21"/>
        </w:rPr>
        <w:t xml:space="preserve">Ofertas anormalmente bajas: 45 de los 100 puntos son precio (P 40 + F 5), y sin ellas el baremo queda indefenso.</w:t>
      </w:r>
      <w:r>
        <w:rPr>
          <w:rFonts w:ascii="Calibri" w:cs="Calibri" w:eastAsia="Calibri" w:hAnsi="Calibri"/>
          <w:sz w:val="21"/>
          <w:szCs w:val="21"/>
        </w:rPr>
        <w:t xml:space="preserve"> El apartado 7 de ADM-7.1 obliga a publicar los parámetros objetivos, a resolver el trámite del art. 149 LCSP antes de puntuar y a excluir la oferta rechazada de la referencia de cálculo. </w:t>
      </w:r>
      <w:r>
        <w:rPr>
          <w:rFonts w:ascii="Calibri" w:cs="Calibri" w:eastAsia="Calibri" w:hAnsi="Calibri"/>
          <w:b/>
          <w:bCs/>
          <w:sz w:val="21"/>
          <w:szCs w:val="21"/>
        </w:rPr>
        <w:t xml:space="preserve">El desarrollo completo —con las tres reglas de redacción y la advertencia sobre los parámetros supletorios— está en el Anexo XVII, apartado 5, y es el que se copia al pliego.</w:t>
      </w:r>
      <w:r>
        <w:rPr>
          <w:rFonts w:ascii="Calibri" w:cs="Calibri" w:eastAsia="Calibri" w:hAnsi="Calibri"/>
          <w:sz w:val="21"/>
          <w:szCs w:val="21"/>
        </w:rPr>
        <w:t xml:space="preserve"> No se redacta este baremo sin pasar por él: es el único punto en que una fórmula bien construida puede adjudicar a una oferta inviable.</w:t>
      </w:r>
    </w:p>
    <w:p>
      <w:pPr>
        <w:pStyle w:val="ListParagraph"/>
        <w:numPr>
          <w:ilvl w:val="0"/>
          <w:numId w:val="1"/>
        </w:numPr>
        <w:spacing w:after="70" w:line="268"/>
      </w:pPr>
      <w:r>
        <w:rPr>
          <w:rFonts w:ascii="Calibri" w:cs="Calibri" w:eastAsia="Calibri" w:hAnsi="Calibri"/>
          <w:b/>
          <w:bCs/>
          <w:sz w:val="21"/>
          <w:szCs w:val="21"/>
        </w:rPr>
        <w:t xml:space="preserve">Incompatibilidad con las esencialidades del bloque B.2 de ADM-6·v3.</w:t>
      </w:r>
      <w:r>
        <w:rPr>
          <w:rFonts w:ascii="Calibri" w:cs="Calibri" w:eastAsia="Calibri" w:hAnsi="Calibri"/>
          <w:sz w:val="21"/>
          <w:szCs w:val="21"/>
        </w:rPr>
        <w:t xml:space="preserve"> Si se marcan los criterios </w:t>
      </w:r>
      <w:r>
        <w:rPr>
          <w:rFonts w:ascii="Calibri" w:cs="Calibri" w:eastAsia="Calibri" w:hAnsi="Calibri"/>
          <w:b/>
          <w:bCs/>
          <w:sz w:val="21"/>
          <w:szCs w:val="21"/>
        </w:rPr>
        <w:t xml:space="preserve">A</w:t>
      </w:r>
      <w:r>
        <w:rPr>
          <w:rFonts w:ascii="Calibri" w:cs="Calibri" w:eastAsia="Calibri" w:hAnsi="Calibri"/>
          <w:sz w:val="21"/>
          <w:szCs w:val="21"/>
        </w:rPr>
        <w:t xml:space="preserve"> o </w:t>
      </w:r>
      <w:r>
        <w:rPr>
          <w:rFonts w:ascii="Calibri" w:cs="Calibri" w:eastAsia="Calibri" w:hAnsi="Calibri"/>
          <w:b/>
          <w:bCs/>
          <w:sz w:val="21"/>
          <w:szCs w:val="21"/>
        </w:rPr>
        <w:t xml:space="preserve">B</w:t>
      </w:r>
      <w:r>
        <w:rPr>
          <w:rFonts w:ascii="Calibri" w:cs="Calibri" w:eastAsia="Calibri" w:hAnsi="Calibri"/>
          <w:sz w:val="21"/>
          <w:szCs w:val="21"/>
        </w:rPr>
        <w:t xml:space="preserve">, no se marcan las letras e) y g) del bloque B de la cláusula ADM-6·v3 sobre el alcance o el plazo </w:t>
      </w:r>
      <w:r>
        <w:rPr>
          <w:rFonts w:ascii="Calibri" w:cs="Calibri" w:eastAsia="Calibri" w:hAnsi="Calibri"/>
          <w:b/>
          <w:bCs/>
          <w:sz w:val="21"/>
          <w:szCs w:val="21"/>
        </w:rPr>
        <w:t xml:space="preserve">ofertados</w:t>
      </w:r>
      <w:r>
        <w:rPr>
          <w:rFonts w:ascii="Calibri" w:cs="Calibri" w:eastAsia="Calibri" w:hAnsi="Calibri"/>
          <w:sz w:val="21"/>
          <w:szCs w:val="21"/>
        </w:rPr>
        <w:t xml:space="preserve">: acumular sobre el mismo elemento un premio en el baremo y una causa de resolución es lo que la propia ADM-6·v3 declara incompatible. La esencialidad, si se conserva, se acota al </w:t>
      </w:r>
      <w:r>
        <w:rPr>
          <w:rFonts w:ascii="Calibri" w:cs="Calibri" w:eastAsia="Calibri" w:hAnsi="Calibri"/>
          <w:b/>
          <w:bCs/>
          <w:sz w:val="21"/>
          <w:szCs w:val="21"/>
        </w:rPr>
        <w:t xml:space="preserve">mínimo fijado en el pliego de prescripciones técnicas</w:t>
      </w:r>
      <w:r>
        <w:rPr>
          <w:rFonts w:ascii="Calibri" w:cs="Calibri" w:eastAsia="Calibri" w:hAnsi="Calibri"/>
          <w:sz w:val="21"/>
          <w:szCs w:val="21"/>
        </w:rPr>
        <w:t xml:space="preserve">, nunca al exceso ofertado.</w:t>
      </w:r>
    </w:p>
    <w:p>
      <w:pPr>
        <w:pStyle w:val="ListParagraph"/>
        <w:numPr>
          <w:ilvl w:val="0"/>
          <w:numId w:val="1"/>
        </w:numPr>
        <w:spacing w:after="70" w:line="268"/>
      </w:pPr>
      <w:r>
        <w:rPr>
          <w:rFonts w:ascii="Calibri" w:cs="Calibri" w:eastAsia="Calibri" w:hAnsi="Calibri"/>
          <w:b/>
          <w:bCs/>
          <w:sz w:val="21"/>
          <w:szCs w:val="21"/>
        </w:rPr>
        <w:t xml:space="preserve">Los criterios B, C1 y A reflejan indirectamente la disponibilidad previa</w:t>
      </w:r>
      <w:r>
        <w:rPr>
          <w:rFonts w:ascii="Calibri" w:cs="Calibri" w:eastAsia="Calibri" w:hAnsi="Calibri"/>
          <w:sz w:val="21"/>
          <w:szCs w:val="21"/>
        </w:rPr>
        <w:t xml:space="preserve">, y conviene decirlo por escrito en lugar de negarlo. En el criterio </w:t>
      </w:r>
      <w:r>
        <w:rPr>
          <w:rFonts w:ascii="Calibri" w:cs="Calibri" w:eastAsia="Calibri" w:hAnsi="Calibri"/>
          <w:b/>
          <w:bCs/>
          <w:sz w:val="21"/>
          <w:szCs w:val="21"/>
        </w:rPr>
        <w:t xml:space="preserve">B</w:t>
      </w:r>
      <w:r>
        <w:rPr>
          <w:rFonts w:ascii="Calibri" w:cs="Calibri" w:eastAsia="Calibri" w:hAnsi="Calibri"/>
          <w:sz w:val="21"/>
          <w:szCs w:val="21"/>
        </w:rPr>
        <w:t xml:space="preserve">, quien ya tiene la interfaz puede ofertar el plazo mínimo; por eso lleva </w:t>
      </w:r>
      <w:r>
        <w:rPr>
          <w:rFonts w:ascii="Calibri" w:cs="Calibri" w:eastAsia="Calibri" w:hAnsi="Calibri"/>
          <w:b/>
          <w:bCs/>
          <w:sz w:val="21"/>
          <w:szCs w:val="21"/>
        </w:rPr>
        <w:t xml:space="preserve">suelo</w:t>
      </w:r>
      <w:r>
        <w:rPr>
          <w:rFonts w:ascii="Calibri" w:cs="Calibri" w:eastAsia="Calibri" w:hAnsi="Calibri"/>
          <w:sz w:val="21"/>
          <w:szCs w:val="21"/>
        </w:rPr>
        <w:t xml:space="preserve"> —por debajo de </w:t>
      </w:r>
      <w:r>
        <w:rPr>
          <w:rFonts w:ascii="Calibri" w:cs="Calibri" w:eastAsia="Calibri" w:hAnsi="Calibri"/>
          <w:b/>
          <w:bCs/>
          <w:sz w:val="21"/>
          <w:szCs w:val="21"/>
        </w:rPr>
        <w:t xml:space="preserve">[X; se recomienda 6] meses</w:t>
      </w:r>
      <w:r>
        <w:rPr>
          <w:rFonts w:ascii="Calibri" w:cs="Calibri" w:eastAsia="Calibri" w:hAnsi="Calibri"/>
          <w:sz w:val="21"/>
          <w:szCs w:val="21"/>
        </w:rPr>
        <w:t xml:space="preserve"> no se puntúa más—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los criterios </w:t>
      </w:r>
      <w:r>
        <w:rPr>
          <w:rFonts w:ascii="Calibri" w:cs="Calibri" w:eastAsia="Calibri" w:hAnsi="Calibri"/>
          <w:b/>
          <w:bCs/>
          <w:sz w:val="21"/>
          <w:szCs w:val="21"/>
        </w:rPr>
        <w:t xml:space="preserve">C1</w:t>
      </w:r>
      <w:r>
        <w:rPr>
          <w:rFonts w:ascii="Calibri" w:cs="Calibri" w:eastAsia="Calibri" w:hAnsi="Calibri"/>
          <w:sz w:val="21"/>
          <w:szCs w:val="21"/>
        </w:rPr>
        <w:t xml:space="preserve"> y </w:t>
      </w:r>
      <w:r>
        <w:rPr>
          <w:rFonts w:ascii="Calibri" w:cs="Calibri" w:eastAsia="Calibri" w:hAnsi="Calibri"/>
          <w:b/>
          <w:bCs/>
          <w:sz w:val="21"/>
          <w:szCs w:val="21"/>
        </w:rPr>
        <w:t xml:space="preserve">A</w:t>
      </w:r>
      <w:r>
        <w:rPr>
          <w:rFonts w:ascii="Calibri" w:cs="Calibri" w:eastAsia="Calibri" w:hAnsi="Calibri"/>
          <w:sz w:val="21"/>
          <w:szCs w:val="21"/>
        </w:rPr>
        <w:t xml:space="preserve">, quien ya trae la funcionalidad hecha la compromete sin asumir coste de desarrollo; la acotación aquí es distinta y opera en el enunciado del propio criterio: se valora </w:t>
      </w:r>
      <w:r>
        <w:rPr>
          <w:rFonts w:ascii="Calibri" w:cs="Calibri" w:eastAsia="Calibri" w:hAnsi="Calibri"/>
          <w:b/>
          <w:bCs/>
          <w:sz w:val="21"/>
          <w:szCs w:val="21"/>
        </w:rPr>
        <w:t xml:space="preserve">cobertura comprometida dentro del plazo del contrato</w:t>
      </w:r>
      <w:r>
        <w:rPr>
          <w:rFonts w:ascii="Calibri" w:cs="Calibri" w:eastAsia="Calibri" w:hAnsi="Calibri"/>
          <w:sz w:val="21"/>
          <w:szCs w:val="21"/>
        </w:rPr>
        <w:t xml:space="preserve">, no cobertura disponible el día de ofertar, de modo que el licitador que se obligue a desarrollarla puntúa igual, y el compromiso se incorpora al contrato y se penaliza si no se cumple. En los tres casos lo valorado es una cualidad de la prestación —qué hará el sistema y cuándo estará disponible para el Ayuntamiento—, no una característica de la empresa, que es el terreno del artículo 40.b) LCSP.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Criterios A y H como mejoras.</w:t>
      </w:r>
      <w:r>
        <w:rPr>
          <w:rFonts w:ascii="Calibri" w:cs="Calibri" w:eastAsia="Calibri" w:hAnsi="Calibri"/>
          <w:sz w:val="21"/>
          <w:szCs w:val="21"/>
        </w:rPr>
        <w:t xml:space="preserve"> Ambos valoran prestaciones adicionales sobre una relación cerrada y numerada publicada en el pliego de prescripciones técnicas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valorarlos mediante juicio de valor, les sería aplicable el tope del 2,5 por ciento del art. 145.7 LCSP.</w:t>
      </w:r>
    </w:p>
    <w:p>
      <w:pPr>
        <w:spacing w:after="140" w:line="276"/>
      </w:pPr>
      <w:r>
        <w:rPr>
          <w:rFonts w:ascii="Calibri" w:cs="Calibri" w:eastAsia="Calibri" w:hAnsi="Calibri"/>
          <w:b/>
          <w:bCs/>
          <w:sz w:val="21"/>
          <w:szCs w:val="21"/>
        </w:rPr>
        <w:t xml:space="preserve">ADM-7.3 · Variante B: procedimiento abierto simplificado (artículo 159.1 LCSP).</w:t>
      </w:r>
    </w:p>
    <w:p>
      <w:pPr>
        <w:spacing w:after="140" w:line="276"/>
      </w:pPr>
      <w:r>
        <w:rPr>
          <w:rFonts w:ascii="Calibri" w:cs="Calibri" w:eastAsia="Calibri" w:hAnsi="Calibri"/>
          <w:sz w:val="21"/>
          <w:szCs w:val="21"/>
        </w:rPr>
        <w:t xml:space="preserve">Aplicable cuando el valor estimado no supere 100.000 euros en contratos de servicios y suministros (2.000.000 de euros en obras) y concurran los demás requisitos del artículo 159.1. </w:t>
      </w:r>
      <w:r>
        <w:rPr>
          <w:rFonts w:ascii="Calibri" w:cs="Calibri" w:eastAsia="Calibri" w:hAnsi="Calibri"/>
          <w:b/>
          <w:bCs/>
          <w:sz w:val="21"/>
          <w:szCs w:val="21"/>
        </w:rPr>
        <w:t xml:space="preserve">Con el valor estimado del contrato de ejemplo (504.000 euros) esta variante no es utilizable</w:t>
      </w:r>
      <w:r>
        <w:rPr>
          <w:rFonts w:ascii="Calibri" w:cs="Calibri" w:eastAsia="Calibri" w:hAnsi="Calibri"/>
          <w:sz w:val="21"/>
          <w:szCs w:val="21"/>
        </w:rPr>
        <w:t xml:space="preserve">: se ofrece para contratos situados por debajo del umbral del artículo 159.1.a). El límite que decide el diseño del baremo es el del artículo 159.1.b): </w:t>
      </w:r>
      <w:r>
        <w:rPr>
          <w:rFonts w:ascii="Calibri" w:cs="Calibri" w:eastAsia="Calibri" w:hAnsi="Calibri"/>
          <w:b/>
          <w:bCs/>
          <w:sz w:val="21"/>
          <w:szCs w:val="21"/>
        </w:rPr>
        <w:t xml:space="preserve">la ponderación de los criterios sujetos a juicio de valor no puede superar el 25 por ciento del total, o el 45 por ciento si el contrato tiene por objeto prestaciones de carácter intelectual</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w:t>
            </w:r>
          </w:p>
          <w:p>
            <w:pPr>
              <w:spacing w:after="100" w:line="264"/>
            </w:pPr>
            <w:r>
              <w:rPr>
                <w:rFonts w:ascii="Georgia" w:cs="Georgia" w:eastAsia="Georgia" w:hAnsi="Georgia"/>
                <w:sz w:val="20"/>
                <w:szCs w:val="20"/>
              </w:rPr>
              <w:t xml:space="preserve">Se aplica el baremo de la variante A con las siguientes reglas imperativas:</w:t>
            </w:r>
          </w:p>
          <w:p>
            <w:pPr>
              <w:pStyle w:val="ListParagraph"/>
              <w:numPr>
                <w:ilvl w:val="0"/>
                <w:numId w:val="2"/>
              </w:numPr>
              <w:spacing w:after="60" w:line="264"/>
            </w:pPr>
            <w:r>
              <w:rPr>
                <w:rFonts w:ascii="Georgia" w:cs="Georgia" w:eastAsia="Georgia" w:hAnsi="Georgia"/>
                <w:sz w:val="20"/>
                <w:szCs w:val="20"/>
              </w:rPr>
              <w:t xml:space="preserve">La suma de los criterios sujetos a juicio de valor no superará el </w:t>
            </w:r>
            <w:r>
              <w:rPr>
                <w:rFonts w:ascii="Georgia" w:cs="Georgia" w:eastAsia="Georgia" w:hAnsi="Georgia"/>
                <w:b/>
                <w:bCs/>
                <w:sz w:val="20"/>
                <w:szCs w:val="20"/>
              </w:rPr>
              <w:t xml:space="preserve">25 por ciento</w:t>
            </w:r>
            <w:r>
              <w:rPr>
                <w:rFonts w:ascii="Georgia" w:cs="Georgia" w:eastAsia="Georgia" w:hAnsi="Georgia"/>
                <w:sz w:val="20"/>
                <w:szCs w:val="20"/>
              </w:rPr>
              <w:t xml:space="preserve"> de la puntuación total, o el </w:t>
            </w:r>
            <w:r>
              <w:rPr>
                <w:rFonts w:ascii="Georgia" w:cs="Georgia" w:eastAsia="Georgia" w:hAnsi="Georgia"/>
                <w:b/>
                <w:bCs/>
                <w:sz w:val="20"/>
                <w:szCs w:val="20"/>
              </w:rPr>
              <w:t xml:space="preserve">45 por ciento</w:t>
            </w:r>
            <w:r>
              <w:rPr>
                <w:rFonts w:ascii="Georgia" w:cs="Georgia" w:eastAsia="Georgia" w:hAnsi="Georgia"/>
                <w:sz w:val="20"/>
                <w:szCs w:val="20"/>
              </w:rPr>
              <w:t xml:space="preserve"> cuando el expediente motive que el objeto del contrato son prestaciones de carácter intelectual (artículo 159.1.b LCSP).</w:t>
            </w:r>
          </w:p>
          <w:p>
            <w:pPr>
              <w:pStyle w:val="ListParagraph"/>
              <w:numPr>
                <w:ilvl w:val="0"/>
                <w:numId w:val="2"/>
              </w:numPr>
              <w:spacing w:after="60" w:line="264"/>
            </w:pPr>
            <w:r>
              <w:rPr>
                <w:rFonts w:ascii="Georgia" w:cs="Georgia" w:eastAsia="Georgia" w:hAnsi="Georgia"/>
                <w:sz w:val="20"/>
                <w:szCs w:val="20"/>
              </w:rPr>
              <w:t xml:space="preserve">El baremo de la variante A, con </w:t>
            </w:r>
            <w:r>
              <w:rPr>
                <w:rFonts w:ascii="Georgia" w:cs="Georgia" w:eastAsia="Georgia" w:hAnsi="Georgia"/>
                <w:b/>
                <w:bCs/>
                <w:sz w:val="20"/>
                <w:szCs w:val="20"/>
              </w:rPr>
              <w:t xml:space="preserve">24 puntos</w:t>
            </w:r>
            <w:r>
              <w:rPr>
                <w:rFonts w:ascii="Georgia" w:cs="Georgia" w:eastAsia="Georgia" w:hAnsi="Georgia"/>
                <w:sz w:val="20"/>
                <w:szCs w:val="20"/>
              </w:rPr>
              <w:t xml:space="preserve"> sujetos a juicio de valor, cabe en esta variante sin modificación alguna. Si el órgano de contratación altera las ponderaciones y el resultado supera el 25 por ciento, la reducción se practicará </w:t>
            </w:r>
            <w:r>
              <w:rPr>
                <w:rFonts w:ascii="Georgia" w:cs="Georgia" w:eastAsia="Georgia" w:hAnsi="Georgia"/>
                <w:b/>
                <w:bCs/>
                <w:sz w:val="20"/>
                <w:szCs w:val="20"/>
              </w:rPr>
              <w:t xml:space="preserve">antes de la publicación del anuncio</w:t>
            </w:r>
            <w:r>
              <w:rPr>
                <w:rFonts w:ascii="Georgia" w:cs="Georgia" w:eastAsia="Georgia" w:hAnsi="Georgia"/>
                <w:sz w:val="20"/>
                <w:szCs w:val="20"/>
              </w:rPr>
              <w:t xml:space="preserve"> y se documentará en la memoria de criterios, sin que quepa alteración alguna una vez publicados los pliegos.</w:t>
            </w:r>
          </w:p>
          <w:p>
            <w:pPr>
              <w:pStyle w:val="ListParagraph"/>
              <w:numPr>
                <w:ilvl w:val="0"/>
                <w:numId w:val="2"/>
              </w:numPr>
              <w:spacing w:after="60" w:line="264"/>
            </w:pPr>
            <w:r>
              <w:rPr>
                <w:rFonts w:ascii="Georgia" w:cs="Georgia" w:eastAsia="Georgia" w:hAnsi="Georgia"/>
                <w:sz w:val="20"/>
                <w:szCs w:val="20"/>
              </w:rPr>
              <w:t xml:space="preserve">No se exigirá la verificación mediante demostración funcional de la cláusula [ADM-9] cuando su celebración impida cumplir los plazos del artículo 159.</w:t>
            </w:r>
          </w:p>
        </w:tc>
      </w:tr>
    </w:tbl>
    <w:p>
      <w:pPr>
        <w:spacing w:after="220"/>
      </w:pPr>
    </w:p>
    <w:p>
      <w:pPr>
        <w:spacing w:after="140" w:line="276"/>
      </w:pPr>
      <w:r>
        <w:rPr>
          <w:rFonts w:ascii="Calibri" w:cs="Calibri" w:eastAsia="Calibri" w:hAnsi="Calibri"/>
          <w:b/>
          <w:bCs/>
          <w:sz w:val="21"/>
          <w:szCs w:val="21"/>
        </w:rPr>
        <w:t xml:space="preserve">ADM-7.4 · Variante C: procedimiento abierto simplificado abreviado (artículo 159.6 LCSP).</w:t>
      </w:r>
    </w:p>
    <w:p>
      <w:pPr>
        <w:spacing w:after="140" w:line="276"/>
      </w:pPr>
      <w:r>
        <w:rPr>
          <w:rFonts w:ascii="Calibri" w:cs="Calibri" w:eastAsia="Calibri" w:hAnsi="Calibri"/>
          <w:sz w:val="21"/>
          <w:szCs w:val="21"/>
        </w:rPr>
        <w:t xml:space="preserve">Aplicable cuando el valor estimado sea inferior a 60.000 euros en servicios y suministros (80.000 euros en obras). El artículo 159.6.c) obliga a evaluar la oferta, en todo caso, con arreglo a criterios cuantificables mediante la mera aplicación de fórmulas: </w:t>
      </w:r>
      <w:r>
        <w:rPr>
          <w:rFonts w:ascii="Calibri" w:cs="Calibri" w:eastAsia="Calibri" w:hAnsi="Calibri"/>
          <w:b/>
          <w:bCs/>
          <w:sz w:val="21"/>
          <w:szCs w:val="21"/>
        </w:rPr>
        <w:t xml:space="preserve">no cabe ningún criterio de juicio de valor</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 abreviado).</w:t>
            </w:r>
          </w:p>
          <w:p>
            <w:pPr>
              <w:pStyle w:val="ListParagraph"/>
              <w:numPr>
                <w:ilvl w:val="0"/>
                <w:numId w:val="2"/>
              </w:numPr>
              <w:spacing w:after="60" w:line="264"/>
            </w:pPr>
            <w:r>
              <w:rPr>
                <w:rFonts w:ascii="Georgia" w:cs="Georgia" w:eastAsia="Georgia" w:hAnsi="Georgia"/>
                <w:sz w:val="20"/>
                <w:szCs w:val="20"/>
              </w:rPr>
              <w:t xml:space="preserve">La totalidad de los criterios de adjudicación es evaluable mediante la mera aplicación de fórmulas. No se incorpora ningún criterio sujeto a juicio de valor (artículo 159.6.c LCSP).</w:t>
            </w:r>
          </w:p>
          <w:p>
            <w:pPr>
              <w:pStyle w:val="ListParagraph"/>
              <w:numPr>
                <w:ilvl w:val="0"/>
                <w:numId w:val="2"/>
              </w:numPr>
              <w:spacing w:after="60" w:line="264"/>
            </w:pPr>
            <w:r>
              <w:rPr>
                <w:rFonts w:ascii="Georgia" w:cs="Georgia" w:eastAsia="Georgia" w:hAnsi="Georgia"/>
                <w:sz w:val="20"/>
                <w:szCs w:val="20"/>
              </w:rPr>
              <w:t xml:space="preserve">Se suprimen los criterios </w:t>
            </w:r>
            <w:r>
              <w:rPr>
                <w:rFonts w:ascii="Georgia" w:cs="Georgia" w:eastAsia="Georgia" w:hAnsi="Georgia"/>
                <w:b/>
                <w:bCs/>
                <w:sz w:val="20"/>
                <w:szCs w:val="20"/>
              </w:rPr>
              <w:t xml:space="preserve">C2, C4, D y E</w:t>
            </w:r>
            <w:r>
              <w:rPr>
                <w:rFonts w:ascii="Georgia" w:cs="Georgia" w:eastAsia="Georgia" w:hAnsi="Georgia"/>
                <w:sz w:val="20"/>
                <w:szCs w:val="20"/>
              </w:rPr>
              <w:t xml:space="preserve"> —los cuatro sujetos a juicio de valor— y, con ellos, toda remisión a rúbricas. Baremo recomendado por defecto: </w:t>
            </w:r>
            <w:r>
              <w:rPr>
                <w:rFonts w:ascii="Georgia" w:cs="Georgia" w:eastAsia="Georgia" w:hAnsi="Georgia"/>
                <w:b/>
                <w:bCs/>
                <w:sz w:val="20"/>
                <w:szCs w:val="20"/>
              </w:rPr>
              <w:t xml:space="preserve">P 45 · C1 20 · C3 10 · A 12 · B 8 · F 5</w:t>
            </w:r>
            <w:r>
              <w:rPr>
                <w:rFonts w:ascii="Georgia" w:cs="Georgia" w:eastAsia="Georgia" w:hAnsi="Georgia"/>
                <w:sz w:val="20"/>
                <w:szCs w:val="20"/>
              </w:rPr>
              <w:t xml:space="preserve">. Si el pliego de prescripciones técnicas incorpora la relación cerrada y numerada de procesos automatizables, el criterio </w:t>
            </w:r>
            <w:r>
              <w:rPr>
                <w:rFonts w:ascii="Georgia" w:cs="Georgia" w:eastAsia="Georgia" w:hAnsi="Georgia"/>
                <w:b/>
                <w:bCs/>
                <w:sz w:val="20"/>
                <w:szCs w:val="20"/>
              </w:rPr>
              <w:t xml:space="preserve">H</w:t>
            </w:r>
            <w:r>
              <w:rPr>
                <w:rFonts w:ascii="Georgia" w:cs="Georgia" w:eastAsia="Georgia" w:hAnsi="Georgia"/>
                <w:sz w:val="20"/>
                <w:szCs w:val="20"/>
              </w:rPr>
              <w:t xml:space="preserve"> puede conservarse, detrayendo sus puntos de C1.</w:t>
            </w:r>
          </w:p>
          <w:p>
            <w:pPr>
              <w:pStyle w:val="ListParagraph"/>
              <w:numPr>
                <w:ilvl w:val="0"/>
                <w:numId w:val="2"/>
              </w:numPr>
              <w:spacing w:after="60" w:line="264"/>
            </w:pPr>
            <w:r>
              <w:rPr>
                <w:rFonts w:ascii="Georgia" w:cs="Georgia" w:eastAsia="Georgia" w:hAnsi="Georgia"/>
                <w:sz w:val="20"/>
                <w:szCs w:val="20"/>
              </w:rPr>
              <w:t xml:space="preserve">No se aplica la cláusula [ADM-9] (verificación mediante demostración funcional).</w:t>
            </w:r>
          </w:p>
        </w:tc>
      </w:tr>
    </w:tbl>
    <w:p>
      <w:pPr>
        <w:spacing w:after="220"/>
      </w:pPr>
    </w:p>
    <w:p>
      <w:pPr>
        <w:spacing w:after="140" w:line="276"/>
      </w:pPr>
      <w:r>
        <w:rPr>
          <w:rFonts w:ascii="Calibri" w:cs="Calibri" w:eastAsia="Calibri" w:hAnsi="Calibri"/>
          <w:b/>
          <w:bCs/>
          <w:sz w:val="21"/>
          <w:szCs w:val="21"/>
        </w:rPr>
        <w:t xml:space="preserve">Comprobación previa a elegir esta variante.</w:t>
      </w:r>
      <w:r>
        <w:rPr>
          <w:rFonts w:ascii="Calibri" w:cs="Calibri" w:eastAsia="Calibri" w:hAnsi="Calibri"/>
          <w:sz w:val="21"/>
          <w:szCs w:val="21"/>
        </w:rPr>
        <w:t xml:space="preserve"> Criterios relacionados con la calidad: </w:t>
      </w:r>
      <w:r>
        <w:rPr>
          <w:rFonts w:ascii="Calibri" w:cs="Calibri" w:eastAsia="Calibri" w:hAnsi="Calibri"/>
          <w:b/>
          <w:bCs/>
          <w:sz w:val="21"/>
          <w:szCs w:val="21"/>
        </w:rPr>
        <w:t xml:space="preserve">50 por ciento</w:t>
      </w:r>
      <w:r>
        <w:rPr>
          <w:rFonts w:ascii="Calibri" w:cs="Calibri" w:eastAsia="Calibri" w:hAnsi="Calibri"/>
          <w:sz w:val="21"/>
          <w:szCs w:val="21"/>
        </w:rPr>
        <w:t xml:space="preserve"> (todos salvo P y F). Esta variante </w:t>
      </w:r>
      <w:r>
        <w:rPr>
          <w:rFonts w:ascii="Calibri" w:cs="Calibri" w:eastAsia="Calibri" w:hAnsi="Calibri"/>
          <w:b/>
          <w:bCs/>
          <w:sz w:val="21"/>
          <w:szCs w:val="21"/>
        </w:rPr>
        <w:t xml:space="preserve">no es utilizable si el expediente ha motivado el carácter intelectual de la prestación</w:t>
      </w:r>
      <w:r>
        <w:rPr>
          <w:rFonts w:ascii="Calibri" w:cs="Calibri" w:eastAsia="Calibri" w:hAnsi="Calibri"/>
          <w:sz w:val="21"/>
          <w:szCs w:val="21"/>
        </w:rPr>
        <w:t xml:space="preserve">, tanto porque no alcanzaría el 51 por ciento del art. 145.4 LCSP como porque el propio art. 159.6 la excluye.</w:t>
      </w:r>
    </w:p>
    <w:p>
      <w:pPr>
        <w:spacing w:after="140" w:line="276"/>
      </w:pPr>
      <w:r>
        <w:rPr>
          <w:rFonts w:ascii="Calibri" w:cs="Calibri" w:eastAsia="Calibri" w:hAnsi="Calibri"/>
          <w:b/>
          <w:bCs/>
          <w:sz w:val="21"/>
          <w:szCs w:val="21"/>
        </w:rPr>
        <w:t xml:space="preserve">ADM-7.5 · Hoja de comprobación del baremo.</w:t>
      </w:r>
      <w:r>
        <w:rPr>
          <w:rFonts w:ascii="Calibri" w:cs="Calibri" w:eastAsia="Calibri" w:hAnsi="Calibri"/>
          <w:sz w:val="21"/>
          <w:szCs w:val="21"/>
        </w:rPr>
        <w:t xml:space="preserve"> </w:t>
      </w:r>
      <w:r>
        <w:rPr>
          <w:rFonts w:ascii="Calibri" w:cs="Calibri" w:eastAsia="Calibri" w:hAnsi="Calibri"/>
          <w:b/>
          <w:bCs/>
          <w:sz w:val="21"/>
          <w:szCs w:val="21"/>
        </w:rPr>
        <w:t xml:space="preserve">No se copia al pliego</w:t>
      </w:r>
      <w:r>
        <w:rPr>
          <w:rFonts w:ascii="Calibri" w:cs="Calibri" w:eastAsia="Calibri" w:hAnsi="Calibri"/>
          <w:sz w:val="21"/>
          <w:szCs w:val="21"/>
        </w:rPr>
        <w:t xml:space="preserve">: se cumplimenta antes de aprobar el expediente y se incorpora a él, junto con la memoria de criterios. Es la misma lista que el Anexo IV.2 de este catálogo reproduce como hoja operativa; las dos deben coincidir fila por fila, y si divergen se corrige el Anexo IV.</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Aviso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no suma 100, el baremo está incompleto o duplicado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 40 % en todo caso?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40 %, que es límite absoluto y no se salva con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¿&lt; suma de criterios por fórmula?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identificado y publicado antes de la apertura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pliego técnico,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 Se acota la esencialidad al mínimo del pliego técnico o se suprime el 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Cómputo de los criterios de calidad de la fila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los excluidos: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precios unitarios?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contar el criterio de precios unitarios como criterio de calidad infla artificialmente el porcentaje del art. 145.4 LCSP</w:t>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cuadro-resumen (letra correspondiente a criterios de adjudicación) y cláusula de criterios de adjudicación. La hoja de comprobación de ADM-7.5 </w:t>
      </w:r>
      <w:r>
        <w:rPr>
          <w:rFonts w:ascii="Calibri" w:cs="Calibri" w:eastAsia="Calibri" w:hAnsi="Calibri"/>
          <w:b/>
          <w:bCs/>
          <w:sz w:val="21"/>
          <w:szCs w:val="21"/>
        </w:rPr>
        <w:t xml:space="preserve">no se publica como parte del pliego</w:t>
      </w:r>
      <w:r>
        <w:rPr>
          <w:rFonts w:ascii="Calibri" w:cs="Calibri" w:eastAsia="Calibri" w:hAnsi="Calibri"/>
          <w:sz w:val="21"/>
          <w:szCs w:val="21"/>
        </w:rPr>
        <w:t xml:space="preserve">: se incorpora al expediente, junto con la memoria de criterios. Las rúbricas con descriptores por tramos de los criterios de juicio de valor sí se publican, como anexo del PCAP.</w:t>
      </w:r>
    </w:p>
    <w:p>
      <w:pPr>
        <w:spacing w:after="140" w:line="276"/>
      </w:pPr>
      <w:r>
        <w:rPr>
          <w:rFonts w:ascii="Calibri" w:cs="Calibri" w:eastAsia="Calibri" w:hAnsi="Calibri"/>
          <w:b/>
          <w:bCs/>
          <w:sz w:val="21"/>
          <w:szCs w:val="21"/>
        </w:rPr>
        <w:t xml:space="preserve">Sobre los efectos de la anulación de un criterio.</w:t>
      </w:r>
      <w:r>
        <w:rPr>
          <w:rFonts w:ascii="Calibri" w:cs="Calibri" w:eastAsia="Calibri" w:hAnsi="Calibri"/>
          <w:sz w:val="21"/>
          <w:szCs w:val="21"/>
        </w:rPr>
        <w:t xml:space="preserve"> El apartado 6 del texto de pliego se limita a prohibir el reescalado y la redistribución de ponderaciones una vez publicado el anuncio. </w:t>
      </w:r>
      <w:r>
        <w:rPr>
          <w:rFonts w:ascii="Calibri" w:cs="Calibri" w:eastAsia="Calibri" w:hAnsi="Calibri"/>
          <w:b/>
          <w:bCs/>
          <w:sz w:val="21"/>
          <w:szCs w:val="21"/>
        </w:rPr>
        <w:t xml:space="preserve">No se incorpora al PCAP ninguna previsión sobre los efectos que la anulación de un criterio produce sobre los demás</w:t>
      </w:r>
      <w:r>
        <w:rPr>
          <w:rFonts w:ascii="Calibri" w:cs="Calibri" w:eastAsia="Calibri" w:hAnsi="Calibri"/>
          <w:sz w:val="21"/>
          <w:szCs w:val="21"/>
        </w:rPr>
        <w:t xml:space="preserve">: si un criterio es anulado, la consecuencia la determina el órgano que lo anule, y el pliego no la anticipa. Si el órgano de contratación quisiera incorporar alguna previsión al respecto, ésta requiere </w:t>
      </w:r>
      <w:r>
        <w:rPr>
          <w:rFonts w:ascii="Calibri" w:cs="Calibri" w:eastAsia="Calibri" w:hAnsi="Calibri"/>
          <w:b/>
          <w:bCs/>
          <w:sz w:val="21"/>
          <w:szCs w:val="21"/>
        </w:rPr>
        <w:t xml:space="preserve">informe previo, expreso y favorable</w:t>
      </w:r>
      <w:r>
        <w:rPr>
          <w:rFonts w:ascii="Calibri" w:cs="Calibri" w:eastAsia="Calibri" w:hAnsi="Calibri"/>
          <w:sz w:val="21"/>
          <w:szCs w:val="21"/>
        </w:rPr>
        <w:t xml:space="preserve"> del órgano al que corresponda el informe jurídico preceptivo, conforme a la Parte I, §7.8.b.3.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 LCSP (adjudicación a la mejor relación calidad-precio y requisitos de todo criterio: vinculación al objeto, objetividad, prohibición de libertad de decisión ilimitada y comprobabilidad efectiva, art. 145.5); art. 146.2 LCSP (preponderancia de las fórmulas y comité de expertos); art. 145.4 y 145.7 LCSP (51 por ciento de calidad en prestaciones intelectuales; tope del 2,5 por ciento de las mejoras por juicio de valor); art. 159.1.b) y 159.6.c) LCSP (topes de juicio de valor por procedimiento); art. 40.b) LCSP, que declara anulables las cláusulas que otorguen «de forma directa o indirecta, ventajas a las empresas que hayan contratado previamente con cualquier Administración»; art. 116.4.c) y e) LCSP (justificación en el expediente de los criterios elegidos y relación directa, clara y proporcional con el objeto); y </w:t>
      </w:r>
      <w:r>
        <w:rPr>
          <w:rFonts w:ascii="Calibri" w:cs="Calibri" w:eastAsia="Calibri" w:hAnsi="Calibri"/>
          <w:b/>
          <w:bCs/>
          <w:sz w:val="21"/>
          <w:szCs w:val="21"/>
        </w:rPr>
        <w:t xml:space="preserve">art. 149 LCSP</w:t>
      </w:r>
      <w:r>
        <w:rPr>
          <w:rFonts w:ascii="Calibri" w:cs="Calibri" w:eastAsia="Calibri" w:hAnsi="Calibri"/>
          <w:sz w:val="21"/>
          <w:szCs w:val="21"/>
        </w:rPr>
        <w:t xml:space="preserve"> (parámetros objetivos de identificación de la oferta anormalmente baja y trámite contradictorio previo a la valoración), del que nace el apartado 7 del texto de pliego y cuyo desarrollo está en el Anexo XVII, apartado 5.</w:t>
      </w:r>
    </w:p>
    <w:p>
      <w:pPr>
        <w:spacing w:after="140" w:line="276"/>
      </w:pPr>
      <w:r>
        <w:rPr>
          <w:rFonts w:ascii="Calibri" w:cs="Calibri" w:eastAsia="Calibri" w:hAnsi="Calibri"/>
          <w:sz w:val="21"/>
          <w:szCs w:val="21"/>
        </w:rPr>
        <w:t xml:space="preserve">Doctrina, citada como doctrina general trasladada por analogía: la frontera entre solvencia y adjudicación está fijada en la STJUE de 24 de enero de 2008, </w:t>
      </w:r>
      <w:r>
        <w:rPr>
          <w:rFonts w:ascii="Calibri" w:cs="Calibri" w:eastAsia="Calibri" w:hAnsi="Calibri"/>
          <w:i/>
          <w:iCs/>
          <w:sz w:val="21"/>
          <w:szCs w:val="21"/>
        </w:rPr>
        <w:t xml:space="preserve">Lianakis</w:t>
      </w:r>
      <w:r>
        <w:rPr>
          <w:rFonts w:ascii="Calibri" w:cs="Calibri" w:eastAsia="Calibri" w:hAnsi="Calibri"/>
          <w:sz w:val="21"/>
          <w:szCs w:val="21"/>
        </w:rPr>
        <w:t xml:space="preserve">, asunto C-532/06, apartados 30 y 31 —donde se excluyen como criterios de adjudicación los que versan sobre la aptitud del licitador— (&lt;https://eur-lex.europa.eu/legal-content/ES/TXT/HTML/?uri=CELEX:62006CJ0532&gt;), con la matización de la STJUE de 26 de marzo de 2015, </w:t>
      </w:r>
      <w:r>
        <w:rPr>
          <w:rFonts w:ascii="Calibri" w:cs="Calibri" w:eastAsia="Calibri" w:hAnsi="Calibri"/>
          <w:i/>
          <w:iCs/>
          <w:sz w:val="21"/>
          <w:szCs w:val="21"/>
        </w:rPr>
        <w:t xml:space="preserve">Ambisig</w:t>
      </w:r>
      <w:r>
        <w:rPr>
          <w:rFonts w:ascii="Calibri" w:cs="Calibri" w:eastAsia="Calibri" w:hAnsi="Calibri"/>
          <w:sz w:val="21"/>
          <w:szCs w:val="21"/>
        </w:rPr>
        <w:t xml:space="preserve">, asunto C-601/13, que sí admite valorar el equipo concreto propuesto para ejecutar el contrato (&lt;https://eur-lex.europa.eu/legal-content/ES/TXT/HTML/?uri=CELEX:62013CJ0601&gt;). Adviértase que en </w:t>
      </w:r>
      <w:r>
        <w:rPr>
          <w:rFonts w:ascii="Calibri" w:cs="Calibri" w:eastAsia="Calibri" w:hAnsi="Calibri"/>
          <w:i/>
          <w:iCs/>
          <w:sz w:val="21"/>
          <w:szCs w:val="21"/>
        </w:rPr>
        <w:t xml:space="preserve">Lianakis</w:t>
      </w:r>
      <w:r>
        <w:rPr>
          <w:rFonts w:ascii="Calibri" w:cs="Calibri" w:eastAsia="Calibri" w:hAnsi="Calibri"/>
          <w:sz w:val="21"/>
          <w:szCs w:val="21"/>
        </w:rPr>
        <w:t xml:space="preserve"> el fallo formal versa sobre la fijación </w:t>
      </w:r>
      <w:r>
        <w:rPr>
          <w:rFonts w:ascii="Calibri" w:cs="Calibri" w:eastAsia="Calibri" w:hAnsi="Calibri"/>
          <w:i/>
          <w:iCs/>
          <w:sz w:val="21"/>
          <w:szCs w:val="21"/>
        </w:rPr>
        <w:t xml:space="preserve">a posteriori</w:t>
      </w:r>
      <w:r>
        <w:rPr>
          <w:rFonts w:ascii="Calibri" w:cs="Calibri" w:eastAsia="Calibri" w:hAnsi="Calibri"/>
          <w:sz w:val="21"/>
          <w:szCs w:val="21"/>
        </w:rPr>
        <w:t xml:space="preserve"> de subcriterios; lo que se traslada es la ratio de esos apartados, no el fallo.</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y de las juntas consultivas de contratación, ninguna resolución sobre criterios de adjudicación referidos a interfaces de acceso programático para agentes de inteligencia artificial, a la certificación ISO/IEC 42001 como criterio ni a compromisos de evolución tecnológica. El baremo no puede ampararse en precedente favorable alguno; se construye sobre el estándar general del art. 145.5 y sobre la comprobabilidad de cada criterio.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criterio evaluable mediante fórmula se acredita por el documento tasado que figura en la columna «medio de comprobación efectiva» del propio baremo: oferta económica, Cuadro de Precios Unitarios del Anexo X.3, o declaración del licitador sobre una relación </w:t>
      </w:r>
      <w:r>
        <w:rPr>
          <w:rFonts w:ascii="Calibri" w:cs="Calibri" w:eastAsia="Calibri" w:hAnsi="Calibri"/>
          <w:b/>
          <w:bCs/>
          <w:sz w:val="21"/>
          <w:szCs w:val="21"/>
        </w:rPr>
        <w:t xml:space="preserve">cerrada y numerada</w:t>
      </w:r>
      <w:r>
        <w:rPr>
          <w:rFonts w:ascii="Calibri" w:cs="Calibri" w:eastAsia="Calibri" w:hAnsi="Calibri"/>
          <w:sz w:val="21"/>
          <w:szCs w:val="21"/>
        </w:rPr>
        <w:t xml:space="preserve"> publicada en el PPT o en el Anexo V. Los criterios sujetos a juicio de valor se acreditan por la memoria técnica presentada en plazo, y se valoran exclusivamente conforme a la rúbrica publicada, con descriptores por tramos y evidencia observable por nivel. El informe de valoración expresará, para cada licitador y subcriterio, la evidencia concreta que justifica el nivel asignado.</w:t>
      </w:r>
    </w:p>
    <w:p>
      <w:pPr>
        <w:spacing w:after="140" w:line="276"/>
      </w:pPr>
      <w:r>
        <w:rPr>
          <w:rFonts w:ascii="Calibri" w:cs="Calibri" w:eastAsia="Calibri" w:hAnsi="Calibri"/>
          <w:sz w:val="21"/>
          <w:szCs w:val="21"/>
        </w:rPr>
        <w:t xml:space="preserve">No se admite ninguna acreditación por catálogo comercial, folleto, referencia de clientes ni «capacidad general de la empresa».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y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 antes del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IV por criterio + hoja de comprobación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 (Asesoría Jurídica en municipios de gran población, como Pozuelo de Alarcón;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previo a la aprobación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Hoja de comprobación cumplimentada, con las catorce filas resueltas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valoración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Rúbricas publicadas y actas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2 y 4 horas por expediente para cumplimentar la ficha de cada criterio y la hoja de comprobación; entre 1 y 2 horas adicionales de informe jurídico. No genera carga recurrente en fase de ejecución. Cuando se active el comité de expertos, añádanse el trámite de designación y publicación previa y entre 4 y 8 horas por licitador de valoración documentada.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una obligación del contratista, sino una regla de construcción del pliego: </w:t>
      </w:r>
      <w:r>
        <w:rPr>
          <w:rFonts w:ascii="Calibri" w:cs="Calibri" w:eastAsia="Calibri" w:hAnsi="Calibri"/>
          <w:b/>
          <w:bCs/>
          <w:sz w:val="21"/>
          <w:szCs w:val="21"/>
        </w:rPr>
        <w:t xml:space="preserve">no genera penalidad ni esencialidad</w:t>
      </w:r>
      <w:r>
        <w:rPr>
          <w:rFonts w:ascii="Calibri" w:cs="Calibri" w:eastAsia="Calibri" w:hAnsi="Calibri"/>
          <w:sz w:val="21"/>
          <w:szCs w:val="21"/>
        </w:rPr>
        <w:t xml:space="preserve">. Su incumplimiento por el órgano de contratación produce un vicio del propio pliego o de la adjudicación —anulabilidad por el art. 40.b) LCSP en el caso de la regla de tenencia previa; nulidad de la adjudicación por omisión del comité de expertos preceptivo; procedimiento indebido si se superan los topes del art. 159—. Un baremo valorado por juicio de valor después de conocidas las ofertas evaluables por fórmula no se retrotrae: obliga a repetir la licitación entera.</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(no es obligación contractual del adjudicatario).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(art. 118 LCSP): no hay baremo. Las exigencias de este catálogo que se quieran trasladar a un contrato menor sólo pueden ir como prescripción técnica o como condición del encargo, nunca como criterio.</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o adjudicados a través de una central de compras</w:t>
      </w:r>
      <w:r>
        <w:rPr>
          <w:rFonts w:ascii="Calibri" w:cs="Calibri" w:eastAsia="Calibri" w:hAnsi="Calibri"/>
          <w:sz w:val="21"/>
          <w:szCs w:val="21"/>
        </w:rPr>
        <w:t xml:space="preserve"> en los que el órgano municipal no puede alterar los criterios: el baremo no se aplica; lo aplicable es la selección del lote o del proveedor conforme a las reglas del acuerdo marco, y las exigencias de este catálogo sólo caben en la medida en que el acuerdo marco lo permita.</w:t>
      </w:r>
    </w:p>
    <w:p>
      <w:pPr>
        <w:pStyle w:val="ListParagraph"/>
        <w:numPr>
          <w:ilvl w:val="0"/>
          <w:numId w:val="1"/>
        </w:numPr>
        <w:spacing w:after="70" w:line="268"/>
      </w:pPr>
      <w:r>
        <w:rPr>
          <w:rFonts w:ascii="Calibri" w:cs="Calibri" w:eastAsia="Calibri" w:hAnsi="Calibri"/>
          <w:b/>
          <w:bCs/>
          <w:sz w:val="21"/>
          <w:szCs w:val="21"/>
        </w:rPr>
        <w:t xml:space="preserve">Prórrogas de contratos vigentes</w:t>
      </w:r>
      <w:r>
        <w:rPr>
          <w:rFonts w:ascii="Calibri" w:cs="Calibri" w:eastAsia="Calibri" w:hAnsi="Calibri"/>
          <w:sz w:val="21"/>
          <w:szCs w:val="21"/>
        </w:rPr>
        <w:t xml:space="preserve">: no hay adjudicación y, por tanto, no hay criterios que fijar.</w:t>
      </w:r>
    </w:p>
    <w:p>
      <w:pPr>
        <w:pStyle w:val="ListParagraph"/>
        <w:numPr>
          <w:ilvl w:val="0"/>
          <w:numId w:val="1"/>
        </w:numPr>
        <w:spacing w:after="70" w:line="268"/>
      </w:pPr>
      <w:r>
        <w:rPr>
          <w:rFonts w:ascii="Calibri" w:cs="Calibri" w:eastAsia="Calibri" w:hAnsi="Calibri"/>
          <w:b/>
          <w:bCs/>
          <w:sz w:val="21"/>
          <w:szCs w:val="21"/>
        </w:rPr>
        <w:t xml:space="preserve">Procedimiento negociado sin publicidad</w:t>
      </w:r>
      <w:r>
        <w:rPr>
          <w:rFonts w:ascii="Calibri" w:cs="Calibri" w:eastAsia="Calibri" w:hAnsi="Calibri"/>
          <w:sz w:val="21"/>
          <w:szCs w:val="21"/>
        </w:rPr>
        <w:t xml:space="preserve"> por exclusividad: hay que revisar antes si la exclusividad se ha construido con exigencias de este catálogo, lo que invertiría el sentido de la regla de separación.</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Ficha de Aplicabilidad debe marcar también como NO APLICA la cláusula ADM-9·v3, el Anexo IV y todas las remisiones a rúbricas de juicio de valor de los anexos del PCAP.</w:t>
      </w:r>
    </w:p>
    <w:p>
      <w:pPr>
        <w:pStyle w:val="Heading3"/>
        <w:keepNext/>
        <w:spacing w:after="140" w:before="320"/>
      </w:pPr>
      <w:r>
        <w:rPr>
          <w:rFonts w:ascii="Georgia" w:cs="Georgia" w:eastAsia="Georgia" w:hAnsi="Georgia"/>
          <w:b/>
          <w:bCs/>
          <w:color w:val="2F5496"/>
          <w:sz w:val="22"/>
          <w:szCs w:val="22"/>
        </w:rPr>
        <w:t xml:space="preserve">Nota al redactor · Los tres defectos de construcción que esta cláusula corrige</w:t>
      </w:r>
    </w:p>
    <w:p>
      <w:pPr>
        <w:spacing w:after="140" w:line="276"/>
      </w:pPr>
      <w:r>
        <w:rPr>
          <w:rFonts w:ascii="Calibri" w:cs="Calibri" w:eastAsia="Calibri" w:hAnsi="Calibri"/>
          <w:sz w:val="21"/>
          <w:szCs w:val="21"/>
        </w:rPr>
        <w:t xml:space="preserve">Es la cláusula con más riesgo de todo el catálogo. Los tres defectos del modelo anterior se corrigen a la vez, y los tres son de construcción, no de motivación:</w:t>
      </w:r>
    </w:p>
    <w:p>
      <w:pPr>
        <w:pStyle w:val="ListParagraph"/>
        <w:numPr>
          <w:ilvl w:val="0"/>
          <w:numId w:val="2"/>
        </w:numPr>
        <w:spacing w:after="70" w:line="268"/>
      </w:pPr>
      <w:r>
        <w:rPr>
          <w:rFonts w:ascii="Calibri" w:cs="Calibri" w:eastAsia="Calibri" w:hAnsi="Calibri"/>
          <w:b/>
          <w:bCs/>
          <w:sz w:val="21"/>
          <w:szCs w:val="21"/>
        </w:rPr>
        <w:t xml:space="preserve">El baremo anterior sumaba 100 puntos y ninguno valoraba la prestación.</w:t>
      </w:r>
      <w:r>
        <w:rPr>
          <w:rFonts w:ascii="Calibri" w:cs="Calibri" w:eastAsia="Calibri" w:hAnsi="Calibri"/>
          <w:sz w:val="21"/>
          <w:szCs w:val="21"/>
        </w:rPr>
        <w:t xml:space="preserve"> Adjudicar un sistema de contabilidad sin puntuar la contabilidad no se motiva: se anula, por el art. 145.5.b) y por el art. 145.6 LCSP. El bloque de innovación es </w:t>
      </w:r>
      <w:r>
        <w:rPr>
          <w:rFonts w:ascii="Calibri" w:cs="Calibri" w:eastAsia="Calibri" w:hAnsi="Calibri"/>
          <w:b/>
          <w:bCs/>
          <w:sz w:val="21"/>
          <w:szCs w:val="21"/>
        </w:rPr>
        <w:t xml:space="preserve">un bloque dentro del baremo del contrato</w:t>
      </w:r>
      <w:r>
        <w:rPr>
          <w:rFonts w:ascii="Calibri" w:cs="Calibri" w:eastAsia="Calibri" w:hAnsi="Calibri"/>
          <w:sz w:val="21"/>
          <w:szCs w:val="21"/>
        </w:rPr>
        <w:t xml:space="preserve">, nunca el baremo entero. ADM-7.2 entrega el ejemplo completo trabajado, con el precio y los criterios funcionales dentro.</w:t>
      </w:r>
    </w:p>
    <w:p>
      <w:pPr>
        <w:pStyle w:val="ListParagraph"/>
        <w:numPr>
          <w:ilvl w:val="0"/>
          <w:numId w:val="2"/>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No puede puntuarse el cumplimiento de lo que el pliego ya impone. La regla de separación prohíbe expresamente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no sólo la clásica.</w:t>
      </w:r>
    </w:p>
    <w:p>
      <w:pPr>
        <w:pStyle w:val="ListParagraph"/>
        <w:numPr>
          <w:ilvl w:val="0"/>
          <w:numId w:val="2"/>
        </w:numPr>
        <w:spacing w:after="70" w:line="268"/>
      </w:pPr>
      <w:r>
        <w:rPr>
          <w:rFonts w:ascii="Calibri" w:cs="Calibri" w:eastAsia="Calibri" w:hAnsi="Calibri"/>
          <w:b/>
          <w:bCs/>
          <w:sz w:val="21"/>
          <w:szCs w:val="21"/>
        </w:rPr>
        <w:t xml:space="preserve">Encaje procedimental.</w:t>
      </w:r>
      <w:r>
        <w:rPr>
          <w:rFonts w:ascii="Calibri" w:cs="Calibri" w:eastAsia="Calibri" w:hAnsi="Calibri"/>
          <w:sz w:val="21"/>
          <w:szCs w:val="21"/>
        </w:rPr>
        <w:t xml:space="preserve"> El baremo tiene que caber en el procedimiento que el órgano va a tramitar. Se entregan </w:t>
      </w:r>
      <w:r>
        <w:rPr>
          <w:rFonts w:ascii="Calibri" w:cs="Calibri" w:eastAsia="Calibri" w:hAnsi="Calibri"/>
          <w:b/>
          <w:bCs/>
          <w:sz w:val="21"/>
          <w:szCs w:val="21"/>
        </w:rPr>
        <w:t xml:space="preserve">tres variantes</w:t>
      </w:r>
      <w:r>
        <w:rPr>
          <w:rFonts w:ascii="Calibri" w:cs="Calibri" w:eastAsia="Calibri" w:hAnsi="Calibri"/>
          <w:sz w:val="21"/>
          <w:szCs w:val="21"/>
        </w:rPr>
        <w:t xml:space="preserve"> —abierto ordinario, abierto simplificado y abreviado— y una hoja de comprobación que suma el baremo entero, precio incluido, y avisa.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III.8 · ADM-8·v3 — Propiedad intelectual, algoritmos y lógica de negocio</w:t>
      </w:r>
    </w:p>
    <w:p>
      <w:pPr>
        <w:spacing w:after="140" w:line="276"/>
      </w:pPr>
      <w:r>
        <w:rPr>
          <w:rFonts w:ascii="Calibri" w:cs="Calibri" w:eastAsia="Calibri" w:hAnsi="Calibri"/>
          <w:i/>
          <w:iCs/>
          <w:sz w:val="21"/>
          <w:szCs w:val="21"/>
        </w:rPr>
        <w:t xml:space="preserve">(Sustituye a ADM-8 de v2. Fija tiempo, territorio y modalidades de la cesión, añade la licencia mínima supletoria sobre el producto base y delimita lo que no se exige: el código fuente de ese producto. Los tres defectos que corrige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Propiedad intelectual, algoritmos y lógica de negocio.</w:t>
            </w:r>
          </w:p>
          <w:p>
            <w:pPr>
              <w:pStyle w:val="ListParagraph"/>
              <w:numPr>
                <w:ilvl w:val="0"/>
                <w:numId w:val="2"/>
              </w:numPr>
              <w:spacing w:after="60" w:line="264"/>
            </w:pPr>
            <w:r>
              <w:rPr>
                <w:rFonts w:ascii="Georgia" w:cs="Georgia" w:eastAsia="Georgia" w:hAnsi="Georgia"/>
                <w:b/>
                <w:bCs/>
                <w:sz w:val="20"/>
                <w:szCs w:val="20"/>
              </w:rPr>
              <w:t xml:space="preserve">Objeto de la titularidad municipal.</w:t>
            </w:r>
            <w:r>
              <w:rPr>
                <w:rFonts w:ascii="Georgia" w:cs="Georgia" w:eastAsia="Georgia" w:hAnsi="Georgia"/>
                <w:sz w:val="20"/>
                <w:szCs w:val="20"/>
              </w:rPr>
              <w:t xml:space="preserve"> Corresponderá al Ayuntamiento la titularidad de los desarrollos, configuraciones, parametrizaciones, </w:t>
            </w:r>
            <w:r>
              <w:rPr>
                <w:rFonts w:ascii="Georgia" w:cs="Georgia" w:eastAsia="Georgia" w:hAnsi="Georgia"/>
                <w:i/>
                <w:iCs/>
                <w:sz w:val="20"/>
                <w:szCs w:val="20"/>
              </w:rPr>
              <w:t xml:space="preserve">scripts</w:t>
            </w:r>
            <w:r>
              <w:rPr>
                <w:rFonts w:ascii="Georgia" w:cs="Georgia" w:eastAsia="Georgia" w:hAnsi="Georgia"/>
                <w:sz w:val="20"/>
                <w:szCs w:val="20"/>
              </w:rPr>
              <w:t xml:space="preserve">, flujos, reglas de negocio y algoritmos de cálculo o de decisión diseñados específicamente para el Ayuntamiento, junto con su lógica funcional, su codificación —</w:t>
            </w:r>
            <w:r>
              <w:rPr>
                <w:rFonts w:ascii="Georgia" w:cs="Georgia" w:eastAsia="Georgia" w:hAnsi="Georgia"/>
                <w:b/>
                <w:bCs/>
                <w:sz w:val="20"/>
                <w:szCs w:val="20"/>
              </w:rPr>
              <w:t xml:space="preserve">tanto el programa fuente como el programa objeto</w:t>
            </w:r>
            <w:r>
              <w:rPr>
                <w:rFonts w:ascii="Georgia" w:cs="Georgia" w:eastAsia="Georgia" w:hAnsi="Georgia"/>
                <w:sz w:val="20"/>
                <w:szCs w:val="20"/>
              </w:rPr>
              <w:t xml:space="preserve">, en la terminología del artículo 97.4 del texto refundido de la Ley de Propiedad Intelectual— y su documentación técnica; así como de los </w:t>
            </w:r>
            <w:r>
              <w:rPr>
                <w:rFonts w:ascii="Georgia" w:cs="Georgia" w:eastAsia="Georgia" w:hAnsi="Georgia"/>
                <w:i/>
                <w:iCs/>
                <w:sz w:val="20"/>
                <w:szCs w:val="20"/>
              </w:rPr>
              <w:t xml:space="preserve">prompts</w:t>
            </w:r>
            <w:r>
              <w:rPr>
                <w:rFonts w:ascii="Georgia" w:cs="Georgia" w:eastAsia="Georgia" w:hAnsi="Georgia"/>
                <w:sz w:val="20"/>
                <w:szCs w:val="20"/>
              </w:rPr>
              <w:t xml:space="preserve"> corporativos, bases de conocimiento, modelos ajustados con datos municipales, datos y documentación generados en ejecución del contrato.</w:t>
            </w:r>
          </w:p>
          <w:p>
            <w:pPr>
              <w:pStyle w:val="ListParagraph"/>
              <w:numPr>
                <w:ilvl w:val="0"/>
                <w:numId w:val="2"/>
              </w:numPr>
              <w:spacing w:after="60" w:line="264"/>
            </w:pPr>
            <w:r>
              <w:rPr>
                <w:rFonts w:ascii="Georgia" w:cs="Georgia" w:eastAsia="Georgia" w:hAnsi="Georgia"/>
                <w:b/>
                <w:bCs/>
                <w:sz w:val="20"/>
                <w:szCs w:val="20"/>
              </w:rPr>
              <w:t xml:space="preserve">Extensión de la cesión.</w:t>
            </w:r>
            <w:r>
              <w:rPr>
                <w:rFonts w:ascii="Georgia" w:cs="Georgia" w:eastAsia="Georgia" w:hAnsi="Georgia"/>
                <w:sz w:val="20"/>
                <w:szCs w:val="20"/>
              </w:rPr>
              <w:t xml:space="preserve"> La cesión se entiende otorgada con carácter exclusivo, para </w:t>
            </w:r>
            <w:r>
              <w:rPr>
                <w:rFonts w:ascii="Georgia" w:cs="Georgia" w:eastAsia="Georgia" w:hAnsi="Georgia"/>
                <w:b/>
                <w:bCs/>
                <w:sz w:val="20"/>
                <w:szCs w:val="20"/>
              </w:rPr>
              <w:t xml:space="preserve">todas las modalidades de explotación</w:t>
            </w:r>
            <w:r>
              <w:rPr>
                <w:rFonts w:ascii="Georgia" w:cs="Georgia" w:eastAsia="Georgia" w:hAnsi="Georgia"/>
                <w:sz w:val="20"/>
                <w:szCs w:val="20"/>
              </w:rPr>
              <w:t xml:space="preserve"> —reproducción, distribución, comunicación pública y transformación—, por </w:t>
            </w:r>
            <w:r>
              <w:rPr>
                <w:rFonts w:ascii="Georgia" w:cs="Georgia" w:eastAsia="Georgia" w:hAnsi="Georgia"/>
                <w:b/>
                <w:bCs/>
                <w:sz w:val="20"/>
                <w:szCs w:val="20"/>
              </w:rPr>
              <w:t xml:space="preserve">todo el plazo de protección legal</w:t>
            </w:r>
            <w:r>
              <w:rPr>
                <w:rFonts w:ascii="Georgia" w:cs="Georgia" w:eastAsia="Georgia" w:hAnsi="Georgia"/>
                <w:sz w:val="20"/>
                <w:szCs w:val="20"/>
              </w:rPr>
              <w:t xml:space="preserve">, para </w:t>
            </w:r>
            <w:r>
              <w:rPr>
                <w:rFonts w:ascii="Georgia" w:cs="Georgia" w:eastAsia="Georgia" w:hAnsi="Georgia"/>
                <w:b/>
                <w:bCs/>
                <w:sz w:val="20"/>
                <w:szCs w:val="20"/>
              </w:rPr>
              <w:t xml:space="preserve">todos los países</w:t>
            </w:r>
            <w:r>
              <w:rPr>
                <w:rFonts w:ascii="Georgia" w:cs="Georgia" w:eastAsia="Georgia" w:hAnsi="Georgia"/>
                <w:sz w:val="20"/>
                <w:szCs w:val="20"/>
              </w:rPr>
              <w:t xml:space="preserve">, y con facultad de cesión a terceros y a otras entidades del sector público, en los términos del artículo 308.1, último inciso, de la LCSP y de los artículos 157 y 158 de la Ley 40/2015. Esta mención expresa se realiza a los efectos del artículo 43.2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Límites legales de la cesión.</w:t>
            </w:r>
            <w:r>
              <w:rPr>
                <w:rFonts w:ascii="Georgia" w:cs="Georgia" w:eastAsia="Georgia" w:hAnsi="Georgia"/>
                <w:sz w:val="20"/>
                <w:szCs w:val="20"/>
              </w:rPr>
              <w:t xml:space="preserve"> El alcance, contenido e interpretación de esta cesión se ajustarán en todo caso a la legislación específica de propiedad intelectual e industrial. La cesión </w:t>
            </w:r>
            <w:r>
              <w:rPr>
                <w:rFonts w:ascii="Georgia" w:cs="Georgia" w:eastAsia="Georgia" w:hAnsi="Georgia"/>
                <w:b/>
                <w:bCs/>
                <w:sz w:val="20"/>
                <w:szCs w:val="20"/>
              </w:rPr>
              <w:t xml:space="preserve">no alcanza a los derechos morales de autor</w:t>
            </w:r>
            <w:r>
              <w:rPr>
                <w:rFonts w:ascii="Georgia" w:cs="Georgia" w:eastAsia="Georgia" w:hAnsi="Georgia"/>
                <w:sz w:val="20"/>
                <w:szCs w:val="20"/>
              </w:rPr>
              <w:t xml:space="preserve">, que son irrenunciables e inalienables. No se excluye contractualmente el límite del artículo 100.1 del texto refundido de la Ley de Propiedad Intelectual: el Ayuntamiento, como usuario legítimo, queda facultado para la reproducción y transformación necesarias para el uso de la solución, incluida la corrección de errores.</w:t>
            </w:r>
          </w:p>
          <w:p>
            <w:pPr>
              <w:pStyle w:val="ListParagraph"/>
              <w:numPr>
                <w:ilvl w:val="0"/>
                <w:numId w:val="2"/>
              </w:numPr>
              <w:spacing w:after="60" w:line="264"/>
            </w:pPr>
            <w:r>
              <w:rPr>
                <w:rFonts w:ascii="Georgia" w:cs="Georgia" w:eastAsia="Georgia" w:hAnsi="Georgia"/>
                <w:b/>
                <w:bCs/>
                <w:sz w:val="20"/>
                <w:szCs w:val="20"/>
              </w:rPr>
              <w:t xml:space="preserve">Delimitación negativa.</w:t>
            </w:r>
            <w:r>
              <w:rPr>
                <w:rFonts w:ascii="Georgia" w:cs="Georgia" w:eastAsia="Georgia" w:hAnsi="Georgia"/>
                <w:sz w:val="20"/>
                <w:szCs w:val="20"/>
              </w:rPr>
              <w:t xml:space="preserve"> La titularidad municipal </w:t>
            </w:r>
            <w:r>
              <w:rPr>
                <w:rFonts w:ascii="Georgia" w:cs="Georgia" w:eastAsia="Georgia" w:hAnsi="Georgia"/>
                <w:b/>
                <w:bCs/>
                <w:sz w:val="20"/>
                <w:szCs w:val="20"/>
              </w:rPr>
              <w:t xml:space="preserve">no alcanza</w:t>
            </w:r>
            <w:r>
              <w:rPr>
                <w:rFonts w:ascii="Georgia" w:cs="Georgia" w:eastAsia="Georgia" w:hAnsi="Georgia"/>
                <w:sz w:val="20"/>
                <w:szCs w:val="20"/>
              </w:rPr>
              <w:t xml:space="preserve"> al producto base, estándar o de mercado del adjudicatario, ni a los componentes de terceros integrados en la solución. </w:t>
            </w:r>
            <w:r>
              <w:rPr>
                <w:rFonts w:ascii="Georgia" w:cs="Georgia" w:eastAsia="Georgia" w:hAnsi="Georgia"/>
                <w:b/>
                <w:bCs/>
                <w:sz w:val="20"/>
                <w:szCs w:val="20"/>
              </w:rPr>
              <w:t xml:space="preserve">No se exige la entrega del código fuente de dicho producto base ni de dichos componentes</w:t>
            </w:r>
            <w:r>
              <w:rPr>
                <w:rFonts w:ascii="Georgia" w:cs="Georgia" w:eastAsia="Georgia" w:hAnsi="Georgia"/>
                <w:sz w:val="20"/>
                <w:szCs w:val="20"/>
              </w:rPr>
              <w:t xml:space="preserve">, cuya propiedad intelectual queda expresamente salvaguardada, salvo que el producto haya sido desarrollado a medida para el Ayuntamiento o esté sujeto a licencia de fuentes abiertas.</w:t>
            </w:r>
          </w:p>
          <w:p>
            <w:pPr>
              <w:pStyle w:val="ListParagraph"/>
              <w:numPr>
                <w:ilvl w:val="0"/>
                <w:numId w:val="2"/>
              </w:numPr>
              <w:spacing w:after="60" w:line="264"/>
            </w:pPr>
            <w:r>
              <w:rPr>
                <w:rFonts w:ascii="Georgia" w:cs="Georgia" w:eastAsia="Georgia" w:hAnsi="Georgia"/>
                <w:b/>
                <w:bCs/>
                <w:sz w:val="20"/>
                <w:szCs w:val="20"/>
              </w:rPr>
              <w:t xml:space="preserve">Licencia mínima supletoria sobre el producto base.</w:t>
            </w:r>
            <w:r>
              <w:rPr>
                <w:rFonts w:ascii="Georgia" w:cs="Georgia" w:eastAsia="Georgia" w:hAnsi="Georgia"/>
                <w:sz w:val="20"/>
                <w:szCs w:val="20"/>
              </w:rPr>
              <w:t xml:space="preserve"> Respecto del producto base, estándar o de mercado y de los componentes de terceros, y </w:t>
            </w:r>
            <w:r>
              <w:rPr>
                <w:rFonts w:ascii="Georgia" w:cs="Georgia" w:eastAsia="Georgia" w:hAnsi="Georgia"/>
                <w:b/>
                <w:bCs/>
                <w:sz w:val="20"/>
                <w:szCs w:val="20"/>
              </w:rPr>
              <w:t xml:space="preserve">como mínimo, aunque este pliego no disponga otra cosa</w:t>
            </w:r>
            <w:r>
              <w:rPr>
                <w:rFonts w:ascii="Georgia" w:cs="Georgia" w:eastAsia="Georgia" w:hAnsi="Georgia"/>
                <w:sz w:val="20"/>
                <w:szCs w:val="20"/>
              </w:rPr>
              <w:t xml:space="preserve">, el Ayuntamiento ostentará una licencia de uso no exclusiva, sin límite de personas usuarias ni de instalaciones, para todos los fines propios de sus competencias, durante la vigencia del contrato, sus prórrogas y el periodo de reversión, y </w:t>
            </w:r>
            <w:r>
              <w:rPr>
                <w:rFonts w:ascii="Georgia" w:cs="Georgia" w:eastAsia="Georgia" w:hAnsi="Georgia"/>
                <w:b/>
                <w:bCs/>
                <w:sz w:val="20"/>
                <w:szCs w:val="20"/>
              </w:rPr>
              <w:t xml:space="preserve">transferible a otras entidades del sector público</w:t>
            </w:r>
            <w:r>
              <w:rPr>
                <w:rFonts w:ascii="Georgia" w:cs="Georgia" w:eastAsia="Georgia" w:hAnsi="Georgia"/>
                <w:sz w:val="20"/>
                <w:szCs w:val="20"/>
              </w:rPr>
              <w:t xml:space="preserve"> a los solos efectos de los artículos 157 y 158 de la Ley 40/2015.</w:t>
            </w:r>
          </w:p>
          <w:p>
            <w:pPr>
              <w:pStyle w:val="ListParagraph"/>
              <w:numPr>
                <w:ilvl w:val="0"/>
                <w:numId w:val="2"/>
              </w:numPr>
              <w:spacing w:after="60" w:line="264"/>
            </w:pPr>
            <w:r>
              <w:rPr>
                <w:rFonts w:ascii="Georgia" w:cs="Georgia" w:eastAsia="Georgia" w:hAnsi="Georgia"/>
                <w:b/>
                <w:bCs/>
                <w:sz w:val="20"/>
                <w:szCs w:val="20"/>
              </w:rPr>
              <w:t xml:space="preserve">Delimitación documentada.</w:t>
            </w:r>
            <w:r>
              <w:rPr>
                <w:rFonts w:ascii="Georgia" w:cs="Georgia" w:eastAsia="Georgia" w:hAnsi="Georgia"/>
                <w:sz w:val="20"/>
                <w:szCs w:val="20"/>
              </w:rPr>
              <w:t xml:space="preserve"> La separación entre lo que es titularidad municipal y lo que es producto base se acredita mediante el </w:t>
            </w:r>
            <w:r>
              <w:rPr>
                <w:rFonts w:ascii="Georgia" w:cs="Georgia" w:eastAsia="Georgia" w:hAnsi="Georgia"/>
                <w:b/>
                <w:bCs/>
                <w:sz w:val="20"/>
                <w:szCs w:val="20"/>
              </w:rPr>
              <w:t xml:space="preserve">Inventario de Componentes</w:t>
            </w:r>
            <w:r>
              <w:rPr>
                <w:rFonts w:ascii="Georgia" w:cs="Georgia" w:eastAsia="Georgia" w:hAnsi="Georgia"/>
                <w:sz w:val="20"/>
                <w:szCs w:val="20"/>
              </w:rPr>
              <w:t xml:space="preserve"> exigido en la cláusula [DT-8] del pliego de prescripciones técnicas, mantenido desde el inicio de la ejecución y actualizado con cada versión puesta en producción. En defecto de Inventario, la delimitación se entenderá efectuada a favor del Ayuntamiento respecto de todo elemento que el adjudicatario no acredite documentalmente como preexistente al contrato.</w:t>
            </w:r>
          </w:p>
          <w:p>
            <w:pPr>
              <w:pStyle w:val="ListParagraph"/>
              <w:numPr>
                <w:ilvl w:val="0"/>
                <w:numId w:val="2"/>
              </w:numPr>
              <w:spacing w:after="60" w:line="264"/>
            </w:pPr>
            <w:r>
              <w:rPr>
                <w:rFonts w:ascii="Georgia" w:cs="Georgia" w:eastAsia="Georgia" w:hAnsi="Georgia"/>
                <w:b/>
                <w:bCs/>
                <w:sz w:val="20"/>
                <w:szCs w:val="20"/>
              </w:rPr>
              <w:t xml:space="preserve">Auditoría en actuación administrativa automatizada.</w:t>
            </w:r>
            <w:r>
              <w:rPr>
                <w:rFonts w:ascii="Georgia" w:cs="Georgia" w:eastAsia="Georgia" w:hAnsi="Georgia"/>
                <w:sz w:val="20"/>
                <w:szCs w:val="20"/>
              </w:rPr>
              <w:t xml:space="preserve"> Cuando el Ayuntamiento acuerde una actuación administrativa automatizada al amparo del artículo 41 de la Ley 40/2015, el adjudicatario garantizará al Ayuntamiento y a los auditores que este designe, sujetos a idéntico deber de confidencialidad, el acceso a la lógica, la parametrización y el código fuente de los componentes desarrollados específicamente para el Ayuntamiento, con la exclusiva finalidad de auditoría y sin facultad alguna de explotación comercial.</w:t>
            </w:r>
          </w:p>
          <w:p>
            <w:pPr>
              <w:pStyle w:val="ListParagraph"/>
              <w:numPr>
                <w:ilvl w:val="0"/>
                <w:numId w:val="2"/>
              </w:numPr>
              <w:spacing w:after="60" w:line="264"/>
            </w:pPr>
            <w:r>
              <w:rPr>
                <w:rFonts w:ascii="Georgia" w:cs="Georgia" w:eastAsia="Georgia" w:hAnsi="Georgia"/>
                <w:b/>
                <w:bCs/>
                <w:sz w:val="20"/>
                <w:szCs w:val="20"/>
              </w:rPr>
              <w:t xml:space="preserve">Coherencia con el pliego técnico.</w:t>
            </w:r>
            <w:r>
              <w:rPr>
                <w:rFonts w:ascii="Georgia" w:cs="Georgia" w:eastAsia="Georgia" w:hAnsi="Georgia"/>
                <w:sz w:val="20"/>
                <w:szCs w:val="20"/>
              </w:rPr>
              <w:t xml:space="preserve"> Esta cláusula se corresponde con el apartado 7 de la cláusula [DT-1] del pliego de prescripciones técnicas y debe interpretarse conjuntamente con ella y con la cláusula [DT-8] de reversibilidad.</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propiedad intelectual e industrial, y cuadro-resumen (casilla de cesión de derechos). Su espejo técnico va en DT-1·v3.7 del PPT, con la remisión recíproca del apartado 8, para que un licitador que sólo examine el pliego técnico no interprete la titularidad con un alcance distinto.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308.1 LCSP: la cesión de la propiedad intelectual en los contratos de servicios que tengan por objeto el desarrollo y puesta a disposición de productos protegidos opera «salvo que se disponga otra cosa en los pliegos», es decir, como </w:t>
      </w:r>
      <w:r>
        <w:rPr>
          <w:rFonts w:ascii="Calibri" w:cs="Calibri" w:eastAsia="Calibri" w:hAnsi="Calibri"/>
          <w:b/>
          <w:bCs/>
          <w:sz w:val="21"/>
          <w:szCs w:val="21"/>
        </w:rPr>
        <w:t xml:space="preserve">regla dispositiva</w:t>
      </w:r>
      <w:r>
        <w:rPr>
          <w:rFonts w:ascii="Calibri" w:cs="Calibri" w:eastAsia="Calibri" w:hAnsi="Calibri"/>
          <w:sz w:val="21"/>
          <w:szCs w:val="21"/>
        </w:rPr>
        <w:t xml:space="preserve"> que el pliego puede modular; y el mismo precepto habilita al órgano de contratación a autorizar siempre el uso del producto a otras entidades del sector público. Arts. 43.2, 97.4, 99 y 100 del texto refundido de la Ley de Propiedad Intelectual (RDLeg 1/1996). Arts. 157 y 158 de la Ley 40/2015, que obligan a poner las aplicaciones a disposición de cualquier Administración que lo solicite, pero </w:t>
      </w:r>
      <w:r>
        <w:rPr>
          <w:rFonts w:ascii="Calibri" w:cs="Calibri" w:eastAsia="Calibri" w:hAnsi="Calibri"/>
          <w:b/>
          <w:bCs/>
          <w:sz w:val="21"/>
          <w:szCs w:val="21"/>
        </w:rPr>
        <w:t xml:space="preserve">sólo respecto de aquellas de cuyos derechos se sea titular</w:t>
      </w:r>
      <w:r>
        <w:rPr>
          <w:rFonts w:ascii="Calibri" w:cs="Calibri" w:eastAsia="Calibri" w:hAnsi="Calibri"/>
          <w:sz w:val="21"/>
          <w:szCs w:val="21"/>
        </w:rPr>
        <w:t xml:space="preserve">. Art. 41.2 de la Ley 40/2015 para el apartado 7.</w:t>
      </w:r>
    </w:p>
    <w:p>
      <w:pPr>
        <w:spacing w:after="140" w:line="276"/>
      </w:pPr>
      <w:r>
        <w:rPr>
          <w:rFonts w:ascii="Calibri" w:cs="Calibri" w:eastAsia="Calibri" w:hAnsi="Calibri"/>
          <w:sz w:val="21"/>
          <w:szCs w:val="21"/>
        </w:rPr>
        <w:t xml:space="preserve">Encaje de tipo contractual: la adquisición de programas de ordenador es contrato de </w:t>
      </w:r>
      <w:r>
        <w:rPr>
          <w:rFonts w:ascii="Calibri" w:cs="Calibri" w:eastAsia="Calibri" w:hAnsi="Calibri"/>
          <w:b/>
          <w:bCs/>
          <w:sz w:val="21"/>
          <w:szCs w:val="21"/>
        </w:rPr>
        <w:t xml:space="preserve">suministro</w:t>
      </w:r>
      <w:r>
        <w:rPr>
          <w:rFonts w:ascii="Calibri" w:cs="Calibri" w:eastAsia="Calibri" w:hAnsi="Calibri"/>
          <w:sz w:val="21"/>
          <w:szCs w:val="21"/>
        </w:rPr>
        <w:t xml:space="preserve">, salvo que se trate de programas confeccionados a medida, en cuyo caso es contrato de servicios (Junta Consultiva de Contratación Pública del Estado, expediente 58/18, sobre interpretación del artículo 9 LCSP: &lt;https://www.hacienda.gob.es/DGPatrimonio/junta%20consultiva/informes/informes2019/2018-58interpretaci%C3%B3nart%C3%ADculo9lcsp.pdf&gt;). </w:t>
      </w:r>
      <w:r>
        <w:rPr>
          <w:rFonts w:ascii="Calibri" w:cs="Calibri" w:eastAsia="Calibri" w:hAnsi="Calibri"/>
          <w:b/>
          <w:bCs/>
          <w:sz w:val="21"/>
          <w:szCs w:val="21"/>
        </w:rPr>
        <w:t xml:space="preserve">Consecuencia práctica:</w:t>
      </w:r>
      <w:r>
        <w:rPr>
          <w:rFonts w:ascii="Calibri" w:cs="Calibri" w:eastAsia="Calibri" w:hAnsi="Calibri"/>
          <w:sz w:val="21"/>
          <w:szCs w:val="21"/>
        </w:rPr>
        <w:t xml:space="preserve"> el art. 308.1 LCSP no ampara exigencias de titularidad ni de entrega de código en un contrato de suministro de producto de mercado. En esos contratos, esta cláusula se aplica únicamente en sus apartados 4 y 5.</w:t>
      </w:r>
    </w:p>
    <w:p>
      <w:pPr>
        <w:spacing w:after="140" w:line="276"/>
      </w:pPr>
      <w:r>
        <w:rPr>
          <w:rFonts w:ascii="Calibri" w:cs="Calibri" w:eastAsia="Calibri" w:hAnsi="Calibri"/>
          <w:sz w:val="21"/>
          <w:szCs w:val="21"/>
        </w:rPr>
        <w:t xml:space="preserve">Doctrina, trasladada por analogía: el Tribunal Administrativo Central de Recursos Contractuales, en su Resolución 823/2019, de 11 de julio de 2019, recursos 565/2019 y 568/2019 (Colegio de Arquitectos de Cataluña y CSCAE contra pliegos de AENA, expediente DIN-113/2019), </w:t>
      </w:r>
      <w:r>
        <w:rPr>
          <w:rFonts w:ascii="Calibri" w:cs="Calibri" w:eastAsia="Calibri" w:hAnsi="Calibri"/>
          <w:b/>
          <w:bCs/>
          <w:sz w:val="21"/>
          <w:szCs w:val="21"/>
        </w:rPr>
        <w:t xml:space="preserve">desestimó</w:t>
      </w:r>
      <w:r>
        <w:rPr>
          <w:rFonts w:ascii="Calibri" w:cs="Calibri" w:eastAsia="Calibri" w:hAnsi="Calibri"/>
          <w:sz w:val="21"/>
          <w:szCs w:val="21"/>
        </w:rPr>
        <w:t xml:space="preserve"> el recurso contra una cláusula de cesión plena de propiedad intelectual y declaró que «la cesión de los derechos de propiedad intelectual e industrial es, además de una clausula [sic] habitual y normal en esta clase de contratos e incluso obligada en los contratos de servicios que tengan por objeto el desarrollo de productos protegidos por un derecho de propiedad intelectual o industrial (art. 308 LCSP), salvo pacto expreso en contrario» (&lt;https://www.hacienda.gob.es/TACRC/Resoluciones/A%C3%B1o%202019/Recursos%200565%20y%200568-2019%20(Res%20823)%2011-07-2019%20corregida.pdf&gt;). </w:t>
      </w:r>
      <w:r>
        <w:rPr>
          <w:rFonts w:ascii="Calibri" w:cs="Calibri" w:eastAsia="Calibri" w:hAnsi="Calibri"/>
          <w:b/>
          <w:bCs/>
          <w:sz w:val="21"/>
          <w:szCs w:val="21"/>
        </w:rPr>
        <w:t xml:space="preserve">Se dicta bajo la Ley 31/2007, de sectores especiales (LCSE)</w:t>
      </w:r>
      <w:r>
        <w:rPr>
          <w:rFonts w:ascii="Calibri" w:cs="Calibri" w:eastAsia="Calibri" w:hAnsi="Calibri"/>
          <w:sz w:val="21"/>
          <w:szCs w:val="21"/>
        </w:rPr>
        <w:t xml:space="preserve">, y su parte dispositiva se apoya en los artículos 106.4 y 106.5 de esa ley: la traslación a un contrato administrativo sujeto a la LCSP es de materia y de régimen, y así debe hacerse constar. Lo que salvó aquella cláusula fue exactamente lo que aquí se reproduce: la remisión expresa a la legislación específica de propiedad intelectual y el respeto de los derechos morales.</w:t>
      </w:r>
    </w:p>
    <w:p>
      <w:pPr>
        <w:spacing w:after="140" w:line="276"/>
      </w:pPr>
      <w:r>
        <w:rPr>
          <w:rFonts w:ascii="Calibri" w:cs="Calibri" w:eastAsia="Calibri" w:hAnsi="Calibri"/>
          <w:sz w:val="21"/>
          <w:szCs w:val="21"/>
        </w:rPr>
        <w:t xml:space="preserve">Argumento de concurrencia a favor, para la memoria: la reversibilidad y la no dependencia abren mercado en lugar de cerrarlo. Comunicación de la Comisión COM(2013) 455 final, «Contra la dependencia de un proveedor: construir sistemas de TIC abiertos mediante una mejor utilización de normas en la contratación pública» (&lt;https://eur-lex.europa.eu/legal-content/ES/TXT/HTML/?uri=CELEX:52013DC0455&gt;).</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responsable del licitador de aceptación de la cesión en los términos de esta cláusula, en el modelo del Anexo VII; (b) </w:t>
      </w:r>
      <w:r>
        <w:rPr>
          <w:rFonts w:ascii="Calibri" w:cs="Calibri" w:eastAsia="Calibri" w:hAnsi="Calibri"/>
          <w:b/>
          <w:bCs/>
          <w:sz w:val="21"/>
          <w:szCs w:val="21"/>
        </w:rPr>
        <w:t xml:space="preserve">Inventario de Componentes</w:t>
      </w:r>
      <w:r>
        <w:rPr>
          <w:rFonts w:ascii="Calibri" w:cs="Calibri" w:eastAsia="Calibri" w:hAnsi="Calibri"/>
          <w:sz w:val="21"/>
          <w:szCs w:val="21"/>
        </w:rPr>
        <w:t xml:space="preserve"> entregado en el plazo fijado en DT-8·v3 y actualizado con cada versión puesta en producción; (c) certificación del adjudicatario, cuando integre componentes de terceros, de que dispone de las licencias que amparan la licencia mínima supletoria del apartado 5, con identificación del licenciante y del alcance; (d) acta de entrega del repositorio del contrato en cada hito.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w:t>
            </w:r>
            <w:r>
              <w:rPr>
                <w:rFonts w:ascii="Calibri" w:cs="Calibri" w:eastAsia="Calibri" w:hAnsi="Calibri"/>
                <w:b/>
                <w:bCs/>
                <w:sz w:val="18"/>
                <w:szCs w:val="18"/>
              </w:rPr>
              <w:t xml:space="preserve">[X; se recomienda 3] meses</w:t>
            </w:r>
            <w:r>
              <w:rPr>
                <w:rFonts w:ascii="Calibri" w:cs="Calibri" w:eastAsia="Calibri" w:hAnsi="Calibri"/>
                <w:b w:val="false"/>
                <w:bCs w:val="false"/>
                <w:sz w:val="18"/>
                <w:szCs w:val="18"/>
              </w:rPr>
              <w:t xml:space="preserve"> del inicio y 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cotejado con el repositorio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Anualmente, en la Comisión de Seguimiento de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con constancia del inventario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finalización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reversión (DT-8·v3), que certifica que lo entregado coincide con el inventario</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cotejo del Inventario de Componentes, más 4 a 6 horas concentradas en el momento de la reversión. Si el contrato no tiene desarrollo específico, la carga es cero y la cláusula debe marcarse NO APLICA en sus apartados 1 a 3.</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entrega o falta de actualización del Inventario de Componentes:</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penalidades de ADM-5·v3, con la penalidad allí tipificada, dentro de los límites del art. 192.1 LCSP (10 por ciento del precio del contrato, IVA excluido, por cada penalidad; 50 por ciento del total).</w:t>
      </w:r>
    </w:p>
    <w:p>
      <w:pPr>
        <w:pStyle w:val="ListParagraph"/>
        <w:numPr>
          <w:ilvl w:val="0"/>
          <w:numId w:val="1"/>
        </w:numPr>
        <w:spacing w:after="70" w:line="268"/>
      </w:pPr>
      <w:r>
        <w:rPr>
          <w:rFonts w:ascii="Calibri" w:cs="Calibri" w:eastAsia="Calibri" w:hAnsi="Calibri"/>
          <w:b/>
          <w:bCs/>
          <w:sz w:val="21"/>
          <w:szCs w:val="21"/>
        </w:rPr>
        <w:t xml:space="preserve">Negativa a entregar el código fuente y objeto de los desarrollos específicos, o entrega incompleta o no ejecutable: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la entrega íntegra del material de titularidad municipal en la reversión, por remisión a la lista cerrada de ADM-6·v3, bloque B. El resto de los apartados de esta cláusula no tiene carácter esencial.</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de suministro de software estándar de mercado</w:t>
      </w:r>
      <w:r>
        <w:rPr>
          <w:rFonts w:ascii="Calibri" w:cs="Calibri" w:eastAsia="Calibri" w:hAnsi="Calibri"/>
          <w:sz w:val="21"/>
          <w:szCs w:val="21"/>
        </w:rPr>
        <w:t xml:space="preserve"> sin desarrollo específico: se aplican únicamente los apartados 4 y 5. Exigir titularidad sobre el producto en un contrato de suministro carece de base en el art. 308.1 LCSP.</w:t>
      </w:r>
    </w:p>
    <w:p>
      <w:pPr>
        <w:pStyle w:val="ListParagraph"/>
        <w:numPr>
          <w:ilvl w:val="0"/>
          <w:numId w:val="1"/>
        </w:numPr>
        <w:spacing w:after="70" w:line="268"/>
      </w:pPr>
      <w:r>
        <w:rPr>
          <w:rFonts w:ascii="Calibri" w:cs="Calibri" w:eastAsia="Calibri" w:hAnsi="Calibri"/>
          <w:b/>
          <w:bCs/>
          <w:sz w:val="21"/>
          <w:szCs w:val="21"/>
        </w:rPr>
        <w:t xml:space="preserve">Contratos de servicios sin generación de obra protegida</w:t>
      </w:r>
      <w:r>
        <w:rPr>
          <w:rFonts w:ascii="Calibri" w:cs="Calibri" w:eastAsia="Calibri" w:hAnsi="Calibri"/>
          <w:sz w:val="21"/>
          <w:szCs w:val="21"/>
        </w:rPr>
        <w:t xml:space="preserve"> (por ejemplo, soporte de usuario u operación sin desarrollo): NO APLICA.</w:t>
      </w:r>
    </w:p>
    <w:p>
      <w:pPr>
        <w:pStyle w:val="ListParagraph"/>
        <w:numPr>
          <w:ilvl w:val="0"/>
          <w:numId w:val="1"/>
        </w:numPr>
        <w:spacing w:after="70" w:line="268"/>
      </w:pPr>
      <w:r>
        <w:rPr>
          <w:rFonts w:ascii="Calibri" w:cs="Calibri" w:eastAsia="Calibri" w:hAnsi="Calibri"/>
          <w:b/>
          <w:bCs/>
          <w:sz w:val="21"/>
          <w:szCs w:val="21"/>
        </w:rPr>
        <w:t xml:space="preserve">Servicios en modalidad de software como servicio sin desarrollo específico ni parametrización sustantiva</w:t>
      </w:r>
      <w:r>
        <w:rPr>
          <w:rFonts w:ascii="Calibri" w:cs="Calibri" w:eastAsia="Calibri" w:hAnsi="Calibri"/>
          <w:sz w:val="21"/>
          <w:szCs w:val="21"/>
        </w:rPr>
        <w:t xml:space="preserve">: se aplican los apartados 4 y 5, y el apartado 1 sólo respecto de datos, </w:t>
      </w:r>
      <w:r>
        <w:rPr>
          <w:rFonts w:ascii="Calibri" w:cs="Calibri" w:eastAsia="Calibri" w:hAnsi="Calibri"/>
          <w:i/>
          <w:iCs/>
          <w:sz w:val="21"/>
          <w:szCs w:val="21"/>
        </w:rPr>
        <w:t xml:space="preserve">prompts</w:t>
      </w:r>
      <w:r>
        <w:rPr>
          <w:rFonts w:ascii="Calibri" w:cs="Calibri" w:eastAsia="Calibri" w:hAnsi="Calibri"/>
          <w:sz w:val="21"/>
          <w:szCs w:val="21"/>
        </w:rPr>
        <w:t xml:space="preserve"> corporativos y bases de conocimiento municipales.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7 de DT-1·v3, la referencia al Inventario de Componentes en DT-8·v3, las dos filas correspondientes del cuadro de penalidades de ADM-5·v3 y la mención de ADM-8 en la lista de esencialidades de ADM-6·v3.</w:t>
      </w:r>
    </w:p>
    <w:p>
      <w:pPr>
        <w:pStyle w:val="Heading3"/>
        <w:keepNext/>
        <w:spacing w:after="140" w:before="320"/>
      </w:pPr>
      <w:r>
        <w:rPr>
          <w:rFonts w:ascii="Georgia" w:cs="Georgia" w:eastAsia="Georgia" w:hAnsi="Georgia"/>
          <w:b/>
          <w:bCs/>
          <w:color w:val="2F5496"/>
          <w:sz w:val="22"/>
          <w:szCs w:val="22"/>
        </w:rPr>
        <w:t xml:space="preserve">Nota al redactor · Los tres defectos que la propuesta de modificaciones no vio</w:t>
      </w:r>
    </w:p>
    <w:p>
      <w:pPr>
        <w:spacing w:after="140" w:line="276"/>
      </w:pPr>
      <w:r>
        <w:rPr>
          <w:rFonts w:ascii="Calibri" w:cs="Calibri" w:eastAsia="Calibri" w:hAnsi="Calibri"/>
          <w:sz w:val="21"/>
          <w:szCs w:val="21"/>
        </w:rPr>
        <w:t xml:space="preserve">Esta cláusula incorpora las modificaciones 3 y 4 del documento de propuesta de modificaciones —las modificaciones 1 y 2, sobre la reversibilidad y su definición, se integran en DT-8·v3 y en las definiciones de la Parte I— y corrige tres defectos que ese documento no advirtió:</w:t>
      </w:r>
    </w:p>
    <w:p>
      <w:pPr>
        <w:pStyle w:val="ListParagraph"/>
        <w:numPr>
          <w:ilvl w:val="0"/>
          <w:numId w:val="1"/>
        </w:numPr>
        <w:spacing w:after="70" w:line="268"/>
      </w:pPr>
      <w:r>
        <w:rPr>
          <w:rFonts w:ascii="Calibri" w:cs="Calibri" w:eastAsia="Calibri" w:hAnsi="Calibri"/>
          <w:sz w:val="21"/>
          <w:szCs w:val="21"/>
        </w:rPr>
        <w:t xml:space="preserve">Una cesión sin mención de tiempo, ámbito territorial y modalidades de explotación </w:t>
      </w:r>
      <w:r>
        <w:rPr>
          <w:rFonts w:ascii="Calibri" w:cs="Calibri" w:eastAsia="Calibri" w:hAnsi="Calibri"/>
          <w:b/>
          <w:bCs/>
          <w:sz w:val="21"/>
          <w:szCs w:val="21"/>
        </w:rPr>
        <w:t xml:space="preserve">caduca</w:t>
      </w:r>
      <w:r>
        <w:rPr>
          <w:rFonts w:ascii="Calibri" w:cs="Calibri" w:eastAsia="Calibri" w:hAnsi="Calibri"/>
          <w:sz w:val="21"/>
          <w:szCs w:val="21"/>
        </w:rPr>
        <w:t xml:space="preserve">. El art. 43.2 TRLPI es literal: «La falta de mención del tiempo limita la transmisión a cinco años y la del ámbito territorial al país en el que se realice la cesión. Si no se expresan específicamente y de modo concreto las modalidades de explotación de la obra, la cesión quedará limitada a aquella que se deduzca necesariamente del propio contrato». El Ayuntamiento cree tener la titularidad a perpetuidad y jurídicamente la pierde al quinto año.</w:t>
      </w:r>
    </w:p>
    <w:p>
      <w:pPr>
        <w:pStyle w:val="ListParagraph"/>
        <w:numPr>
          <w:ilvl w:val="0"/>
          <w:numId w:val="1"/>
        </w:numPr>
        <w:spacing w:after="70" w:line="268"/>
      </w:pPr>
      <w:r>
        <w:rPr>
          <w:rFonts w:ascii="Calibri" w:cs="Calibri" w:eastAsia="Calibri" w:hAnsi="Calibri"/>
          <w:sz w:val="21"/>
          <w:szCs w:val="21"/>
        </w:rPr>
        <w:t xml:space="preserve">Sin </w:t>
      </w:r>
      <w:r>
        <w:rPr>
          <w:rFonts w:ascii="Calibri" w:cs="Calibri" w:eastAsia="Calibri" w:hAnsi="Calibri"/>
          <w:b/>
          <w:bCs/>
          <w:sz w:val="21"/>
          <w:szCs w:val="21"/>
        </w:rPr>
        <w:t xml:space="preserve">licencia mínima supletoria</w:t>
      </w:r>
      <w:r>
        <w:rPr>
          <w:rFonts w:ascii="Calibri" w:cs="Calibri" w:eastAsia="Calibri" w:hAnsi="Calibri"/>
          <w:sz w:val="21"/>
          <w:szCs w:val="21"/>
        </w:rPr>
        <w:t xml:space="preserve"> sobre el producto base, el Ayuntamiento no puede poner la aplicación a disposición de otra Administración que se la pida y, por tanto, no puede cumplir el art. 157.1 de la Ley 40/2015, que obliga a hacerlo respecto de las aplicaciones «de cuyos derechos de propiedad intelectual sean titulares». El art. 99 TRLPI presume la cesión de uso no exclusiva e intransferible: si el pliego calla, el Ayuntamiento no puede ceder.</w:t>
      </w:r>
    </w:p>
    <w:p>
      <w:pPr>
        <w:pStyle w:val="ListParagraph"/>
        <w:numPr>
          <w:ilvl w:val="0"/>
          <w:numId w:val="1"/>
        </w:numPr>
        <w:spacing w:after="70" w:line="268"/>
      </w:pPr>
      <w:r>
        <w:rPr>
          <w:rFonts w:ascii="Calibri" w:cs="Calibri" w:eastAsia="Calibri" w:hAnsi="Calibri"/>
          <w:sz w:val="21"/>
          <w:szCs w:val="21"/>
        </w:rPr>
        <w:t xml:space="preserve">El texto propuesto dejaba abierta una remisión de contenido indeterminado («los derechos de uso que el pliego determine»). Se sustituye por un mínimo que opera </w:t>
      </w:r>
      <w:r>
        <w:rPr>
          <w:rFonts w:ascii="Calibri" w:cs="Calibri" w:eastAsia="Calibri" w:hAnsi="Calibri"/>
          <w:b/>
          <w:bCs/>
          <w:sz w:val="21"/>
          <w:szCs w:val="21"/>
        </w:rPr>
        <w:t xml:space="preserve">aunque el pliego calle</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Y delimita lo que </w:t>
      </w:r>
      <w:r>
        <w:rPr>
          <w:rFonts w:ascii="Calibri" w:cs="Calibri" w:eastAsia="Calibri" w:hAnsi="Calibri"/>
          <w:b/>
          <w:bCs/>
          <w:sz w:val="21"/>
          <w:szCs w:val="21"/>
        </w:rPr>
        <w:t xml:space="preserve">no</w:t>
      </w:r>
      <w:r>
        <w:rPr>
          <w:rFonts w:ascii="Calibri" w:cs="Calibri" w:eastAsia="Calibri" w:hAnsi="Calibri"/>
          <w:sz w:val="21"/>
          <w:szCs w:val="21"/>
        </w:rPr>
        <w:t xml:space="preserve"> se exige: el código fuente del producto base o estándar del adjudicatario. Esa exigencia, leída literalmente en la versión anterior, no la acepta ningún fabricante de software de mercado y disuade de licitar a proveedores solventes.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III.9 · ADM-9·v3 — Verificación mediante demostración funcional</w:t>
      </w:r>
    </w:p>
    <w:p>
      <w:pPr>
        <w:spacing w:after="140" w:line="276"/>
      </w:pPr>
      <w:r>
        <w:rPr>
          <w:rFonts w:ascii="Calibri" w:cs="Calibri" w:eastAsia="Calibri" w:hAnsi="Calibri"/>
          <w:i/>
          <w:iCs/>
          <w:sz w:val="21"/>
          <w:szCs w:val="21"/>
        </w:rPr>
        <w:t xml:space="preserve">(Sustituye a ADM-9 de v2. La demostración deja de ser criterio de adjudicación y pasa a ser medio de comprobación efectiva del art. 145.5.c) LCSP, con el único efecto de confirmar o retirar puntos ya asignados por escrito. El fundamento de esa degradación y su encaje con la disposición adicional 15.ª.2 LCSP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Verificación mediante demostración funcional.</w:t>
            </w:r>
          </w:p>
          <w:p>
            <w:pPr>
              <w:pStyle w:val="ListParagraph"/>
              <w:numPr>
                <w:ilvl w:val="0"/>
                <w:numId w:val="2"/>
              </w:numPr>
              <w:spacing w:after="60" w:line="264"/>
            </w:pPr>
            <w:r>
              <w:rPr>
                <w:rFonts w:ascii="Georgia" w:cs="Georgia" w:eastAsia="Georgia" w:hAnsi="Georgia"/>
                <w:b/>
                <w:bCs/>
                <w:sz w:val="20"/>
                <w:szCs w:val="20"/>
              </w:rPr>
              <w:t xml:space="preserve">Naturaleza y función.</w:t>
            </w:r>
            <w:r>
              <w:rPr>
                <w:rFonts w:ascii="Georgia" w:cs="Georgia" w:eastAsia="Georgia" w:hAnsi="Georgia"/>
                <w:sz w:val="20"/>
                <w:szCs w:val="20"/>
              </w:rPr>
              <w:t xml:space="preserve"> La demostración funcional es un medio de comprobación efectiva de la exactitud de la información facilitada por los licitadores, conforme al artículo 145.5.c) de la LCSP. </w:t>
            </w:r>
            <w:r>
              <w:rPr>
                <w:rFonts w:ascii="Georgia" w:cs="Georgia" w:eastAsia="Georgia" w:hAnsi="Georgia"/>
                <w:b/>
                <w:bCs/>
                <w:sz w:val="20"/>
                <w:szCs w:val="20"/>
              </w:rPr>
              <w:t xml:space="preserve">No constituye criterio de adjudicación y no atribuye puntuación alguna.</w:t>
            </w:r>
            <w:r>
              <w:rPr>
                <w:rFonts w:ascii="Georgia" w:cs="Georgia" w:eastAsia="Georgia" w:hAnsi="Georgia"/>
                <w:sz w:val="20"/>
                <w:szCs w:val="20"/>
              </w:rPr>
              <w:t xml:space="preserve"> Su único efecto es confirmar o retirar la puntuación previamente asignada a las declaraciones contenidas por escrito en la oferta.</w:t>
            </w:r>
          </w:p>
          <w:p>
            <w:pPr>
              <w:pStyle w:val="ListParagraph"/>
              <w:numPr>
                <w:ilvl w:val="0"/>
                <w:numId w:val="2"/>
              </w:numPr>
              <w:spacing w:after="60" w:line="264"/>
            </w:pPr>
            <w:r>
              <w:rPr>
                <w:rFonts w:ascii="Georgia" w:cs="Georgia" w:eastAsia="Georgia" w:hAnsi="Georgia"/>
                <w:b/>
                <w:bCs/>
                <w:sz w:val="20"/>
                <w:szCs w:val="20"/>
              </w:rPr>
              <w:t xml:space="preserve">Objeto acotado.</w:t>
            </w:r>
            <w:r>
              <w:rPr>
                <w:rFonts w:ascii="Georgia" w:cs="Georgia" w:eastAsia="Georgia" w:hAnsi="Georgia"/>
                <w:sz w:val="20"/>
                <w:szCs w:val="20"/>
              </w:rPr>
              <w:t xml:space="preserve"> Únicamente se verificarán los elementos que figuren en la </w:t>
            </w:r>
            <w:r>
              <w:rPr>
                <w:rFonts w:ascii="Georgia" w:cs="Georgia" w:eastAsia="Georgia" w:hAnsi="Georgia"/>
                <w:b/>
                <w:bCs/>
                <w:sz w:val="20"/>
                <w:szCs w:val="20"/>
              </w:rPr>
              <w:t xml:space="preserve">relación cerrada y numerada</w:t>
            </w:r>
            <w:r>
              <w:rPr>
                <w:rFonts w:ascii="Georgia" w:cs="Georgia" w:eastAsia="Georgia" w:hAnsi="Georgia"/>
                <w:sz w:val="20"/>
                <w:szCs w:val="20"/>
              </w:rPr>
              <w:t xml:space="preserve"> publicada en el Anexo [ ] de este pliego, y sólo en la medida en que el licitador los haya descrito por escrito en su oferta, presentada en plazo. Las capacidades mostradas durante la sesión que no consten descritas en la oferta </w:t>
            </w:r>
            <w:r>
              <w:rPr>
                <w:rFonts w:ascii="Georgia" w:cs="Georgia" w:eastAsia="Georgia" w:hAnsi="Georgia"/>
                <w:b/>
                <w:bCs/>
                <w:sz w:val="20"/>
                <w:szCs w:val="20"/>
              </w:rPr>
              <w:t xml:space="preserve">no se valorarán en ningún caso</w:t>
            </w:r>
            <w:r>
              <w:rPr>
                <w:rFonts w:ascii="Georgia" w:cs="Georgia" w:eastAsia="Georgia" w:hAnsi="Georgia"/>
                <w:sz w:val="20"/>
                <w:szCs w:val="20"/>
              </w:rPr>
              <w:t xml:space="preserve">. Las capacidades descritas en la oferta y no acreditadas en la sesión se puntuarán con cero en el subcriterio correspondiente.</w:t>
            </w:r>
          </w:p>
          <w:p>
            <w:pPr>
              <w:spacing w:after="100" w:line="264"/>
            </w:pPr>
            <w:r>
              <w:rPr>
                <w:rFonts w:ascii="Georgia" w:cs="Georgia" w:eastAsia="Georgia" w:hAnsi="Georgia"/>
                <w:b/>
                <w:bCs/>
                <w:sz w:val="20"/>
                <w:szCs w:val="20"/>
              </w:rPr>
              <w:t xml:space="preserve">Sobre en que se presenta cada declaración.</w:t>
            </w:r>
            <w:r>
              <w:rPr>
                <w:rFonts w:ascii="Georgia" w:cs="Georgia" w:eastAsia="Georgia" w:hAnsi="Georgia"/>
                <w:sz w:val="20"/>
                <w:szCs w:val="20"/>
              </w:rPr>
              <w:t xml:space="preserve"> Cada declaración del licitador se presenta en el sobre que corresponde al criterio al que sirve, sin excepción. Las que sirven a criterios sujetos a juicio de valor se presentan en el sobre de criterios sujetos a juicio de valor. Las que sirven a criterios evaluables mediante la mera aplicación de fórmulas —matriz de requisitos funcionales, relación de funciones expuestas por la interfaz y relación de procesos automatizados— </w:t>
            </w:r>
            <w:r>
              <w:rPr>
                <w:rFonts w:ascii="Georgia" w:cs="Georgia" w:eastAsia="Georgia" w:hAnsi="Georgia"/>
                <w:b/>
                <w:bCs/>
                <w:sz w:val="20"/>
                <w:szCs w:val="20"/>
              </w:rPr>
              <w:t xml:space="preserve">se presentan en el sobre de criterios evaluables mediante fórmulas</w:t>
            </w:r>
            <w:r>
              <w:rPr>
                <w:rFonts w:ascii="Georgia" w:cs="Georgia" w:eastAsia="Georgia" w:hAnsi="Georgia"/>
                <w:sz w:val="20"/>
                <w:szCs w:val="20"/>
              </w:rPr>
              <w:t xml:space="preserve">, junto con el resto de la proposición sometida a ese régimen (artículos 26 y 30.2 del Real Decreto 817/2009, de 8 de mayo, y artículo 146.2 de la LCSP).</w:t>
            </w:r>
          </w:p>
          <w:p>
            <w:pPr>
              <w:spacing w:after="100" w:line="264"/>
            </w:pPr>
            <w:r>
              <w:rPr>
                <w:rFonts w:ascii="Georgia" w:cs="Georgia" w:eastAsia="Georgia" w:hAnsi="Georgia"/>
                <w:b/>
                <w:bCs/>
                <w:sz w:val="20"/>
                <w:szCs w:val="20"/>
              </w:rPr>
              <w:t xml:space="preserve">Objeto de la sesión.</w:t>
            </w:r>
            <w:r>
              <w:rPr>
                <w:rFonts w:ascii="Georgia" w:cs="Georgia" w:eastAsia="Georgia" w:hAnsi="Georgia"/>
                <w:sz w:val="20"/>
                <w:szCs w:val="20"/>
              </w:rPr>
              <w:t xml:space="preserve"> La sesión regulada en el apartado 5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La exactitud de las declaraciones que sirven a criterios evaluables mediante fórmulas no se comprueba en esa sesión, sino en el trámite previsto en el párrafo segundo del apartado 5.</w:t>
            </w:r>
          </w:p>
          <w:p>
            <w:pPr>
              <w:pStyle w:val="ListParagraph"/>
              <w:numPr>
                <w:ilvl w:val="0"/>
                <w:numId w:val="2"/>
              </w:numPr>
              <w:spacing w:after="60" w:line="264"/>
            </w:pPr>
            <w:r>
              <w:rPr>
                <w:rFonts w:ascii="Georgia" w:cs="Georgia" w:eastAsia="Georgia" w:hAnsi="Georgia"/>
                <w:b/>
                <w:bCs/>
                <w:sz w:val="20"/>
                <w:szCs w:val="20"/>
              </w:rPr>
              <w:t xml:space="preserve">La demostración no integra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 La oferta es, a todos los efectos, el documento presentado dentro del plazo de presentación.</w:t>
            </w:r>
          </w:p>
          <w:p>
            <w:pPr>
              <w:pStyle w:val="ListParagraph"/>
              <w:numPr>
                <w:ilvl w:val="0"/>
                <w:numId w:val="2"/>
              </w:numPr>
              <w:spacing w:after="60" w:line="264"/>
            </w:pPr>
            <w:r>
              <w:rPr>
                <w:rFonts w:ascii="Georgia" w:cs="Georgia" w:eastAsia="Georgia" w:hAnsi="Georgia"/>
                <w:b/>
                <w:bCs/>
                <w:sz w:val="20"/>
                <w:szCs w:val="20"/>
              </w:rPr>
              <w:t xml:space="preserve">Prohibición de valorar la disponibilidad previa.</w:t>
            </w:r>
            <w:r>
              <w:rPr>
                <w:rFonts w:ascii="Georgia" w:cs="Georgia" w:eastAsia="Georgia" w:hAnsi="Georgia"/>
                <w:sz w:val="20"/>
                <w:szCs w:val="20"/>
              </w:rPr>
              <w:t xml:space="preserve"> No se asignará puntuación alguna por la disponibilidad de la solución, de sus módulos o de sus integraciones a la fecha de finalización del plazo de presentación de ofertas, ni por el resultado de la demostración considerado en sí mismo.</w:t>
            </w:r>
          </w:p>
          <w:p>
            <w:pPr>
              <w:pStyle w:val="ListParagraph"/>
              <w:numPr>
                <w:ilvl w:val="0"/>
                <w:numId w:val="2"/>
              </w:numPr>
              <w:spacing w:after="60" w:line="264"/>
            </w:pPr>
            <w:r>
              <w:rPr>
                <w:rFonts w:ascii="Georgia" w:cs="Georgia" w:eastAsia="Georgia" w:hAnsi="Georgia"/>
                <w:b/>
                <w:bCs/>
                <w:sz w:val="20"/>
                <w:szCs w:val="20"/>
              </w:rPr>
              <w:t xml:space="preserve">Momento.</w:t>
            </w:r>
            <w:r>
              <w:rPr>
                <w:rFonts w:ascii="Georgia" w:cs="Georgia" w:eastAsia="Georgia" w:hAnsi="Georgia"/>
                <w:sz w:val="20"/>
                <w:szCs w:val="20"/>
              </w:rPr>
              <w:t xml:space="preserve"> La demostración se celebrará una vez abierto el sobre de criterios sujetos a juicio de valor y, en todo caso, </w:t>
            </w:r>
            <w:r>
              <w:rPr>
                <w:rFonts w:ascii="Georgia" w:cs="Georgia" w:eastAsia="Georgia" w:hAnsi="Georgia"/>
                <w:b/>
                <w:bCs/>
                <w:sz w:val="20"/>
                <w:szCs w:val="20"/>
              </w:rPr>
              <w:t xml:space="preserve">antes de la apertura del sobre que contenga los criterios evaluables mediante la mera aplicación de fórmulas</w:t>
            </w:r>
            <w:r>
              <w:rPr>
                <w:rFonts w:ascii="Georgia" w:cs="Georgia" w:eastAsia="Georgia" w:hAnsi="Georgia"/>
                <w:sz w:val="20"/>
                <w:szCs w:val="20"/>
              </w:rPr>
              <w:t xml:space="preserve">, dejándose constancia documental de la valoración con carácter previo a dicha apertura (artículos 139.2 y 146.2 de la LCSP y artículos 26, 27.2 y 30.2 del Real Decreto 817/2009, de 8 de mayo). El calendario y el orden de intervención se determinarán por sorteo ante la mesa de contratación y se comunicarán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Este momento no podrá alterarse una vez publicados los pliegos.</w:t>
            </w:r>
          </w:p>
          <w:p>
            <w:pPr>
              <w:spacing w:after="100" w:line="264"/>
            </w:pPr>
            <w:r>
              <w:rPr>
                <w:rFonts w:ascii="Georgia" w:cs="Georgia" w:eastAsia="Georgia" w:hAnsi="Georgia"/>
                <w:b/>
                <w:bCs/>
                <w:sz w:val="20"/>
                <w:szCs w:val="20"/>
              </w:rPr>
              <w:t xml:space="preserve">Comprobación de las declaraciones que sirven a criterios evaluables mediante fórmulas.</w:t>
            </w:r>
            <w:r>
              <w:rPr>
                <w:rFonts w:ascii="Georgia" w:cs="Georgia" w:eastAsia="Georgia" w:hAnsi="Georgia"/>
                <w:sz w:val="20"/>
                <w:szCs w:val="20"/>
              </w:rPr>
              <w:t xml:space="preserve"> Abierto el sobre de criterios evaluables mediante fórmulas y practicada su valoración, se comprobará la exactitud de las declaraciones que hayan servido de base a esos criterios </w:t>
            </w:r>
            <w:r>
              <w:rPr>
                <w:rFonts w:ascii="Georgia" w:cs="Georgia" w:eastAsia="Georgia" w:hAnsi="Georgia"/>
                <w:b/>
                <w:bCs/>
                <w:sz w:val="20"/>
                <w:szCs w:val="20"/>
              </w:rPr>
              <w:t xml:space="preserve">respecto del licitador propuesto como adjudicatario</w:t>
            </w:r>
            <w:r>
              <w:rPr>
                <w:rFonts w:ascii="Georgia" w:cs="Georgia" w:eastAsia="Georgia" w:hAnsi="Georgia"/>
                <w:sz w:val="20"/>
                <w:szCs w:val="20"/>
              </w:rPr>
              <w:t xml:space="preserve">, en el trámite del artículo 150.2 de la LCSP. La comprobación se practicará por medios documentales sobre la relación cerrada del Anexo [ ] y, únicamente cuando el órgano de contratación motive que la documentación no permite resolver la duda, mediante una sesión celebrada con el guion, la relación cerrada y el modelo de acta de los apartados 6 a 8. Si la comprobación acredita que una declaración no es exacta, la puntuación se rectificará aplicando la fórmula publicada sobre los elementos efectivamente acreditados; si la rectificación altera el orden de clasificación, se formulará nueva propuesta de adjudicación a favor del licitador que resulte, sobre el que se practicará la misma comprobación. Esta comprobación no atribuye puntuación adicional y </w:t>
            </w:r>
            <w:r>
              <w:rPr>
                <w:rFonts w:ascii="Georgia" w:cs="Georgia" w:eastAsia="Georgia" w:hAnsi="Georgia"/>
                <w:b/>
                <w:bCs/>
                <w:sz w:val="20"/>
                <w:szCs w:val="20"/>
              </w:rPr>
              <w:t xml:space="preserve">no puede fundar por sí sola la exclusión</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Igualdad de condiciones.</w:t>
            </w:r>
            <w:r>
              <w:rPr>
                <w:rFonts w:ascii="Georgia" w:cs="Georgia" w:eastAsia="Georgia" w:hAnsi="Georgia"/>
                <w:sz w:val="20"/>
                <w:szCs w:val="20"/>
              </w:rPr>
              <w:t xml:space="preserve"> La sesión se regirá por el guion único publicado en el Anexo [ ], con la relación cerrada de elementos a verificar. Todos los licitadores dispondrán de idéntica duración máxima, del mismo entorno de referencia y de los mismos evaluadores. Cada sesión se celebrará sin presencia de los restantes licitadores y sin que se facilite información alguna sobre las demás ofertas. Ante una incidencia técnica no imputable al licitador se admitirá una única repetición, dejando constancia en acta.</w:t>
            </w:r>
          </w:p>
          <w:p>
            <w:pPr>
              <w:pStyle w:val="ListParagraph"/>
              <w:numPr>
                <w:ilvl w:val="0"/>
                <w:numId w:val="2"/>
              </w:numPr>
              <w:spacing w:after="60" w:line="264"/>
            </w:pPr>
            <w:r>
              <w:rPr>
                <w:rFonts w:ascii="Georgia" w:cs="Georgia" w:eastAsia="Georgia" w:hAnsi="Georgia"/>
                <w:b/>
                <w:bCs/>
                <w:sz w:val="20"/>
                <w:szCs w:val="20"/>
              </w:rPr>
              <w:t xml:space="preserve">Proporcionalidad y coste.</w:t>
            </w:r>
            <w:r>
              <w:rPr>
                <w:rFonts w:ascii="Georgia" w:cs="Georgia" w:eastAsia="Georgia" w:hAnsi="Georgia"/>
                <w:sz w:val="20"/>
                <w:szCs w:val="20"/>
              </w:rPr>
              <w:t xml:space="preserve"> La demostración se realizará </w:t>
            </w:r>
            <w:r>
              <w:rPr>
                <w:rFonts w:ascii="Georgia" w:cs="Georgia" w:eastAsia="Georgia" w:hAnsi="Georgia"/>
                <w:b/>
                <w:bCs/>
                <w:sz w:val="20"/>
                <w:szCs w:val="20"/>
              </w:rPr>
              <w:t xml:space="preserve">por videoconferencia sobre el entorno del propio licitador</w:t>
            </w:r>
            <w:r>
              <w:rPr>
                <w:rFonts w:ascii="Georgia" w:cs="Georgia" w:eastAsia="Georgia" w:hAnsi="Georgia"/>
                <w:sz w:val="20"/>
                <w:szCs w:val="20"/>
              </w:rPr>
              <w:t xml:space="preserve">, con una duración máxima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salvo que el expediente motive expresamente la necesidad de presencialidad. No se exigirá al licitador despliegue, instalación ni integración alguna en los sistemas municipales, ni entrega de bienes, ni asunción de gastos de desplazamiento de personal municipal. Se emplearán datos ficticios o anonimizados facilitados por el Ayuntamiento. La incomparecencia no determina la exclusión: los elementos declarados y no acreditados se puntúan con cero.</w:t>
            </w:r>
          </w:p>
          <w:p>
            <w:pPr>
              <w:pStyle w:val="ListParagraph"/>
              <w:numPr>
                <w:ilvl w:val="0"/>
                <w:numId w:val="2"/>
              </w:numPr>
              <w:spacing w:after="60" w:line="264"/>
            </w:pPr>
            <w:r>
              <w:rPr>
                <w:rFonts w:ascii="Georgia" w:cs="Georgia" w:eastAsia="Georgia" w:hAnsi="Georgia"/>
                <w:b/>
                <w:bCs/>
                <w:sz w:val="20"/>
                <w:szCs w:val="20"/>
              </w:rPr>
              <w:t xml:space="preserve">Documentación.</w:t>
            </w:r>
            <w:r>
              <w:rPr>
                <w:rFonts w:ascii="Georgia" w:cs="Georgia" w:eastAsia="Georgia" w:hAnsi="Georgia"/>
                <w:sz w:val="20"/>
                <w:szCs w:val="20"/>
              </w:rPr>
              <w:t xml:space="preserve"> De cada sesión se levantará </w:t>
            </w:r>
            <w:r>
              <w:rPr>
                <w:rFonts w:ascii="Georgia" w:cs="Georgia" w:eastAsia="Georgia" w:hAnsi="Georgia"/>
                <w:b/>
                <w:bCs/>
                <w:sz w:val="20"/>
                <w:szCs w:val="20"/>
              </w:rPr>
              <w:t xml:space="preserve">acta escrita detallada</w:t>
            </w:r>
            <w:r>
              <w:rPr>
                <w:rFonts w:ascii="Georgia" w:cs="Georgia" w:eastAsia="Georgia" w:hAnsi="Georgia"/>
                <w:sz w:val="20"/>
                <w:szCs w:val="20"/>
              </w:rPr>
              <w:t xml:space="preserve">, en la que se hará constar, en el mismo acto, para cada elemento de la relación cerrada: si consta descrito en la oferta, si ha sido acreditado, y la evidencia observada. Podrá realizarse además grabación sonora o audiovisual cuando el pliego lo prevea; en tal caso se anunciará en el propio pliego y la grabación se conservará hasta que la adjudicación sea firme, a disposición del órgano competente para resolver el recurso especial. El acceso de los demás licitadores al acta y, en su caso, a la grabación se rige por el artículo 133 de la LCSP.</w:t>
            </w:r>
          </w:p>
          <w:p>
            <w:pPr>
              <w:pStyle w:val="ListParagraph"/>
              <w:numPr>
                <w:ilvl w:val="0"/>
                <w:numId w:val="2"/>
              </w:numPr>
              <w:spacing w:after="60" w:line="264"/>
            </w:pPr>
            <w:r>
              <w:rPr>
                <w:rFonts w:ascii="Georgia" w:cs="Georgia" w:eastAsia="Georgia" w:hAnsi="Georgia"/>
                <w:b/>
                <w:bCs/>
                <w:sz w:val="20"/>
                <w:szCs w:val="20"/>
              </w:rPr>
              <w:t xml:space="preserve">Deslinde respecto de la solvencia y de las prescripciones técnicas mínimas.</w:t>
            </w:r>
            <w:r>
              <w:rPr>
                <w:rFonts w:ascii="Georgia" w:cs="Georgia" w:eastAsia="Georgia" w:hAnsi="Georgia"/>
                <w:sz w:val="20"/>
                <w:szCs w:val="20"/>
              </w:rPr>
              <w:t xml:space="preserve"> La demostración no acredita la solvencia técnica ni sustituye los medios de acreditación de los artículos 89 y 90 de la LCSP, y su resultado </w:t>
            </w:r>
            <w:r>
              <w:rPr>
                <w:rFonts w:ascii="Georgia" w:cs="Georgia" w:eastAsia="Georgia" w:hAnsi="Georgia"/>
                <w:b/>
                <w:bCs/>
                <w:sz w:val="20"/>
                <w:szCs w:val="20"/>
              </w:rPr>
              <w:t xml:space="preserve">no podrá fundar por sí solo la exclusión del licitador</w:t>
            </w:r>
            <w:r>
              <w:rPr>
                <w:rFonts w:ascii="Georgia" w:cs="Georgia" w:eastAsia="Georgia" w:hAnsi="Georgia"/>
                <w:sz w:val="20"/>
                <w:szCs w:val="20"/>
              </w:rPr>
              <w:t xml:space="preserve">. Si el órgano de contratación pretende que una comprobación pueda determinar la inadmisión de la oferta por incumplimiento de prescripciones técnicas mínimas, deberá configurarlo así de forma expresa y separada en este pliego, referirlo a esos mínimos, y resolverlo en el momento de la calificación de la documentación, antes de la apertura de los sobres de criterios.</w:t>
            </w:r>
          </w:p>
          <w:p>
            <w:pPr>
              <w:pStyle w:val="ListParagraph"/>
              <w:numPr>
                <w:ilvl w:val="0"/>
                <w:numId w:val="2"/>
              </w:numPr>
              <w:spacing w:after="60" w:line="264"/>
            </w:pPr>
            <w:r>
              <w:rPr>
                <w:rFonts w:ascii="Georgia" w:cs="Georgia" w:eastAsia="Georgia" w:hAnsi="Georgia"/>
                <w:b/>
                <w:bCs/>
                <w:sz w:val="20"/>
                <w:szCs w:val="20"/>
              </w:rPr>
              <w:t xml:space="preserve">Ámbito de aplicación.</w:t>
            </w:r>
            <w:r>
              <w:rPr>
                <w:rFonts w:ascii="Georgia" w:cs="Georgia" w:eastAsia="Georgia" w:hAnsi="Georgia"/>
                <w:sz w:val="20"/>
                <w:szCs w:val="20"/>
              </w:rPr>
              <w:t xml:space="preserve"> Esta cláusula se aplicará únicamente cuando el valor estimado del contrato supere </w:t>
            </w:r>
            <w:r>
              <w:rPr>
                <w:rFonts w:ascii="Georgia" w:cs="Georgia" w:eastAsia="Georgia" w:hAnsi="Georgia"/>
                <w:b/>
                <w:bCs/>
                <w:sz w:val="20"/>
                <w:szCs w:val="20"/>
              </w:rPr>
              <w:t xml:space="preserve">[X; se recomienda 200.000] euros</w:t>
            </w:r>
            <w:r>
              <w:rPr>
                <w:rFonts w:ascii="Georgia" w:cs="Georgia" w:eastAsia="Georgia" w:hAnsi="Georgia"/>
                <w:sz w:val="20"/>
                <w:szCs w:val="20"/>
              </w:rPr>
              <w:t xml:space="preserve"> y el expediente justifique la necesidad de comprobación.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en la tramitación del artículo 159.6 de la LCSP, ni cuando el objeto del contrato sea el desarrollo a medida de una solución que no preexiste, ni cuando su celebración impida cumplir los plazos del artículo 159 de la LCSP.</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valoración de las ofertas, inmediatamente después de la cláusula de criterios de adjudicación. El guion, la relación cerrada de elementos verificables y el modelo de acta van a un </w:t>
      </w:r>
      <w:r>
        <w:rPr>
          <w:rFonts w:ascii="Calibri" w:cs="Calibri" w:eastAsia="Calibri" w:hAnsi="Calibri"/>
          <w:b/>
          <w:bCs/>
          <w:sz w:val="21"/>
          <w:szCs w:val="21"/>
        </w:rPr>
        <w:t xml:space="preserve">anexo del propio PCAP</w:t>
      </w:r>
      <w:r>
        <w:rPr>
          <w:rFonts w:ascii="Calibri" w:cs="Calibri" w:eastAsia="Calibri" w:hAnsi="Calibri"/>
          <w:sz w:val="21"/>
          <w:szCs w:val="21"/>
        </w:rPr>
        <w:t xml:space="preserve">, cuyo número lo fija el redactor del expediente y no este catálogo; el guion, la relación cerrada y la rúbrica genéricos, con el modelo de acta de la sesión, están en el </w:t>
      </w:r>
      <w:r>
        <w:rPr>
          <w:rFonts w:ascii="Calibri" w:cs="Calibri" w:eastAsia="Calibri" w:hAnsi="Calibri"/>
          <w:b/>
          <w:bCs/>
          <w:sz w:val="21"/>
          <w:szCs w:val="21"/>
        </w:rPr>
        <w:t xml:space="preserve">Anexo XX</w:t>
      </w:r>
      <w:r>
        <w:rPr>
          <w:rFonts w:ascii="Calibri" w:cs="Calibri" w:eastAsia="Calibri" w:hAnsi="Calibri"/>
          <w:sz w:val="21"/>
          <w:szCs w:val="21"/>
        </w:rPr>
        <w:t xml:space="preserve"> de este catálogo. En el PPT no se reproduce: la comprobación de ofertas es materia administrativa (regla de ubicación de la Parte I, §7.1).</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145.5.c) LCSP, que exige que los criterios vayan acompañados de «especificaciones que permitan comprobar de manera efectiva la información facilitada por los licitadores» y que, «en caso de duda», se compruebe efectivamente dicha exactitud. Es este precepto —y no el art. 139, que regula las proposiciones— el que legitima una demostración. Art. 145.5.b) LCSP, que prohíbe conferir al órgano una libertad de decisión ilimitada, y que obliga a la rúbrica con descriptores. Arts. 26, 27.2 y 30.2 del RD 817/2009 y art. 146.2 LCSP, para el orden imperativo de valoración. Disposición adicional 15.ª.2 LCSP, para la documentación de la comunicación oral. Arts. 159.1.b) y 159.6.c) LCSP, para el ámbito.</w:t>
      </w:r>
    </w:p>
    <w:p>
      <w:pPr>
        <w:spacing w:after="140" w:line="276"/>
      </w:pPr>
      <w:r>
        <w:rPr>
          <w:rFonts w:ascii="Calibri" w:cs="Calibri" w:eastAsia="Calibri" w:hAnsi="Calibri"/>
          <w:b/>
          <w:bCs/>
          <w:sz w:val="21"/>
          <w:szCs w:val="21"/>
        </w:rPr>
        <w:t xml:space="preserve">La objeción del artículo 146.2 LCSP, y por qué la solución adoptada no contamina la valoración subjetiva.</w:t>
      </w:r>
      <w:r>
        <w:rPr>
          <w:rFonts w:ascii="Calibri" w:cs="Calibri" w:eastAsia="Calibri" w:hAnsi="Calibri"/>
          <w:sz w:val="21"/>
          <w:szCs w:val="21"/>
        </w:rPr>
        <w:t xml:space="preserve"> La objeción hay que enunciarla entera antes de contestarla, porque es la primera que un licitador formulará y la primera que un secretario opondrá. El artículo 26 del Real Decreto 817/2009 exige que la documentación relativa a los criterios cuya ponderación depende de un juicio de valor se presente «en sobre independiente del resto de la proposición, con objeto de evitar el conocimiento de esta última antes de que se haya efectuado la valoración de aquéllos», y el artículo 146.2 de la LCSP ordena valorar primero lo subjetivo y documentarlo antes de conocer lo automático. Una regla que obligase a introducir en el sobre de juicio de valor las declaraciones que alimentan criterios evaluables por fórmula haría exactamente lo contrario: quien valora los criterios subjetivos conocería, antes de cerrar su valoración, una parte de la puntuación automática de cada licitador. El orden del artículo 146.2 es imperativo y su infracción se produce en el trámite de la mesa, donde el vicio no se retrotrae: obliga a repetir la licitación.</w:t>
      </w:r>
    </w:p>
    <w:p>
      <w:pPr>
        <w:spacing w:after="140" w:line="276"/>
      </w:pPr>
      <w:r>
        <w:rPr>
          <w:rFonts w:ascii="Calibri" w:cs="Calibri" w:eastAsia="Calibri" w:hAnsi="Calibri"/>
          <w:sz w:val="21"/>
          <w:szCs w:val="21"/>
        </w:rPr>
        <w:t xml:space="preserve">Por eso esta cláusula </w:t>
      </w:r>
      <w:r>
        <w:rPr>
          <w:rFonts w:ascii="Calibri" w:cs="Calibri" w:eastAsia="Calibri" w:hAnsi="Calibri"/>
          <w:b/>
          <w:bCs/>
          <w:sz w:val="21"/>
          <w:szCs w:val="21"/>
        </w:rPr>
        <w:t xml:space="preserve">no traslada ninguna declaración de sobre</w:t>
      </w:r>
      <w:r>
        <w:rPr>
          <w:rFonts w:ascii="Calibri" w:cs="Calibri" w:eastAsia="Calibri" w:hAnsi="Calibri"/>
          <w:sz w:val="21"/>
          <w:szCs w:val="21"/>
        </w:rPr>
        <w:t xml:space="preserve">. Cada declaración viaja en el sobre del criterio al que sirve (apartado 2), lo que deja intacta la separación del artículo 26 y el orden del artículo 146.2, y deja además el tratamiento de estas declaraciones alineado con el que el catálogo ya da al Cuadro de Precios Unitarios, que se presenta en el sobre de fórmulas (Anexo X.3). La consecuencia es que la sesión previa a la apertura del sobre de fórmulas sólo puede versar sobre lo que ya obra en el sobre de juicio de valor, y la exactitud de lo declarado para los criterios automáticos se comprueba después, frente al licitador propuesto como adjudicatario, en el trámite del artículo 150.2 de la LCSP (apartado 5, párrafo segundo). Esa comprobación diferida no altera el orden de valoración, porque los criterios evaluables por fórmula son reglados: su puntuación no depende de una apreciación que pueda verse influida por lo conocido, sino de aplicar la fórmula publicada a los elementos acreditados. Y es la misma vía que ADM-7·v3.1.2 emplea para el compromiso de adscripción de medios, que también se acredita en ese trámite y por la misma razón.</w:t>
      </w:r>
    </w:p>
    <w:p>
      <w:pPr>
        <w:spacing w:after="140" w:line="276"/>
      </w:pPr>
      <w:r>
        <w:rPr>
          <w:rFonts w:ascii="Calibri" w:cs="Calibri" w:eastAsia="Calibri" w:hAnsi="Calibri"/>
          <w:sz w:val="21"/>
          <w:szCs w:val="21"/>
        </w:rPr>
        <w:t xml:space="preserve">Doctrina, trasladada por analogía y con la advertencia de que versa sobre muestras y demostraciones de suministros, no sobre software:</w:t>
      </w:r>
    </w:p>
    <w:p>
      <w:pPr>
        <w:pStyle w:val="ListParagraph"/>
        <w:numPr>
          <w:ilvl w:val="0"/>
          <w:numId w:val="1"/>
        </w:numPr>
        <w:spacing w:after="70" w:line="268"/>
      </w:pPr>
      <w:r>
        <w:rPr>
          <w:rFonts w:ascii="Calibri" w:cs="Calibri" w:eastAsia="Calibri" w:hAnsi="Calibri"/>
          <w:b/>
          <w:bCs/>
          <w:sz w:val="21"/>
          <w:szCs w:val="21"/>
        </w:rPr>
        <w:t xml:space="preserve">TACRC, Resolución 62/2023, de 2 de febrero de 2023, recurso 1634/2022 C</w:t>
      </w:r>
      <w:r>
        <w:rPr>
          <w:rFonts w:ascii="Calibri" w:cs="Calibri" w:eastAsia="Calibri" w:hAnsi="Calibri"/>
          <w:sz w:val="21"/>
          <w:szCs w:val="21"/>
        </w:rPr>
        <w:t xml:space="preserve"> (NIPRO MEDICAL SPAIN, S.L.U., contra el Servei de Salut de les Illes Balears), </w:t>
      </w:r>
      <w:r>
        <w:rPr>
          <w:rFonts w:ascii="Calibri" w:cs="Calibri" w:eastAsia="Calibri" w:hAnsi="Calibri"/>
          <w:b/>
          <w:bCs/>
          <w:sz w:val="21"/>
          <w:szCs w:val="21"/>
        </w:rPr>
        <w:t xml:space="preserve">estimatoria</w:t>
      </w:r>
      <w:r>
        <w:rPr>
          <w:rFonts w:ascii="Calibri" w:cs="Calibri" w:eastAsia="Calibri" w:hAnsi="Calibri"/>
          <w:sz w:val="21"/>
          <w:szCs w:val="21"/>
        </w:rPr>
        <w:t xml:space="preserve">. Es el único pronunciamiento localizado que aborda de frente las demostraciones de producto. Declara que «aunque la realización de demostraciones con carácter previo a la apertura de los sobres no suponga ninguna ilegalidad, sí que lleva razón el recurrente cuando denuncia que en las mismas no se pusieron de manifiesto los defectos que, casi un mes después, han motivado la exclusión», y aprecia como vicio que «en los pliegos no aparece claramente especificados los motivos de su exigencia, ni las consecuencias o efectos de la demostración». Es exactamente el defecto que los apartados 1, 2, 8 y 9 de esta cláusula corrigen. </w:t>
      </w:r>
      <w:r>
        <w:rPr>
          <w:rFonts w:ascii="Calibri" w:cs="Calibri" w:eastAsia="Calibri" w:hAnsi="Calibri"/>
          <w:b/>
          <w:bCs/>
          <w:sz w:val="21"/>
          <w:szCs w:val="21"/>
        </w:rPr>
        <w:t xml:space="preserve">Se cita a partir de una reproducción secundaria</w:t>
      </w:r>
      <w:r>
        <w:rPr>
          <w:rFonts w:ascii="Calibri" w:cs="Calibri" w:eastAsia="Calibri" w:hAnsi="Calibri"/>
          <w:sz w:val="21"/>
          <w:szCs w:val="21"/>
        </w:rPr>
        <w:t xml:space="preserve">: el texto íntegro está en &lt;https://www.acobur.es/recursos-especiales-36562-resolucion-n-622023-del-tribunal-administrativo-central-de-recursos-contractuales-de-02-de-febrero-de-2023recurso-n-16342022-c&gt;, y el PDF oficial no ha sido localizable en el repositorio del Ministerio de Hacienda a fecha de corte de 1 de septiembre de 2026. Se cita con esa limitación expresa.</w:t>
      </w:r>
    </w:p>
    <w:p>
      <w:pPr>
        <w:pStyle w:val="ListParagraph"/>
        <w:numPr>
          <w:ilvl w:val="0"/>
          <w:numId w:val="1"/>
        </w:numPr>
        <w:spacing w:after="70" w:line="268"/>
      </w:pPr>
      <w:r>
        <w:rPr>
          <w:rFonts w:ascii="Calibri" w:cs="Calibri" w:eastAsia="Calibri" w:hAnsi="Calibri"/>
          <w:b/>
          <w:bCs/>
          <w:sz w:val="21"/>
          <w:szCs w:val="21"/>
        </w:rPr>
        <w:t xml:space="preserve">OARC/KEAO, Resolución 181/2018</w:t>
      </w:r>
      <w:r>
        <w:rPr>
          <w:rFonts w:ascii="Calibri" w:cs="Calibri" w:eastAsia="Calibri" w:hAnsi="Calibri"/>
          <w:sz w:val="21"/>
          <w:szCs w:val="21"/>
        </w:rPr>
        <w:t xml:space="preserve">, epígrafe 3.4.6: exigir a todos los licitadores un elemento material costoso «tampoco parece una medida proporcionada, cuando existen medidas menos gravosas […] que permitirían preparar las proposiciones sin tener que realizar un desembolso económico que puede suponer una barrera a la libre competencia». </w:t>
      </w:r>
      <w:r>
        <w:rPr>
          <w:rFonts w:ascii="Calibri" w:cs="Calibri" w:eastAsia="Calibri" w:hAnsi="Calibri"/>
          <w:b/>
          <w:bCs/>
          <w:sz w:val="21"/>
          <w:szCs w:val="21"/>
        </w:rPr>
        <w:t xml:space="preserve">Resolución conocida únicamente a través del compendio oficial de doctrina 2018-2023 del propio órgano</w:t>
      </w:r>
      <w:r>
        <w:rPr>
          <w:rFonts w:ascii="Calibri" w:cs="Calibri" w:eastAsia="Calibri" w:hAnsi="Calibri"/>
          <w:sz w:val="21"/>
          <w:szCs w:val="21"/>
        </w:rPr>
        <w:t xml:space="preserve"> (&lt;https://www.euskadi.eus/contenidos/informacion/kpecpe_oarc_memorias_doctrina/eu_def/adjuntos/Doktrina-2018-2023.pdf&gt;); no ha sido posible localizar su número de recurso ni su fecha, y se cita con esa limitación expresa. De ahí el apartado 7.</w:t>
      </w:r>
    </w:p>
    <w:p>
      <w:pPr>
        <w:pStyle w:val="ListParagraph"/>
        <w:numPr>
          <w:ilvl w:val="0"/>
          <w:numId w:val="1"/>
        </w:numPr>
        <w:spacing w:after="70" w:line="268"/>
      </w:pPr>
      <w:r>
        <w:rPr>
          <w:rFonts w:ascii="Calibri" w:cs="Calibri" w:eastAsia="Calibri" w:hAnsi="Calibri"/>
          <w:b/>
          <w:bCs/>
          <w:sz w:val="21"/>
          <w:szCs w:val="21"/>
        </w:rPr>
        <w:t xml:space="preserve">OARC/KEAO, Resolución 069/2023</w:t>
      </w:r>
      <w:r>
        <w:rPr>
          <w:rFonts w:ascii="Calibri" w:cs="Calibri" w:eastAsia="Calibri" w:hAnsi="Calibri"/>
          <w:sz w:val="21"/>
          <w:szCs w:val="21"/>
        </w:rPr>
        <w:t xml:space="preserve">, epígrafe 6.5.18 del mismo compendio y con la misma limitación —número de recurso y fecha no localizados—: lo que se muestra forma parte de la oferta y no es subsanable, porque «tal subsanación supondría modificar el contenido de la proposición, lo que es inadmisible en los procedimientos abiertos por contrario al principio de igualdad de trato». El propio OARC apoya este criterio en su Resolución 34/2020 y en la STJUE C-599/10. De ahí los apartados 2 y 3.</w:t>
      </w:r>
    </w:p>
    <w:p>
      <w:pPr>
        <w:pStyle w:val="ListParagraph"/>
        <w:numPr>
          <w:ilvl w:val="0"/>
          <w:numId w:val="1"/>
        </w:numPr>
        <w:spacing w:after="70" w:line="268"/>
      </w:pPr>
      <w:r>
        <w:rPr>
          <w:rFonts w:ascii="Calibri" w:cs="Calibri" w:eastAsia="Calibri" w:hAnsi="Calibri"/>
          <w:b/>
          <w:bCs/>
          <w:sz w:val="21"/>
          <w:szCs w:val="21"/>
        </w:rPr>
        <w:t xml:space="preserve">TACP de la Comunidad de Madrid, Resolución 115/2025, de 20 de marzo de 2025, recurso 080/2025</w:t>
      </w:r>
      <w:r>
        <w:rPr>
          <w:rFonts w:ascii="Calibri" w:cs="Calibri" w:eastAsia="Calibri" w:hAnsi="Calibri"/>
          <w:sz w:val="21"/>
          <w:szCs w:val="21"/>
        </w:rPr>
        <w:t xml:space="preserve"> (&lt;https://www.comunidad.madrid/tacp/resolucion/1152025&gt;), </w:t>
      </w:r>
      <w:r>
        <w:rPr>
          <w:rFonts w:ascii="Calibri" w:cs="Calibri" w:eastAsia="Calibri" w:hAnsi="Calibri"/>
          <w:b/>
          <w:bCs/>
          <w:sz w:val="21"/>
          <w:szCs w:val="21"/>
        </w:rPr>
        <w:t xml:space="preserve">desestimatoria</w:t>
      </w:r>
      <w:r>
        <w:rPr>
          <w:rFonts w:ascii="Calibri" w:cs="Calibri" w:eastAsia="Calibri" w:hAnsi="Calibri"/>
          <w:sz w:val="21"/>
          <w:szCs w:val="21"/>
        </w:rPr>
        <w:t xml:space="preserve">. </w:t>
      </w:r>
      <w:r>
        <w:rPr>
          <w:rFonts w:ascii="Calibri" w:cs="Calibri" w:eastAsia="Calibri" w:hAnsi="Calibri"/>
          <w:b/>
          <w:bCs/>
          <w:sz w:val="21"/>
          <w:szCs w:val="21"/>
        </w:rPr>
        <w:t xml:space="preserve">No contiene pronunciamiento que valide la prueba de un producto por el personal que va a utilizarlo</w:t>
      </w:r>
      <w:r>
        <w:rPr>
          <w:rFonts w:ascii="Calibri" w:cs="Calibri" w:eastAsia="Calibri" w:hAnsi="Calibri"/>
          <w:sz w:val="21"/>
          <w:szCs w:val="21"/>
        </w:rPr>
        <w:t xml:space="preserve">: esa consideración figura en las alegaciones del órgano de contratación, no en el razonamiento del Tribunal, que resuelve por discrecionalidad técnica sin pronunciarse sobre el método de prueba. Lo que aporta es el recordatorio, tomado por el propio Tribunal de la STS 813/2017, de que la discrecionalidad técnica «no ampara cualquier decisión que pretenda fundarse en ella».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resolución alguna sobre demostraciones de software o de sistemas de inteligencia artificial en licitación.</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 que se acredita no es la demostración, sino lo declarado por escrito. Medios tasados: memoria técnica presentada en plazo, con la matriz de elementos declarados del anexo del PCAP cumplimentada —modelo en el Anexo XX de este catálogo—; y acta de la sesión, que consigna elemento por elemento «declarado / acreditado / no acreditado / evidencia observada». </w:t>
      </w:r>
      <w:r>
        <w:rPr>
          <w:rFonts w:ascii="Calibri" w:cs="Calibri" w:eastAsia="Calibri" w:hAnsi="Calibri"/>
          <w:b/>
          <w:bCs/>
          <w:sz w:val="21"/>
          <w:szCs w:val="21"/>
        </w:rPr>
        <w:t xml:space="preserve">La matriz se cumplimenta y se presenta desdoblada por sobres</w:t>
      </w:r>
      <w:r>
        <w:rPr>
          <w:rFonts w:ascii="Calibri" w:cs="Calibri" w:eastAsia="Calibri" w:hAnsi="Calibri"/>
          <w:sz w:val="21"/>
          <w:szCs w:val="21"/>
        </w:rPr>
        <w:t xml:space="preserve">: los elementos que sirven a criterios sujetos a juicio de valor, en el sobre de juicio de valor; los que sirven a criterios evaluables mediante fórmulas, en el sobre de fórmulas (apartado 2). No se admite documentación adicional aportada durante la sesión ni con posterioridad.</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 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la apertura del sobre de juicio de valor y 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escrita detallada por licitador, con la matriz de elementos que sirven a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Secretario de la 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mismo acto de cada sesión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firmada, con constancia de las observaciones y 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valoración con la evidencia por subcriterio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la valoración del sobre de fórmulas, en el trámite del art. 150.2 LCSP y sólo respecto del licitador propuesto como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documental de la matriz de elementos que sirven a criterios evaluables por fórmula y, en su caso, acta de la sesión adicional motivada (apartado 5, párrafo segundo)</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3 y 4 horas por licitador (preparación del entorno de datos ficticios, sesión de 90 minutos y acta), más 4 horas de preparación única del guion y del juego de datos. Con cinco licitadores, entre 19 y 24 horas por expediente. A esa carga se añade la comprobación del apartado 5, párrafo segundo, que se practica </w:t>
      </w:r>
      <w:r>
        <w:rPr>
          <w:rFonts w:ascii="Calibri" w:cs="Calibri" w:eastAsia="Calibri" w:hAnsi="Calibri"/>
          <w:b/>
          <w:bCs/>
          <w:sz w:val="21"/>
          <w:szCs w:val="21"/>
        </w:rPr>
        <w:t xml:space="preserve">sobre un solo licitador</w:t>
      </w:r>
      <w:r>
        <w:rPr>
          <w:rFonts w:ascii="Calibri" w:cs="Calibri" w:eastAsia="Calibri" w:hAnsi="Calibri"/>
          <w:sz w:val="21"/>
          <w:szCs w:val="21"/>
        </w:rPr>
        <w:t xml:space="preserve"> y por medios documentales; sólo si el órgano de contratación motiva que la documentación no resuelve la duda se celebra una sesión adicional, que se computa como una sesión más. </w:t>
      </w:r>
      <w:r>
        <w:rPr>
          <w:rFonts w:ascii="Calibri" w:cs="Calibri" w:eastAsia="Calibri" w:hAnsi="Calibri"/>
          <w:b/>
          <w:bCs/>
          <w:sz w:val="21"/>
          <w:szCs w:val="21"/>
        </w:rPr>
        <w:t xml:space="preserve">Es la cláusula más cara del catálogo en horas municipales</w:t>
      </w:r>
      <w:r>
        <w:rPr>
          <w:rFonts w:ascii="Calibri" w:cs="Calibri" w:eastAsia="Calibri" w:hAnsi="Calibri"/>
          <w:sz w:val="21"/>
          <w:szCs w:val="21"/>
        </w:rPr>
        <w:t xml:space="preserve">: si el expediente no puede asumir esa carga, se marca NO APLICA y no pasa nada, porque no reparte puntos.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genera obligación contractual del adjudicatario y, por tanto, </w:t>
      </w:r>
      <w:r>
        <w:rPr>
          <w:rFonts w:ascii="Calibri" w:cs="Calibri" w:eastAsia="Calibri" w:hAnsi="Calibri"/>
          <w:b/>
          <w:bCs/>
          <w:sz w:val="21"/>
          <w:szCs w:val="21"/>
        </w:rPr>
        <w:t xml:space="preserve">no genera penalidad ni causa de resolución</w:t>
      </w:r>
      <w:r>
        <w:rPr>
          <w:rFonts w:ascii="Calibri" w:cs="Calibri" w:eastAsia="Calibri" w:hAnsi="Calibri"/>
          <w:sz w:val="21"/>
          <w:szCs w:val="21"/>
        </w:rPr>
        <w:t xml:space="preserve">. Se suprime expresamente del cuadro de penalidades de ADM-5·v3 y de la lista de esencialidades de ADM-6·v3 cualquier referencia a «falta de la demostración exigida»: es una conducta de la fase de licitación, no de ejecución del contrato, y su único efecto es la puntuación de cero en los elementos declarados y no acreditados.</w:t>
      </w:r>
    </w:p>
    <w:p>
      <w:pPr>
        <w:spacing w:after="140" w:line="276"/>
      </w:pPr>
      <w:r>
        <w:rPr>
          <w:rFonts w:ascii="Calibri" w:cs="Calibri" w:eastAsia="Calibri" w:hAnsi="Calibri"/>
          <w:b/>
          <w:bCs/>
          <w:sz w:val="21"/>
          <w:szCs w:val="21"/>
        </w:rPr>
        <w:t xml:space="preserve">Obligación esencial: 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Procedimiento abierto simplificado abreviado (art. 159.6 LCSP): nunca.</w:t>
      </w:r>
    </w:p>
    <w:p>
      <w:pPr>
        <w:pStyle w:val="ListParagraph"/>
        <w:numPr>
          <w:ilvl w:val="0"/>
          <w:numId w:val="1"/>
        </w:numPr>
        <w:spacing w:after="70" w:line="268"/>
      </w:pPr>
      <w:r>
        <w:rPr>
          <w:rFonts w:ascii="Calibri" w:cs="Calibri" w:eastAsia="Calibri" w:hAnsi="Calibri"/>
          <w:sz w:val="21"/>
          <w:szCs w:val="21"/>
        </w:rPr>
        <w:t xml:space="preserve">Procedimiento abierto simplificado, cuando su celebración impida cumplir los plazos del art. 159 LCSP.</w:t>
      </w:r>
    </w:p>
    <w:p>
      <w:pPr>
        <w:pStyle w:val="ListParagraph"/>
        <w:numPr>
          <w:ilvl w:val="0"/>
          <w:numId w:val="1"/>
        </w:numPr>
        <w:spacing w:after="70" w:line="268"/>
      </w:pPr>
      <w:r>
        <w:rPr>
          <w:rFonts w:ascii="Calibri" w:cs="Calibri" w:eastAsia="Calibri" w:hAnsi="Calibri"/>
          <w:sz w:val="21"/>
          <w:szCs w:val="21"/>
        </w:rPr>
        <w:t xml:space="preserve">Contratos cuyo objeto sea el desarrollo a medida de una solución que no preexiste: no hay nada que verificar y exigirlo equivaldría a requerir un producto ya hecho.</w:t>
      </w:r>
    </w:p>
    <w:p>
      <w:pPr>
        <w:pStyle w:val="ListParagraph"/>
        <w:numPr>
          <w:ilvl w:val="0"/>
          <w:numId w:val="1"/>
        </w:numPr>
        <w:spacing w:after="70" w:line="268"/>
      </w:pPr>
      <w:r>
        <w:rPr>
          <w:rFonts w:ascii="Calibri" w:cs="Calibri" w:eastAsia="Calibri" w:hAnsi="Calibri"/>
          <w:sz w:val="21"/>
          <w:szCs w:val="21"/>
        </w:rPr>
        <w:t xml:space="preserve">Contratos con valor estimado igual o inferior a [X; se recomienda 200.000] euros.</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anexo del PCAP que contiene el guion y la relación cerrada de elementos verificables, la mención «verificable conforme a la cláusula [ADM-9]» en la columna de medios de comprobación del baremo de ADM-7·v3, la comprobación diferida del apartado 5, párrafo segundo, la nota del criterio D sobre confirmación o retirada de puntos, y la mención de la demostración en el Anexo VII (declaración responsable). </w:t>
      </w:r>
      <w:r>
        <w:rPr>
          <w:rFonts w:ascii="Calibri" w:cs="Calibri" w:eastAsia="Calibri" w:hAnsi="Calibri"/>
          <w:b/>
          <w:bCs/>
          <w:sz w:val="21"/>
          <w:szCs w:val="21"/>
        </w:rPr>
        <w:t xml:space="preserve">No arrastra la regla de presentación por sobres del apartado 2</w:t>
      </w:r>
      <w:r>
        <w:rPr>
          <w:rFonts w:ascii="Calibri" w:cs="Calibri" w:eastAsia="Calibri" w:hAnsi="Calibri"/>
          <w:sz w:val="21"/>
          <w:szCs w:val="21"/>
        </w:rPr>
        <w:t xml:space="preserve">, que no es propia de esta cláusula: cada declaración se presenta en el sobre del criterio al que sirve por aplicación del artículo 26 del Real Decreto 817/2009 y del artículo 146.2 de la LCSP, se aplique o no esta cláusula.</w:t>
      </w:r>
    </w:p>
    <w:p>
      <w:pPr>
        <w:pStyle w:val="Heading3"/>
        <w:keepNext/>
        <w:spacing w:after="140" w:before="320"/>
      </w:pPr>
      <w:r>
        <w:rPr>
          <w:rFonts w:ascii="Georgia" w:cs="Georgia" w:eastAsia="Georgia" w:hAnsi="Georgia"/>
          <w:b/>
          <w:bCs/>
          <w:color w:val="2F5496"/>
          <w:sz w:val="22"/>
          <w:szCs w:val="22"/>
        </w:rPr>
        <w:t xml:space="preserve">Nota al redactor · Por qué la degradación de la cláusula es la solución, y no una renuncia</w:t>
      </w:r>
    </w:p>
    <w:p>
      <w:pPr>
        <w:spacing w:after="140" w:line="276"/>
      </w:pPr>
      <w:r>
        <w:rPr>
          <w:rFonts w:ascii="Calibri" w:cs="Calibri" w:eastAsia="Calibri" w:hAnsi="Calibri"/>
          <w:sz w:val="21"/>
          <w:szCs w:val="21"/>
        </w:rPr>
        <w:t xml:space="preserve">El reproche del que parte esta cláusula es certero y conviene enunciarlo entero: exigir un sistema en funcionamiento a la fecha de licitación —aunque sea sobre datos ficticios— es puntuar otra vez la tenencia previa, sólo que en otra casilla. Quien no tiene producto operativo no puede «resolver el caso» y pierde los puntos, exactamente igual que si se le hubiesen restado por no tener la tecnología.</w:t>
      </w:r>
    </w:p>
    <w:p>
      <w:pPr>
        <w:spacing w:after="140" w:line="276"/>
      </w:pPr>
      <w:r>
        <w:rPr>
          <w:rFonts w:ascii="Calibri" w:cs="Calibri" w:eastAsia="Calibri" w:hAnsi="Calibri"/>
          <w:sz w:val="21"/>
          <w:szCs w:val="21"/>
        </w:rPr>
        <w:t xml:space="preserve">La solución adoptada consiste en </w:t>
      </w:r>
      <w:r>
        <w:rPr>
          <w:rFonts w:ascii="Calibri" w:cs="Calibri" w:eastAsia="Calibri" w:hAnsi="Calibri"/>
          <w:b/>
          <w:bCs/>
          <w:sz w:val="21"/>
          <w:szCs w:val="21"/>
        </w:rPr>
        <w:t xml:space="preserve">degradar la cláusula</w:t>
      </w:r>
      <w:r>
        <w:rPr>
          <w:rFonts w:ascii="Calibri" w:cs="Calibri" w:eastAsia="Calibri" w:hAnsi="Calibri"/>
          <w:sz w:val="21"/>
          <w:szCs w:val="21"/>
        </w:rPr>
        <w:t xml:space="preserve">. La demostración deja de ser criterio de adjudicación y deja de repartir puntos. Pasa a ser un </w:t>
      </w:r>
      <w:r>
        <w:rPr>
          <w:rFonts w:ascii="Calibri" w:cs="Calibri" w:eastAsia="Calibri" w:hAnsi="Calibri"/>
          <w:b/>
          <w:bCs/>
          <w:sz w:val="21"/>
          <w:szCs w:val="21"/>
        </w:rPr>
        <w:t xml:space="preserve">medio de comprobación efectiva de la exactitud de la información escrita</w:t>
      </w:r>
      <w:r>
        <w:rPr>
          <w:rFonts w:ascii="Calibri" w:cs="Calibri" w:eastAsia="Calibri" w:hAnsi="Calibri"/>
          <w:sz w:val="21"/>
          <w:szCs w:val="21"/>
        </w:rPr>
        <w:t xml:space="preserve"> que el licitador ya ha presentado en su oferta (art. 145.5.c LCSP), con un único efecto posible: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los puntos ya asignados a lo declarado por escrito. No puede añadir ni un punto. Con ello:</w:t>
      </w:r>
    </w:p>
    <w:p>
      <w:pPr>
        <w:pStyle w:val="ListParagraph"/>
        <w:numPr>
          <w:ilvl w:val="0"/>
          <w:numId w:val="1"/>
        </w:numPr>
        <w:spacing w:after="70" w:line="268"/>
      </w:pPr>
      <w:r>
        <w:rPr>
          <w:rFonts w:ascii="Calibri" w:cs="Calibri" w:eastAsia="Calibri" w:hAnsi="Calibri"/>
          <w:sz w:val="21"/>
          <w:szCs w:val="21"/>
        </w:rPr>
        <w:t xml:space="preserve">Quien no declara una capacidad no tiene nada que demostrar y no pierde nada, porque no había ganado nada por ella.</w:t>
      </w:r>
    </w:p>
    <w:p>
      <w:pPr>
        <w:pStyle w:val="ListParagraph"/>
        <w:numPr>
          <w:ilvl w:val="0"/>
          <w:numId w:val="1"/>
        </w:numPr>
        <w:spacing w:after="70" w:line="268"/>
      </w:pPr>
      <w:r>
        <w:rPr>
          <w:rFonts w:ascii="Calibri" w:cs="Calibri" w:eastAsia="Calibri" w:hAnsi="Calibri"/>
          <w:sz w:val="21"/>
          <w:szCs w:val="21"/>
        </w:rPr>
        <w:t xml:space="preserve">Quien la declara y no la acredita pierde los puntos de esa declaración, que es la consecuencia natural de haber declarado algo inexacto, no una penalización por no tener producto.</w:t>
      </w:r>
    </w:p>
    <w:p>
      <w:pPr>
        <w:pStyle w:val="ListParagraph"/>
        <w:numPr>
          <w:ilvl w:val="0"/>
          <w:numId w:val="1"/>
        </w:numPr>
        <w:spacing w:after="70" w:line="268"/>
      </w:pPr>
      <w:r>
        <w:rPr>
          <w:rFonts w:ascii="Calibri" w:cs="Calibri" w:eastAsia="Calibri" w:hAnsi="Calibri"/>
          <w:sz w:val="21"/>
          <w:szCs w:val="21"/>
        </w:rPr>
        <w:t xml:space="preserve">La ventaja del contratista incumbente desaparece del baremo, porque los criterios que puntúan —alcance comprometido, plazo ofertado, procesos comprometidos— son </w:t>
      </w:r>
      <w:r>
        <w:rPr>
          <w:rFonts w:ascii="Calibri" w:cs="Calibri" w:eastAsia="Calibri" w:hAnsi="Calibri"/>
          <w:b/>
          <w:bCs/>
          <w:sz w:val="21"/>
          <w:szCs w:val="21"/>
        </w:rPr>
        <w:t xml:space="preserve">compromisos</w:t>
      </w:r>
      <w:r>
        <w:rPr>
          <w:rFonts w:ascii="Calibri" w:cs="Calibri" w:eastAsia="Calibri" w:hAnsi="Calibri"/>
          <w:sz w:val="21"/>
          <w:szCs w:val="21"/>
        </w:rPr>
        <w:t xml:space="preserve">, no tenencias, y un compromiso no se demuestra: se contrae por escrito y se cumple en ejecución.</w:t>
      </w:r>
    </w:p>
    <w:p>
      <w:pPr>
        <w:spacing w:after="140" w:line="276"/>
      </w:pPr>
      <w:r>
        <w:rPr>
          <w:rFonts w:ascii="Calibri" w:cs="Calibri" w:eastAsia="Calibri" w:hAnsi="Calibri"/>
          <w:sz w:val="21"/>
          <w:szCs w:val="21"/>
        </w:rPr>
        <w:t xml:space="preserve">El coste de resolverlo así es que el órgano de contratación pierde la posibilidad de premiar al licitador que llega con el producto hecho. Ese premio es el terreno propio de la causa de anulabilidad del art. 40.b) LCSP, que declara anulables las cláusulas que otorguen ventajas a las empresas que hayan contratado previamente con cualquier Administración.</w:t>
      </w:r>
    </w:p>
    <w:p>
      <w:pPr>
        <w:spacing w:after="140" w:line="276"/>
      </w:pPr>
      <w:r>
        <w:rPr>
          <w:rFonts w:ascii="Calibri" w:cs="Calibri" w:eastAsia="Calibri" w:hAnsi="Calibri"/>
          <w:b/>
          <w:bCs/>
          <w:sz w:val="21"/>
          <w:szCs w:val="21"/>
        </w:rPr>
        <w:t xml:space="preserve">Encaje con la disposición adicional 15.ª.2 LCSP.</w:t>
      </w:r>
      <w:r>
        <w:rPr>
          <w:rFonts w:ascii="Calibri" w:cs="Calibri" w:eastAsia="Calibri" w:hAnsi="Calibri"/>
          <w:sz w:val="21"/>
          <w:szCs w:val="21"/>
        </w:rPr>
        <w:t xml:space="preserve"> La disposición admite la comunicación oral únicamente «para comunicaciones distintas de las relativas a los elementos esenciales de un procedimiento de contratación», y enumera entre esos elementos esenciales </w:t>
      </w:r>
      <w:r>
        <w:rPr>
          <w:rFonts w:ascii="Calibri" w:cs="Calibri" w:eastAsia="Calibri" w:hAnsi="Calibri"/>
          <w:b/>
          <w:bCs/>
          <w:sz w:val="21"/>
          <w:szCs w:val="21"/>
        </w:rPr>
        <w:t xml:space="preserve">las ofertas</w:t>
      </w:r>
      <w:r>
        <w:rPr>
          <w:rFonts w:ascii="Calibri" w:cs="Calibri" w:eastAsia="Calibri" w:hAnsi="Calibri"/>
          <w:sz w:val="21"/>
          <w:szCs w:val="21"/>
        </w:rPr>
        <w:t xml:space="preserve">. Una sesión oral que repartiera puntos versaría sobre la oferta y quedaría fuera de la cobertura de la norma. Con la configuración que aquí se adopta, la demostración no es una comunicación sobre la oferta: </w:t>
      </w:r>
      <w:r>
        <w:rPr>
          <w:rFonts w:ascii="Calibri" w:cs="Calibri" w:eastAsia="Calibri" w:hAnsi="Calibri"/>
          <w:b/>
          <w:bCs/>
          <w:sz w:val="21"/>
          <w:szCs w:val="21"/>
        </w:rPr>
        <w:t xml:space="preserve">nada de lo que en ella se diga modifica, amplía, aclara, completa ni integra la oferta</w:t>
      </w:r>
      <w:r>
        <w:rPr>
          <w:rFonts w:ascii="Calibri" w:cs="Calibri" w:eastAsia="Calibri" w:hAnsi="Calibri"/>
          <w:sz w:val="21"/>
          <w:szCs w:val="21"/>
        </w:rPr>
        <w:t xml:space="preserve">, que es exclusivamente el documento escrito presentado en plazo. Es un acto de comprobación, y su resultado se documenta por escrito. La disposición adicional 15.ª.2 </w:t>
      </w:r>
      <w:r>
        <w:rPr>
          <w:rFonts w:ascii="Calibri" w:cs="Calibri" w:eastAsia="Calibri" w:hAnsi="Calibri"/>
          <w:b/>
          <w:bCs/>
          <w:sz w:val="21"/>
          <w:szCs w:val="21"/>
        </w:rPr>
        <w:t xml:space="preserve">no impone grabación audiovisual</w:t>
      </w:r>
      <w:r>
        <w:rPr>
          <w:rFonts w:ascii="Calibri" w:cs="Calibri" w:eastAsia="Calibri" w:hAnsi="Calibri"/>
          <w:sz w:val="21"/>
          <w:szCs w:val="21"/>
        </w:rPr>
        <w:t xml:space="preserve">: exige que las comunicaciones orales que puedan incidir sustancialmente en la evaluación estén documentadas «a través de los medios adecuados, tales como los archivos o resúmenes escritos o sonoros de los principales elementos de la comunicación». </w:t>
      </w:r>
      <w:r>
        <w:rPr>
          <w:rFonts w:ascii="Calibri" w:cs="Calibri" w:eastAsia="Calibri" w:hAnsi="Calibri"/>
          <w:b/>
          <w:bCs/>
          <w:sz w:val="21"/>
          <w:szCs w:val="21"/>
        </w:rPr>
        <w:t xml:space="preserve">Acta escrita detallada basta.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III.10 · ADM-10·v3 — Plan Anual de Evolución Tecnológica</w:t>
      </w:r>
    </w:p>
    <w:p>
      <w:pPr>
        <w:spacing w:after="140" w:line="276"/>
      </w:pPr>
      <w:r>
        <w:rPr>
          <w:rFonts w:ascii="Calibri" w:cs="Calibri" w:eastAsia="Calibri" w:hAnsi="Calibri"/>
          <w:i/>
          <w:iCs/>
          <w:sz w:val="21"/>
          <w:szCs w:val="21"/>
        </w:rPr>
        <w:t xml:space="preserve">(Sustituye a ADM-10 de v2. Cláusula degradada: deja de ser fuente autónoma de obligaciones esenciales y pasa a ser el instrumento de seguimiento del catálogo del ejercicio. </w:t>
      </w:r>
      <w:r>
        <w:rPr>
          <w:rFonts w:ascii="Calibri" w:cs="Calibri" w:eastAsia="Calibri" w:hAnsi="Calibri"/>
          <w:i/>
          <w:iCs/>
          <w:sz w:val="21"/>
          <w:szCs w:val="21"/>
        </w:rPr>
        <w:t xml:space="preserve">Es la sede única del Plan Anual</w:t>
      </w:r>
      <w:r>
        <w:rPr>
          <w:rFonts w:ascii="Calibri" w:cs="Calibri" w:eastAsia="Calibri" w:hAnsi="Calibri"/>
          <w:i/>
          <w:iCs/>
          <w:sz w:val="21"/>
          <w:szCs w:val="21"/>
        </w:rPr>
        <w:t xml:space="preserve">: la cláusula ADM-3·v3 conserva los plazos de adaptación y la bolsa de servicios evolutivos, y no regula el Plan. La justificación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Plan Anual de Evolución Tecnológica.</w:t>
            </w:r>
          </w:p>
          <w:p>
            <w:pPr>
              <w:pStyle w:val="ListParagraph"/>
              <w:numPr>
                <w:ilvl w:val="0"/>
                <w:numId w:val="2"/>
              </w:numPr>
              <w:spacing w:after="60" w:line="264"/>
            </w:pPr>
            <w:r>
              <w:rPr>
                <w:rFonts w:ascii="Georgia" w:cs="Georgia" w:eastAsia="Georgia" w:hAnsi="Georgia"/>
                <w:b/>
                <w:bCs/>
                <w:sz w:val="20"/>
                <w:szCs w:val="20"/>
              </w:rPr>
              <w:t xml:space="preserve">Objeto y naturaleza.</w:t>
            </w:r>
            <w:r>
              <w:rPr>
                <w:rFonts w:ascii="Georgia" w:cs="Georgia" w:eastAsia="Georgia" w:hAnsi="Georgia"/>
                <w:sz w:val="20"/>
                <w:szCs w:val="20"/>
              </w:rPr>
              <w:t xml:space="preserve"> El adjudicatario presentará y mantendrá actualizado un Plan Anual de Evolución Tecnológica, cuyo alcance se agota en las exigencias del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incorporado a este contrato y en las obligaciones de mantenimiento y soporte del pliego de prescripciones técnicas. El Plan es un instrumento de seguimiento: </w:t>
            </w:r>
            <w:r>
              <w:rPr>
                <w:rFonts w:ascii="Georgia" w:cs="Georgia" w:eastAsia="Georgia" w:hAnsi="Georgia"/>
                <w:b/>
                <w:bCs/>
                <w:sz w:val="20"/>
                <w:szCs w:val="20"/>
              </w:rPr>
              <w:t xml:space="preserve">no crea obligaciones distintas de las contenidas en dicho Anexo y en el pliego de prescripciones técnicas</w:t>
            </w:r>
            <w:r>
              <w:rPr>
                <w:rFonts w:ascii="Georgia" w:cs="Georgia" w:eastAsia="Georgia" w:hAnsi="Georgia"/>
                <w:sz w:val="20"/>
                <w:szCs w:val="20"/>
              </w:rPr>
              <w:t xml:space="preserve">, ni amplía el objeto del contrato.</w:t>
            </w:r>
          </w:p>
          <w:p>
            <w:pPr>
              <w:pStyle w:val="ListParagraph"/>
              <w:numPr>
                <w:ilvl w:val="0"/>
                <w:numId w:val="2"/>
              </w:numPr>
              <w:spacing w:after="60" w:line="264"/>
            </w:pPr>
            <w:r>
              <w:rPr>
                <w:rFonts w:ascii="Georgia" w:cs="Georgia" w:eastAsia="Georgia" w:hAnsi="Georgia"/>
                <w:b/>
                <w:bCs/>
                <w:sz w:val="20"/>
                <w:szCs w:val="20"/>
              </w:rPr>
              <w:t xml:space="preserve">Contenido.</w:t>
            </w:r>
            <w:r>
              <w:rPr>
                <w:rFonts w:ascii="Georgia" w:cs="Georgia" w:eastAsia="Georgia" w:hAnsi="Georgia"/>
                <w:sz w:val="20"/>
                <w:szCs w:val="20"/>
              </w:rPr>
              <w:t xml:space="preserve"> El Plan contendrá, y sólo:</w:t>
            </w:r>
          </w:p>
          <w:p>
            <w:pPr>
              <w:spacing w:after="100" w:line="264"/>
            </w:pPr>
            <w:r>
              <w:rPr>
                <w:rFonts w:ascii="Georgia" w:cs="Georgia" w:eastAsia="Georgia" w:hAnsi="Georgia"/>
                <w:sz w:val="20"/>
                <w:szCs w:val="20"/>
              </w:rPr>
              <w:t xml:space="preserve">a) el calendario de implantación de cada una de las exigencias del Anexo de Exigencias Tecnológicas incorporado a este contrato, con la fecha comprometida para cada una;</w:t>
            </w:r>
          </w:p>
          <w:p>
            <w:pPr>
              <w:spacing w:after="100" w:line="264"/>
            </w:pPr>
            <w:r>
              <w:rPr>
                <w:rFonts w:ascii="Georgia" w:cs="Georgia" w:eastAsia="Georgia" w:hAnsi="Georgia"/>
                <w:sz w:val="20"/>
                <w:szCs w:val="20"/>
              </w:rPr>
              <w:t xml:space="preserve">b) el compromiso de poner a disposición del Ayuntamiento, sin coste adicional durante la vigencia del contrato y de sus prórrogas, </w:t>
            </w:r>
            <w:r>
              <w:rPr>
                <w:rFonts w:ascii="Georgia" w:cs="Georgia" w:eastAsia="Georgia" w:hAnsi="Georgia"/>
                <w:b/>
                <w:bCs/>
                <w:sz w:val="20"/>
                <w:szCs w:val="20"/>
              </w:rPr>
              <w:t xml:space="preserve">las versiones sucesoras del producto contratado</w:t>
            </w:r>
            <w:r>
              <w:rPr>
                <w:rFonts w:ascii="Georgia" w:cs="Georgia" w:eastAsia="Georgia" w:hAnsi="Georgia"/>
                <w:sz w:val="20"/>
                <w:szCs w:val="20"/>
              </w:rPr>
              <w:t xml:space="preserve">. Se entenderá por versión sucesora,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sz w:val="20"/>
                <w:szCs w:val="20"/>
              </w:rPr>
              <w:t xml:space="preserve">c) la relación de versiones del producto y de sus componentes en soporte a la fecha del Plan, con la fecha de fin de soporte declarada por el fabricante para cada una;</w:t>
            </w:r>
          </w:p>
          <w:p>
            <w:pPr>
              <w:spacing w:after="100" w:line="264"/>
            </w:pPr>
            <w:r>
              <w:rPr>
                <w:rFonts w:ascii="Georgia" w:cs="Georgia" w:eastAsia="Georgia" w:hAnsi="Georgia"/>
                <w:sz w:val="20"/>
                <w:szCs w:val="20"/>
              </w:rPr>
              <w:t xml:space="preserve">d) los hitos que el adjudicatario propone someter a </w:t>
            </w:r>
            <w:r>
              <w:rPr>
                <w:rFonts w:ascii="Georgia" w:cs="Georgia" w:eastAsia="Georgia" w:hAnsi="Georgia"/>
                <w:b/>
                <w:bCs/>
                <w:sz w:val="20"/>
                <w:szCs w:val="20"/>
              </w:rPr>
              <w:t xml:space="preserve">aprobación expresa</w:t>
            </w:r>
            <w:r>
              <w:rPr>
                <w:rFonts w:ascii="Georgia" w:cs="Georgia" w:eastAsia="Georgia" w:hAnsi="Georgia"/>
                <w:sz w:val="20"/>
                <w:szCs w:val="20"/>
              </w:rPr>
              <w:t xml:space="preserve"> del órgano de contratación, con la fecha cierta propuesta para cada uno;</w:t>
            </w:r>
          </w:p>
          <w:p>
            <w:pPr>
              <w:spacing w:after="100" w:line="264"/>
            </w:pPr>
            <w:r>
              <w:rPr>
                <w:rFonts w:ascii="Georgia" w:cs="Georgia" w:eastAsia="Georgia" w:hAnsi="Georgia"/>
                <w:sz w:val="20"/>
                <w:szCs w:val="20"/>
              </w:rPr>
              <w:t xml:space="preserve">e) los indicadores objetivos de seguimiento, con su método de medición y su fuente;</w:t>
            </w:r>
          </w:p>
          <w:p>
            <w:pPr>
              <w:spacing w:after="100" w:line="264"/>
            </w:pPr>
            <w:r>
              <w:rPr>
                <w:rFonts w:ascii="Georgia" w:cs="Georgia" w:eastAsia="Georgia" w:hAnsi="Georgia"/>
                <w:sz w:val="20"/>
                <w:szCs w:val="20"/>
              </w:rPr>
              <w:t xml:space="preserve">f) cuando este contrato incorpore la bolsa de servicios evolutivos de la cláusula [ADM-3], el estado de consumo de la bolsa en el ejercicio, desglosado por perfil profesional del Cuadro de Precios Unitarios y por clase de petición de servicio, y el saldo no consumido.</w:t>
            </w:r>
          </w:p>
          <w:p>
            <w:pPr>
              <w:pStyle w:val="ListParagraph"/>
              <w:numPr>
                <w:ilvl w:val="0"/>
                <w:numId w:val="2"/>
              </w:numPr>
              <w:spacing w:after="60" w:line="264"/>
            </w:pPr>
            <w:r>
              <w:rPr>
                <w:rFonts w:ascii="Georgia" w:cs="Georgia" w:eastAsia="Georgia" w:hAnsi="Georgia"/>
                <w:b/>
                <w:bCs/>
                <w:sz w:val="20"/>
                <w:szCs w:val="20"/>
              </w:rPr>
              <w:t xml:space="preserve">Presentación y aprobación.</w:t>
            </w:r>
            <w:r>
              <w:rPr>
                <w:rFonts w:ascii="Georgia" w:cs="Georgia" w:eastAsia="Georgia" w:hAnsi="Georgia"/>
                <w:sz w:val="20"/>
                <w:szCs w:val="20"/>
              </w:rPr>
              <w:t xml:space="preserve"> El primer Plan se presentará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del contrato, y se actualizará dentro de los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siguientes al inicio de cada anualidad. El órgano de contratación, previo informe del responsable del contrato, aprobará expresamente </w:t>
            </w:r>
            <w:r>
              <w:rPr>
                <w:rFonts w:ascii="Georgia" w:cs="Georgia" w:eastAsia="Georgia" w:hAnsi="Georgia"/>
                <w:b/>
                <w:bCs/>
                <w:sz w:val="20"/>
                <w:szCs w:val="20"/>
              </w:rPr>
              <w:t xml:space="preserve">los hitos del apartado 2.d)</w:t>
            </w:r>
            <w:r>
              <w:rPr>
                <w:rFonts w:ascii="Georgia" w:cs="Georgia" w:eastAsia="Georgia" w:hAnsi="Georgia"/>
                <w:sz w:val="20"/>
                <w:szCs w:val="20"/>
              </w:rPr>
              <w:t xml:space="preserve"> que asuma, con su fecha cierta, mediante acta de la Comisión de Seguimiento. </w:t>
            </w:r>
            <w:r>
              <w:rPr>
                <w:rFonts w:ascii="Georgia" w:cs="Georgia" w:eastAsia="Georgia" w:hAnsi="Georgia"/>
                <w:b/>
                <w:bCs/>
                <w:sz w:val="20"/>
                <w:szCs w:val="20"/>
              </w:rPr>
              <w:t xml:space="preserve">Sólo los hitos así aprobados, con fecha cierta en acta, adquieren carácter esencial</w:t>
            </w:r>
            <w:r>
              <w:rPr>
                <w:rFonts w:ascii="Georgia" w:cs="Georgia" w:eastAsia="Georgia" w:hAnsi="Georgia"/>
                <w:sz w:val="20"/>
                <w:szCs w:val="20"/>
              </w:rPr>
              <w:t xml:space="preserve">, en los términos de la cláusula [ADM-6], bloque B. El resto del contenido del Plan no tiene carácter esencial.</w:t>
            </w:r>
          </w:p>
          <w:p>
            <w:pPr>
              <w:pStyle w:val="ListParagraph"/>
              <w:numPr>
                <w:ilvl w:val="0"/>
                <w:numId w:val="2"/>
              </w:numPr>
              <w:spacing w:after="60" w:line="264"/>
            </w:pPr>
            <w:r>
              <w:rPr>
                <w:rFonts w:ascii="Georgia" w:cs="Georgia" w:eastAsia="Georgia" w:hAnsi="Georgia"/>
                <w:b/>
                <w:bCs/>
                <w:sz w:val="20"/>
                <w:szCs w:val="20"/>
              </w:rPr>
              <w:t xml:space="preserve">Comunicación de versiones sucesoras.</w:t>
            </w:r>
            <w:r>
              <w:rPr>
                <w:rFonts w:ascii="Georgia" w:cs="Georgia" w:eastAsia="Georgia" w:hAnsi="Georgia"/>
                <w:sz w:val="20"/>
                <w:szCs w:val="20"/>
              </w:rPr>
              <w:t xml:space="preserve"> El adjudicatario comunicará al Ayuntamiento la publicación de cada versión sucesora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su disponibilidad general, acompañando la documentación del fabricante que acredite cualquiera de los tres criterios del apartado 2.b).</w:t>
            </w:r>
          </w:p>
          <w:p>
            <w:pPr>
              <w:pStyle w:val="ListParagraph"/>
              <w:numPr>
                <w:ilvl w:val="0"/>
                <w:numId w:val="2"/>
              </w:numPr>
              <w:spacing w:after="60" w:line="264"/>
            </w:pPr>
            <w:r>
              <w:rPr>
                <w:rFonts w:ascii="Georgia" w:cs="Georgia" w:eastAsia="Georgia" w:hAnsi="Georgia"/>
                <w:b/>
                <w:bCs/>
                <w:sz w:val="20"/>
                <w:szCs w:val="20"/>
              </w:rPr>
              <w:t xml:space="preserve">Límite.</w:t>
            </w:r>
            <w:r>
              <w:rPr>
                <w:rFonts w:ascii="Georgia" w:cs="Georgia" w:eastAsia="Georgia" w:hAnsi="Georgia"/>
                <w:sz w:val="20"/>
                <w:szCs w:val="20"/>
              </w:rPr>
              <w:t xml:space="preserve"> Ninguna previsión de este Plan podrá invocarse para exigir al adjudicatario prestaciones no comprendidas en el Anexo de Exigencias Tecnológicas incorporado a este contrato. Lo que exceda de dicho Anexo se tramitará, en su caso, por la vía de los artículos 203 y 204 de la LCSP o en la licitación siguiente.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obligaciones del contratista en materia de seguimiento. El modelo de Plan Anual es el </w:t>
      </w:r>
      <w:r>
        <w:rPr>
          <w:rFonts w:ascii="Calibri" w:cs="Calibri" w:eastAsia="Calibri" w:hAnsi="Calibri"/>
          <w:b/>
          <w:bCs/>
          <w:sz w:val="21"/>
          <w:szCs w:val="21"/>
        </w:rPr>
        <w:t xml:space="preserve">Anexo XIV</w:t>
      </w:r>
      <w:r>
        <w:rPr>
          <w:rFonts w:ascii="Calibri" w:cs="Calibri" w:eastAsia="Calibri" w:hAnsi="Calibri"/>
          <w:sz w:val="21"/>
          <w:szCs w:val="21"/>
        </w:rPr>
        <w:t xml:space="preserve"> de este catálogo, y se incorpora como anexo del PCAP. La aprobación expresa de hitos se documenta en el acta de la Comisión de Seguimiento de ADM-4·v3.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62 LCSP (responsable del contrato y supervisión de la ejecución) y art. 202 LCSP en relación con el Anexo de Exigencias Tecnológicas, cuando el contrato lo incorpore. La exigencia de que sólo los hitos aprobados y con fecha cierta puedan ser esenciales deriva del art. 211.1.f).2.º LCSP, que obliga a que las obligaciones esenciales figuren «enumeradas de manera precisa, clara e inequívoca en los pliegos […] no siendo admisibles cláusulas de tipo general». Calificar como esencial «el cumplimiento de un plan» redactado por el propio adjudicatario es el supuesto de manual de cláusula de tipo general.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el propio Plan, presentado en plazo y en el modelo del Anexo XIV; (b) acta de la Comisión de Seguimiento que aprueba los hitos; (c) certificado o nota técnica del fabricante que acredite la condición de versión sucesora conforme a cualquiera de los tres criterios; (d) acta de despliegue en el entorno de preproducción. La ausencia de estos medios no se suple por apreciación discrecional del Ayuntamiento.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Plan, dentro de los </w:t>
            </w:r>
            <w:r>
              <w:rPr>
                <w:rFonts w:ascii="Calibri" w:cs="Calibri" w:eastAsia="Calibri" w:hAnsi="Calibri"/>
                <w:b/>
                <w:bCs/>
                <w:sz w:val="18"/>
                <w:szCs w:val="18"/>
              </w:rPr>
              <w:t xml:space="preserve">[X; se recomienda 30] días</w:t>
            </w:r>
            <w:r>
              <w:rPr>
                <w:rFonts w:ascii="Calibri" w:cs="Calibri" w:eastAsia="Calibri" w:hAnsi="Calibri"/>
                <w:b w:val="false"/>
                <w:bCs w:val="false"/>
                <w:sz w:val="18"/>
                <w:szCs w:val="18"/>
              </w:rPr>
              <w:t xml:space="preserve"> siguientes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conformidad o de reparos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con la aprobación expresa de hitos y sus fechas ciertas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Anotación en el expediente, con la documentación del fabricante</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horas al año de revisión del Plan y 2 horas de sesión de la Comisión. Entre 1 y 2 horas por cada comunicación de versión sucesora. Total orientativo: 6 a 8 horas al año por contrato.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presentación del Plan en plazo: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si persiste transcurrido un mes desde requerimiento.</w:t>
      </w:r>
    </w:p>
    <w:p>
      <w:pPr>
        <w:pStyle w:val="ListParagraph"/>
        <w:numPr>
          <w:ilvl w:val="0"/>
          <w:numId w:val="1"/>
        </w:numPr>
        <w:spacing w:after="70" w:line="268"/>
      </w:pPr>
      <w:r>
        <w:rPr>
          <w:rFonts w:ascii="Calibri" w:cs="Calibri" w:eastAsia="Calibri" w:hAnsi="Calibri"/>
          <w:b/>
          <w:bCs/>
          <w:sz w:val="21"/>
          <w:szCs w:val="21"/>
        </w:rPr>
        <w:t xml:space="preserve">Falta de comunicación de una versión sucesora en el plazo del apartado 4:</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Incumplimiento de un hito expresamente aprobado con fecha cierta en acta:</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Falta de presentación del Plan durante dos ejercicios consecutivos:</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spacing w:after="140" w:line="276"/>
      </w:pPr>
      <w:r>
        <w:rPr>
          <w:rFonts w:ascii="Calibri" w:cs="Calibri" w:eastAsia="Calibri" w:hAnsi="Calibri"/>
          <w:sz w:val="21"/>
          <w:szCs w:val="21"/>
        </w:rPr>
        <w:t xml:space="preserve">En lo demás,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Sobre la objeción de responsabilidad por hecho ajeno</w:t>
      </w:r>
      <w:r>
        <w:rPr>
          <w:rFonts w:ascii="Calibri" w:cs="Calibri" w:eastAsia="Calibri" w:hAnsi="Calibri"/>
          <w:sz w:val="21"/>
          <w:szCs w:val="21"/>
        </w:rPr>
        <w:t xml:space="preserve"> (se conserva en este epígrafe porque condiciona la redacción del apartado 2.b) y no debe leerse separada de él). Se alegará que anudar consecuencias a que el fabricante publique una versión sucesora, o a que declare el fin de soporte, es configurar una responsabilidad objetiva por la conducta de un tercero. La objeción se desactiva en la propia redacción: la obligación del adjudicatario </w:t>
      </w:r>
      <w:r>
        <w:rPr>
          <w:rFonts w:ascii="Calibri" w:cs="Calibri" w:eastAsia="Calibri" w:hAnsi="Calibri"/>
          <w:b/>
          <w:bCs/>
          <w:sz w:val="21"/>
          <w:szCs w:val="21"/>
        </w:rPr>
        <w:t xml:space="preserve">no es que exista una versión sucesora</w:t>
      </w:r>
      <w:r>
        <w:rPr>
          <w:rFonts w:ascii="Calibri" w:cs="Calibri" w:eastAsia="Calibri" w:hAnsi="Calibri"/>
          <w:sz w:val="21"/>
          <w:szCs w:val="21"/>
        </w:rPr>
        <w:t xml:space="preserve">, sino que, </w:t>
      </w:r>
      <w:r>
        <w:rPr>
          <w:rFonts w:ascii="Calibri" w:cs="Calibri" w:eastAsia="Calibri" w:hAnsi="Calibri"/>
          <w:b/>
          <w:bCs/>
          <w:sz w:val="21"/>
          <w:szCs w:val="21"/>
        </w:rPr>
        <w:t xml:space="preserve">publicada por el fabricante, la comunique y la ponga a disposición del Ayuntamiento</w:t>
      </w:r>
      <w:r>
        <w:rPr>
          <w:rFonts w:ascii="Calibri" w:cs="Calibri" w:eastAsia="Calibri" w:hAnsi="Calibri"/>
          <w:sz w:val="21"/>
          <w:szCs w:val="21"/>
        </w:rPr>
        <w:t xml:space="preserve">. Eso es una conducta suya, íntegramente bajo su control, y su incumplimiento es culpable. Si el fabricante no publica versión alguna, no hay obligación que incumplir ni consecuencia que imponer. La redacción del apartado 2.b) debe conservarse literalmente por esta razón, y no admite la variante «mantener la solución actualizada al estado del arte», que sí traslada al contratista un hecho ajeno.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incorporen el Anexo de Exigencias Tecnológicas Determinadas: sin catálogo, el Plan carece de alcance y se marca NO APLICA.</w:t>
      </w:r>
    </w:p>
    <w:p>
      <w:pPr>
        <w:pStyle w:val="ListParagraph"/>
        <w:numPr>
          <w:ilvl w:val="0"/>
          <w:numId w:val="1"/>
        </w:numPr>
        <w:spacing w:after="70" w:line="268"/>
      </w:pPr>
      <w:r>
        <w:rPr>
          <w:rFonts w:ascii="Calibri" w:cs="Calibri" w:eastAsia="Calibri" w:hAnsi="Calibri"/>
          <w:sz w:val="21"/>
          <w:szCs w:val="21"/>
        </w:rPr>
        <w:t xml:space="preserve">Contratos de duración igual o inferior a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sin prórroga: no hay anualidad que planificar.</w:t>
      </w:r>
    </w:p>
    <w:p>
      <w:pPr>
        <w:pStyle w:val="ListParagraph"/>
        <w:numPr>
          <w:ilvl w:val="0"/>
          <w:numId w:val="1"/>
        </w:numPr>
        <w:spacing w:after="70" w:line="268"/>
      </w:pPr>
      <w:r>
        <w:rPr>
          <w:rFonts w:ascii="Calibri" w:cs="Calibri" w:eastAsia="Calibri" w:hAnsi="Calibri"/>
          <w:sz w:val="21"/>
          <w:szCs w:val="21"/>
        </w:rPr>
        <w:t xml:space="preserve">Contratos de suministro de bienes sin componente de mantenimiento evolutivo.</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 de contratos vigentes en los que no quepa introducir obligaciones nuevas.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modelo de Plan Anual del Anexo XIV, el apartado correspondiente del Anexo VII (declaración responsable), la fila correspondiente del cuadro de penalidades de ADM-5·v3 y los dos guiones correspondientes del bloque B de ADM-6·v3. </w:t>
      </w:r>
      <w:r>
        <w:rPr>
          <w:rFonts w:ascii="Calibri" w:cs="Calibri" w:eastAsia="Calibri" w:hAnsi="Calibri"/>
          <w:b/>
          <w:bCs/>
          <w:sz w:val="21"/>
          <w:szCs w:val="21"/>
        </w:rPr>
        <w:t xml:space="preserve">No arrastra ningún criterio del baremo</w:t>
      </w:r>
      <w:r>
        <w:rPr>
          <w:rFonts w:ascii="Calibri" w:cs="Calibri" w:eastAsia="Calibri" w:hAnsi="Calibri"/>
          <w:sz w:val="21"/>
          <w:szCs w:val="21"/>
        </w:rPr>
        <w:t xml:space="preserve">: ninguno de los criterios de ADM-7·v3 mide su cumplimiento a través del Plan.</w:t>
      </w:r>
    </w:p>
    <w:p>
      <w:pPr>
        <w:pStyle w:val="Heading3"/>
        <w:keepNext/>
        <w:spacing w:after="140" w:before="320"/>
      </w:pPr>
      <w:r>
        <w:rPr>
          <w:rFonts w:ascii="Georgia" w:cs="Georgia" w:eastAsia="Georgia" w:hAnsi="Georgia"/>
          <w:b/>
          <w:bCs/>
          <w:color w:val="2F5496"/>
          <w:sz w:val="22"/>
          <w:szCs w:val="22"/>
        </w:rPr>
        <w:t xml:space="preserve">Nota al redactor · Por qué la cláusula se degrada y qué desaparece de ella</w:t>
      </w:r>
    </w:p>
    <w:p>
      <w:pPr>
        <w:spacing w:after="140" w:line="276"/>
      </w:pPr>
      <w:r>
        <w:rPr>
          <w:rFonts w:ascii="Calibri" w:cs="Calibri" w:eastAsia="Calibri" w:hAnsi="Calibri"/>
          <w:sz w:val="21"/>
          <w:szCs w:val="21"/>
        </w:rPr>
        <w:t xml:space="preserve">Deja de ser fuente autónoma de obligaciones esenciales y se convierte en un instrumento de seguimiento anclado al catálogo del ejercicio (Anexo V). Desaparece del articulado todo vocabulario carente de definición normalizada: no es verificable en un procedimiento contradictorio y, sin verificabilidad, no sostiene ni un criterio, ni una penalidad, ni una resolución. Incorpora la modificación 7 del documento de propuestas —versiones sucesoras— con su definición triple, que sí es comprobable con documentación del propio fabricante.</w:t>
      </w:r>
    </w:p>
    <w:p>
      <w:pPr>
        <w:spacing w:after="140" w:line="276"/>
      </w:pPr>
      <w:r>
        <w:rPr>
          <w:rFonts w:ascii="Calibri" w:cs="Calibri" w:eastAsia="Calibri" w:hAnsi="Calibri"/>
          <w:b/>
          <w:bCs/>
          <w:sz w:val="21"/>
          <w:szCs w:val="21"/>
        </w:rPr>
        <w:t xml:space="preserve">Es además la sede única del Plan Anual de Evolución Tecnológica.</w:t>
      </w:r>
      <w:r>
        <w:rPr>
          <w:rFonts w:ascii="Calibri" w:cs="Calibri" w:eastAsia="Calibri" w:hAnsi="Calibri"/>
          <w:sz w:val="21"/>
          <w:szCs w:val="21"/>
        </w:rPr>
        <w:t xml:space="preserve"> La versión anterior lo regulaba a la vez aquí y en ADM-3·v3, con dos nombres, dos plazos y dos contenidos, mientras el resto del documento lo citaba con un solo nombre. ADM-3·v3 queda con los plazos de adaptación y la bolsa de servicios evolutivos; el Plan vive aquí, con un único plazo: </w:t>
      </w:r>
      <w:r>
        <w:rPr>
          <w:rFonts w:ascii="Calibri" w:cs="Calibri" w:eastAsia="Calibri" w:hAnsi="Calibri"/>
          <w:b/>
          <w:bCs/>
          <w:sz w:val="21"/>
          <w:szCs w:val="21"/>
        </w:rPr>
        <w:t xml:space="preserve">60 días naturales desde la formalización</w:t>
      </w:r>
      <w:r>
        <w:rPr>
          <w:rFonts w:ascii="Calibri" w:cs="Calibri" w:eastAsia="Calibri" w:hAnsi="Calibri"/>
          <w:sz w:val="21"/>
          <w:szCs w:val="21"/>
        </w:rPr>
        <w:t xml:space="preserve"> para el primero y </w:t>
      </w:r>
      <w:r>
        <w:rPr>
          <w:rFonts w:ascii="Calibri" w:cs="Calibri" w:eastAsia="Calibri" w:hAnsi="Calibri"/>
          <w:b/>
          <w:bCs/>
          <w:sz w:val="21"/>
          <w:szCs w:val="21"/>
        </w:rPr>
        <w:t xml:space="preserve">60 días naturales desde el inicio de cada anualidad</w:t>
      </w:r>
      <w:r>
        <w:rPr>
          <w:rFonts w:ascii="Calibri" w:cs="Calibri" w:eastAsia="Calibri" w:hAnsi="Calibri"/>
          <w:sz w:val="21"/>
          <w:szCs w:val="21"/>
        </w:rPr>
        <w:t xml:space="preserve"> para las actualizaciones.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III.11 · ADM-11·v3 — Depósito de código y continuidad ante insolvencia</w:t>
      </w:r>
    </w:p>
    <w:p>
      <w:pPr>
        <w:spacing w:after="140" w:line="276"/>
      </w:pPr>
      <w:r>
        <w:rPr>
          <w:rFonts w:ascii="Calibri" w:cs="Calibri" w:eastAsia="Calibri" w:hAnsi="Calibri"/>
          <w:i/>
          <w:iCs/>
          <w:sz w:val="21"/>
          <w:szCs w:val="21"/>
        </w:rPr>
        <w:t xml:space="preserve">(Cláusula nueva. </w:t>
      </w:r>
      <w:r>
        <w:rPr>
          <w:rFonts w:ascii="Calibri" w:cs="Calibri" w:eastAsia="Calibri" w:hAnsi="Calibri"/>
          <w:i/>
          <w:iCs/>
          <w:sz w:val="21"/>
          <w:szCs w:val="21"/>
        </w:rPr>
        <w:t xml:space="preserve">NO APLICA por defecto</w:t>
      </w:r>
      <w:r>
        <w:rPr>
          <w:rFonts w:ascii="Calibri" w:cs="Calibri" w:eastAsia="Calibri" w:hAnsi="Calibri"/>
          <w:i/>
          <w:iCs/>
          <w:sz w:val="21"/>
          <w:szCs w:val="21"/>
        </w:rPr>
        <w:t xml:space="preserve">: sólo se incorpora si concurren las cuatro circunstancias acumulativas de su apartado 1. Es previsión de nueva planta, sin doctrina que la respalde; la advertencia que debe reproducirse en la memoria justificativa y las dos cautelas que condicionan su redacción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Depósito de código y continuidad del servicio.</w:t>
            </w:r>
          </w:p>
          <w:p>
            <w:pPr>
              <w:pStyle w:val="ListParagraph"/>
              <w:numPr>
                <w:ilvl w:val="0"/>
                <w:numId w:val="2"/>
              </w:numPr>
              <w:spacing w:after="60" w:line="264"/>
            </w:pPr>
            <w:r>
              <w:rPr>
                <w:rFonts w:ascii="Georgia" w:cs="Georgia" w:eastAsia="Georgia" w:hAnsi="Georgia"/>
                <w:b/>
                <w:bCs/>
                <w:sz w:val="20"/>
                <w:szCs w:val="20"/>
              </w:rPr>
              <w:t xml:space="preserve">Ámbito.</w:t>
            </w:r>
            <w:r>
              <w:rPr>
                <w:rFonts w:ascii="Georgia" w:cs="Georgia" w:eastAsia="Georgia" w:hAnsi="Georgia"/>
                <w:sz w:val="20"/>
                <w:szCs w:val="20"/>
              </w:rPr>
              <w:t xml:space="preserve"> Esta cláusula sólo se incorpora cuando concurran </w:t>
            </w:r>
            <w:r>
              <w:rPr>
                <w:rFonts w:ascii="Georgia" w:cs="Georgia" w:eastAsia="Georgia" w:hAnsi="Georgia"/>
                <w:b/>
                <w:bCs/>
                <w:sz w:val="20"/>
                <w:szCs w:val="20"/>
              </w:rPr>
              <w:t xml:space="preserve">todas</w:t>
            </w:r>
            <w:r>
              <w:rPr>
                <w:rFonts w:ascii="Georgia" w:cs="Georgia" w:eastAsia="Georgia" w:hAnsi="Georgia"/>
                <w:sz w:val="20"/>
                <w:szCs w:val="20"/>
              </w:rPr>
              <w:t xml:space="preserve"> las circunstancias siguientes, acreditadas en la memoria justificativa del expediente:</w:t>
            </w:r>
          </w:p>
          <w:p>
            <w:pPr>
              <w:spacing w:after="100" w:line="264"/>
            </w:pPr>
            <w:r>
              <w:rPr>
                <w:rFonts w:ascii="Georgia" w:cs="Georgia" w:eastAsia="Georgia" w:hAnsi="Georgia"/>
                <w:sz w:val="20"/>
                <w:szCs w:val="20"/>
              </w:rPr>
              <w:t xml:space="preserve">a) que el sistema soportado tenga categoría </w:t>
            </w:r>
            <w:r>
              <w:rPr>
                <w:rFonts w:ascii="Georgia" w:cs="Georgia" w:eastAsia="Georgia" w:hAnsi="Georgia"/>
                <w:b/>
                <w:bCs/>
                <w:sz w:val="20"/>
                <w:szCs w:val="20"/>
              </w:rPr>
              <w:t xml:space="preserve">ALTA en la dimensión de disponibilidad</w:t>
            </w:r>
            <w:r>
              <w:rPr>
                <w:rFonts w:ascii="Georgia" w:cs="Georgia" w:eastAsia="Georgia" w:hAnsi="Georgia"/>
                <w:sz w:val="20"/>
                <w:szCs w:val="20"/>
              </w:rPr>
              <w:t xml:space="preserve"> conforme al anexo I del Real Decreto 311/2022;</w:t>
            </w:r>
          </w:p>
          <w:p>
            <w:pPr>
              <w:spacing w:after="100" w:line="264"/>
            </w:pPr>
            <w:r>
              <w:rPr>
                <w:rFonts w:ascii="Georgia" w:cs="Georgia" w:eastAsia="Georgia" w:hAnsi="Georgia"/>
                <w:sz w:val="20"/>
                <w:szCs w:val="20"/>
              </w:rPr>
              <w:t xml:space="preserve">b) que el valor estimado del contrato supere </w:t>
            </w:r>
            <w:r>
              <w:rPr>
                <w:rFonts w:ascii="Georgia" w:cs="Georgia" w:eastAsia="Georgia" w:hAnsi="Georgia"/>
                <w:b/>
                <w:bCs/>
                <w:sz w:val="20"/>
                <w:szCs w:val="20"/>
              </w:rPr>
              <w:t xml:space="preserve">[X; se recomienda 300.000] euros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que el objeto del contrato soporte alguno de los siguientes servicios: padrón, gestión tributaria, recaudación, contabilidad y patrimonio, gestión de expedientes o sede electrónica;</w:t>
            </w:r>
          </w:p>
          <w:p>
            <w:pPr>
              <w:spacing w:after="100" w:line="264"/>
            </w:pPr>
            <w:r>
              <w:rPr>
                <w:rFonts w:ascii="Georgia" w:cs="Georgia" w:eastAsia="Georgia" w:hAnsi="Georgia"/>
                <w:sz w:val="20"/>
                <w:szCs w:val="20"/>
              </w:rPr>
              <w:t xml:space="preserve">d) que el estudio de mercado del expediente acredite que </w:t>
            </w:r>
            <w:r>
              <w:rPr>
                <w:rFonts w:ascii="Georgia" w:cs="Georgia" w:eastAsia="Georgia" w:hAnsi="Georgia"/>
                <w:b/>
                <w:bCs/>
                <w:sz w:val="20"/>
                <w:szCs w:val="20"/>
              </w:rPr>
              <w:t xml:space="preserve">no existe en el mercado una solución alternativa que permita sustituir la contratada en un plazo inferior a [X; se recomienda 6] meses</w:t>
            </w:r>
            <w:r>
              <w:rPr>
                <w:rFonts w:ascii="Georgia" w:cs="Georgia" w:eastAsia="Georgia" w:hAnsi="Georgia"/>
                <w:sz w:val="20"/>
                <w:szCs w:val="20"/>
              </w:rPr>
              <w:t xml:space="preserve"> sin interrupción del servicio.</w:t>
            </w:r>
          </w:p>
          <w:p>
            <w:pPr>
              <w:spacing w:after="100" w:line="264"/>
            </w:pPr>
            <w:r>
              <w:rPr>
                <w:rFonts w:ascii="Georgia" w:cs="Georgia" w:eastAsia="Georgia" w:hAnsi="Georgia"/>
                <w:sz w:val="20"/>
                <w:szCs w:val="20"/>
              </w:rPr>
              <w:t xml:space="preserve">En defecto de cualquiera de ellas, esta cláusula se marcará como NO APLICA.</w:t>
            </w:r>
          </w:p>
          <w:p>
            <w:pPr>
              <w:pStyle w:val="ListParagraph"/>
              <w:numPr>
                <w:ilvl w:val="0"/>
                <w:numId w:val="2"/>
              </w:numPr>
              <w:spacing w:after="60" w:line="264"/>
            </w:pPr>
            <w:r>
              <w:rPr>
                <w:rFonts w:ascii="Georgia" w:cs="Georgia" w:eastAsia="Georgia" w:hAnsi="Georgia"/>
                <w:b/>
                <w:bCs/>
                <w:sz w:val="20"/>
                <w:szCs w:val="20"/>
              </w:rPr>
              <w:t xml:space="preserve">Contenido del depósito.</w:t>
            </w:r>
            <w:r>
              <w:rPr>
                <w:rFonts w:ascii="Georgia" w:cs="Georgia" w:eastAsia="Georgia" w:hAnsi="Georgia"/>
                <w:sz w:val="20"/>
                <w:szCs w:val="20"/>
              </w:rPr>
              <w:t xml:space="preserve"> El depósito comprenderá: el código fuente de la solución y de los desarrollos específicos; sus dependencias y </w:t>
            </w:r>
            <w:r>
              <w:rPr>
                <w:rFonts w:ascii="Georgia" w:cs="Georgia" w:eastAsia="Georgia" w:hAnsi="Georgia"/>
                <w:i/>
                <w:iCs/>
                <w:sz w:val="20"/>
                <w:szCs w:val="20"/>
              </w:rPr>
              <w:t xml:space="preserve">scripts</w:t>
            </w:r>
            <w:r>
              <w:rPr>
                <w:rFonts w:ascii="Georgia" w:cs="Georgia" w:eastAsia="Georgia" w:hAnsi="Georgia"/>
                <w:sz w:val="20"/>
                <w:szCs w:val="20"/>
              </w:rPr>
              <w:t xml:space="preserve"> de construcción; la infraestructura como código; el esquema de la base de datos y sus </w:t>
            </w:r>
            <w:r>
              <w:rPr>
                <w:rFonts w:ascii="Georgia" w:cs="Georgia" w:eastAsia="Georgia" w:hAnsi="Georgia"/>
                <w:i/>
                <w:iCs/>
                <w:sz w:val="20"/>
                <w:szCs w:val="20"/>
              </w:rPr>
              <w:t xml:space="preserve">scripts</w:t>
            </w:r>
            <w:r>
              <w:rPr>
                <w:rFonts w:ascii="Georgia" w:cs="Georgia" w:eastAsia="Georgia" w:hAnsi="Georgia"/>
                <w:sz w:val="20"/>
                <w:szCs w:val="20"/>
              </w:rPr>
              <w:t xml:space="preserve"> de migración; la documentación de construcción y despliegue; el procedimiento de gestión de credenciales —</w:t>
            </w:r>
            <w:r>
              <w:rPr>
                <w:rFonts w:ascii="Georgia" w:cs="Georgia" w:eastAsia="Georgia" w:hAnsi="Georgia"/>
                <w:b/>
                <w:bCs/>
                <w:sz w:val="20"/>
                <w:szCs w:val="20"/>
              </w:rPr>
              <w:t xml:space="preserve">nunca las credenciales</w:t>
            </w:r>
            <w:r>
              <w:rPr>
                <w:rFonts w:ascii="Georgia" w:cs="Georgia" w:eastAsia="Georgia" w:hAnsi="Georgia"/>
                <w:sz w:val="20"/>
                <w:szCs w:val="20"/>
              </w:rPr>
              <w:t xml:space="preserve">—; y las licencias de los componentes de terceros, con confirmación expresa de que amparan el escenario de continuidad previsto en esta cláusula.</w:t>
            </w:r>
          </w:p>
          <w:p>
            <w:pPr>
              <w:pStyle w:val="ListParagraph"/>
              <w:numPr>
                <w:ilvl w:val="0"/>
                <w:numId w:val="2"/>
              </w:numPr>
              <w:spacing w:after="60" w:line="264"/>
            </w:pPr>
            <w:r>
              <w:rPr>
                <w:rFonts w:ascii="Georgia" w:cs="Georgia" w:eastAsia="Georgia" w:hAnsi="Georgia"/>
                <w:b/>
                <w:bCs/>
                <w:sz w:val="20"/>
                <w:szCs w:val="20"/>
              </w:rPr>
              <w:t xml:space="preserve">Vías de cumplimiento.</w:t>
            </w:r>
            <w:r>
              <w:rPr>
                <w:rFonts w:ascii="Georgia" w:cs="Georgia" w:eastAsia="Georgia" w:hAnsi="Georgia"/>
                <w:sz w:val="20"/>
                <w:szCs w:val="20"/>
              </w:rPr>
              <w:t xml:space="preserve"> El adjudicatario acreditará el cumplimiento de esta cláusula por </w:t>
            </w:r>
            <w:r>
              <w:rPr>
                <w:rFonts w:ascii="Georgia" w:cs="Georgia" w:eastAsia="Georgia" w:hAnsi="Georgia"/>
                <w:b/>
                <w:bCs/>
                <w:sz w:val="20"/>
                <w:szCs w:val="20"/>
              </w:rPr>
              <w:t xml:space="preserve">cualquiera</w:t>
            </w:r>
            <w:r>
              <w:rPr>
                <w:rFonts w:ascii="Georgia" w:cs="Georgia" w:eastAsia="Georgia" w:hAnsi="Georgia"/>
                <w:sz w:val="20"/>
                <w:szCs w:val="20"/>
              </w:rPr>
              <w:t xml:space="preserve"> de las tres vías siguientes, a su elección, sin que ninguna de ellas se considere preferente: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Depósito propio</w:t>
            </w:r>
            <w:r>
              <w:rPr>
                <w:rFonts w:ascii="Georgia" w:cs="Georgia" w:eastAsia="Georgia" w:hAnsi="Georgia"/>
                <w:sz w:val="20"/>
                <w:szCs w:val="20"/>
              </w:rPr>
              <w:t xml:space="preserve">, cuando el adjudicatario sea titular de los derechos sobre la solución: constitución ante notario o entidad depositaria especializada, a favor del Ayuntamiento como beneficiario designado.</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Depósito de tercero</w:t>
            </w:r>
            <w:r>
              <w:rPr>
                <w:rFonts w:ascii="Georgia" w:cs="Georgia" w:eastAsia="Georgia" w:hAnsi="Georgia"/>
                <w:sz w:val="20"/>
                <w:szCs w:val="20"/>
              </w:rPr>
              <w:t xml:space="preserve">, cuando el titular sea el fabricante y este acepte voluntariamente participar: acuerdo tripartito entre fabricante, adjudicatario y Ayuntamiento; o bien acreditación, mediante certificado del depositario, de que existe un depósito ya constituido por el fabricante en el que el Ayuntamiento puede ser designado beneficiario. </w:t>
            </w:r>
            <w:r>
              <w:rPr>
                <w:rFonts w:ascii="Georgia" w:cs="Georgia" w:eastAsia="Georgia" w:hAnsi="Georgia"/>
                <w:b/>
                <w:bCs/>
                <w:sz w:val="20"/>
                <w:szCs w:val="20"/>
              </w:rPr>
              <w:t xml:space="preserve">Este pliego no impone obligación alguna al fabricante y no invoca a tal efecto el artículo 75 de la LCSP.</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Plan de continuidad equivalente</w:t>
            </w:r>
            <w:r>
              <w:rPr>
                <w:rFonts w:ascii="Georgia" w:cs="Georgia" w:eastAsia="Georgia" w:hAnsi="Georgia"/>
                <w:sz w:val="20"/>
                <w:szCs w:val="20"/>
              </w:rPr>
              <w:t xml:space="preserve">, cuando el adjudicatario no sea titular de los derechos y el fabricante no participe: acreditación documentada de que el Ayuntamiento podrá continuar operando la solución durante al menos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sin intervención del adjudicatario ni del fabricante, mediante la combinación de licencias de uso vigentes y desvinculadas del contrato, imagen desplegable del sistema, documentación de operación y un contrato de soporte con un tercero acreditado por el fabricante. El plan se verifica anualmente en los mismos términos del apartado 4.</w:t>
            </w:r>
          </w:p>
          <w:p>
            <w:pPr>
              <w:pStyle w:val="ListParagraph"/>
              <w:numPr>
                <w:ilvl w:val="0"/>
                <w:numId w:val="2"/>
              </w:numPr>
              <w:spacing w:after="60" w:line="264"/>
            </w:pPr>
            <w:r>
              <w:rPr>
                <w:rFonts w:ascii="Georgia" w:cs="Georgia" w:eastAsia="Georgia" w:hAnsi="Georgia"/>
                <w:b/>
                <w:bCs/>
                <w:sz w:val="20"/>
                <w:szCs w:val="20"/>
              </w:rPr>
              <w:t xml:space="preserve">Actualización y verificación técnica.</w:t>
            </w:r>
            <w:r>
              <w:rPr>
                <w:rFonts w:ascii="Georgia" w:cs="Georgia" w:eastAsia="Georgia" w:hAnsi="Georgia"/>
                <w:sz w:val="20"/>
                <w:szCs w:val="20"/>
              </w:rPr>
              <w:t xml:space="preserve"> El depósito o el plan de continuidad equivalente se actualizará con cada versión mayor puesta en producción y, en todo caso, </w:t>
            </w:r>
            <w:r>
              <w:rPr>
                <w:rFonts w:ascii="Georgia" w:cs="Georgia" w:eastAsia="Georgia" w:hAnsi="Georgia"/>
                <w:b/>
                <w:bCs/>
                <w:sz w:val="20"/>
                <w:szCs w:val="20"/>
              </w:rPr>
              <w:t xml:space="preserve">anualmente</w:t>
            </w:r>
            <w:r>
              <w:rPr>
                <w:rFonts w:ascii="Georgia" w:cs="Georgia" w:eastAsia="Georgia" w:hAnsi="Georgia"/>
                <w:sz w:val="20"/>
                <w:szCs w:val="20"/>
              </w:rPr>
              <w:t xml:space="preserve">. En el momento de su constitución y en cada actualización se verificará técnicamente que el material depositado </w:t>
            </w:r>
            <w:r>
              <w:rPr>
                <w:rFonts w:ascii="Georgia" w:cs="Georgia" w:eastAsia="Georgia" w:hAnsi="Georgia"/>
                <w:b/>
                <w:bCs/>
                <w:sz w:val="20"/>
                <w:szCs w:val="20"/>
              </w:rPr>
              <w:t xml:space="preserve">compila y se despliega en un entorno funcional</w:t>
            </w:r>
            <w:r>
              <w:rPr>
                <w:rFonts w:ascii="Georgia" w:cs="Georgia" w:eastAsia="Georgia" w:hAnsi="Georgia"/>
                <w:sz w:val="20"/>
                <w:szCs w:val="20"/>
              </w:rPr>
              <w:t xml:space="preserve">, expidiéndose certificado por el depositario o por un tercero independiente. </w:t>
            </w:r>
            <w:r>
              <w:rPr>
                <w:rFonts w:ascii="Georgia" w:cs="Georgia" w:eastAsia="Georgia" w:hAnsi="Georgia"/>
                <w:b/>
                <w:bCs/>
                <w:sz w:val="20"/>
                <w:szCs w:val="20"/>
              </w:rPr>
              <w:t xml:space="preserve">Un depósito sin certificado de verificación vigente se tendrá por no constituido.</w:t>
            </w:r>
          </w:p>
          <w:p>
            <w:pPr>
              <w:pStyle w:val="ListParagraph"/>
              <w:numPr>
                <w:ilvl w:val="0"/>
                <w:numId w:val="2"/>
              </w:numPr>
              <w:spacing w:after="60" w:line="264"/>
            </w:pPr>
            <w:r>
              <w:rPr>
                <w:rFonts w:ascii="Georgia" w:cs="Georgia" w:eastAsia="Georgia" w:hAnsi="Georgia"/>
                <w:b/>
                <w:bCs/>
                <w:sz w:val="20"/>
                <w:szCs w:val="20"/>
              </w:rPr>
              <w:t xml:space="preserve">Supuestos de liberación.</w:t>
            </w:r>
            <w:r>
              <w:rPr>
                <w:rFonts w:ascii="Georgia" w:cs="Georgia" w:eastAsia="Georgia" w:hAnsi="Georgia"/>
                <w:sz w:val="20"/>
                <w:szCs w:val="20"/>
              </w:rPr>
              <w:t xml:space="preserve"> El Ayuntamiento tendrá derecho a la liberación del depósito, sin necesidad de consentimiento del depositante, en los siguientes supuestos tasados:</w:t>
            </w:r>
          </w:p>
          <w:p>
            <w:pPr>
              <w:spacing w:after="100" w:line="264"/>
            </w:pPr>
            <w:r>
              <w:rPr>
                <w:rFonts w:ascii="Georgia" w:cs="Georgia" w:eastAsia="Georgia" w:hAnsi="Georgia"/>
                <w:sz w:val="20"/>
                <w:szCs w:val="20"/>
              </w:rPr>
              <w:t xml:space="preserve">a) interrupción del soporte o del mantenimiento durante más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no subsanada tras requerimiento fehaciente y acreditada en acta del responsable del contrato;</w:t>
            </w:r>
          </w:p>
          <w:p>
            <w:pPr>
              <w:spacing w:after="100" w:line="264"/>
            </w:pPr>
            <w:r>
              <w:rPr>
                <w:rFonts w:ascii="Georgia" w:cs="Georgia" w:eastAsia="Georgia" w:hAnsi="Georgia"/>
                <w:sz w:val="20"/>
                <w:szCs w:val="20"/>
              </w:rPr>
              <w:t xml:space="preserve">b) imposición firme, en el plazo de doce meses, de </w:t>
            </w:r>
            <w:r>
              <w:rPr>
                <w:rFonts w:ascii="Georgia" w:cs="Georgia" w:eastAsia="Georgia" w:hAnsi="Georgia"/>
                <w:b/>
                <w:bCs/>
                <w:sz w:val="20"/>
                <w:szCs w:val="20"/>
              </w:rPr>
              <w:t xml:space="preserve">[X; se recomienda 3] penalidades por incumplimientos calificados de graves o muy graves</w:t>
            </w:r>
            <w:r>
              <w:rPr>
                <w:rFonts w:ascii="Georgia" w:cs="Georgia" w:eastAsia="Georgia" w:hAnsi="Georgia"/>
                <w:sz w:val="20"/>
                <w:szCs w:val="20"/>
              </w:rPr>
              <w:t xml:space="preserve"> de los acuerdos de nivel de servicio definidos en el pliego de prescripciones técnicas, </w:t>
            </w:r>
            <w:r>
              <w:rPr>
                <w:rFonts w:ascii="Georgia" w:cs="Georgia" w:eastAsia="Georgia" w:hAnsi="Georgia"/>
                <w:b/>
                <w:bCs/>
                <w:sz w:val="20"/>
                <w:szCs w:val="20"/>
              </w:rPr>
              <w:t xml:space="preserve">cuando además concurra riesgo acreditado para la continuidad del servicio, apreciado en informe motivado del responsable del contrato</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cese efectivo de actividad o desaparición del titular;</w:t>
            </w:r>
          </w:p>
          <w:p>
            <w:pPr>
              <w:spacing w:after="100" w:line="264"/>
            </w:pPr>
            <w:r>
              <w:rPr>
                <w:rFonts w:ascii="Georgia" w:cs="Georgia" w:eastAsia="Georgia" w:hAnsi="Georgia"/>
                <w:sz w:val="20"/>
                <w:szCs w:val="20"/>
              </w:rPr>
              <w:t xml:space="preserve">d) resolución del contrato por cualquier causa, incluida la prevista en el artículo 211.1.b) de la LCSP;</w:t>
            </w:r>
          </w:p>
          <w:p>
            <w:pPr>
              <w:spacing w:after="100" w:line="264"/>
            </w:pPr>
            <w:r>
              <w:rPr>
                <w:rFonts w:ascii="Georgia" w:cs="Georgia" w:eastAsia="Georgia" w:hAnsi="Georgia"/>
                <w:sz w:val="20"/>
                <w:szCs w:val="20"/>
              </w:rPr>
              <w:t xml:space="preserve">e) falta de puesta a disposición de una versión sucesora en los términos de la cláusula [ADM-2], apartado 6, incluida su regla de exoneración cuando el fabricante deniegue el acceso al adjudicatario que no es titular de los derechos.</w:t>
            </w:r>
          </w:p>
          <w:p>
            <w:pPr>
              <w:spacing w:after="100" w:line="264"/>
            </w:pPr>
            <w:r>
              <w:rPr>
                <w:rFonts w:ascii="Georgia" w:cs="Georgia" w:eastAsia="Georgia" w:hAnsi="Georgia"/>
                <w:b/>
                <w:bCs/>
                <w:sz w:val="20"/>
                <w:szCs w:val="20"/>
              </w:rPr>
              <w:t xml:space="preserve">En caso de concurso del titular</w:t>
            </w:r>
            <w:r>
              <w:rPr>
                <w:rFonts w:ascii="Georgia" w:cs="Georgia" w:eastAsia="Georgia" w:hAnsi="Georgia"/>
                <w:sz w:val="20"/>
                <w:szCs w:val="20"/>
              </w:rPr>
              <w:t xml:space="preserve">, la liberación operará por la vía de la resolución del contrato conforme a la legislación de contratos del sector público, a la que remite el artículo 190 del texto refundido de la Ley Concursal, y en los términos que permita la legislación concursal. </w:t>
            </w:r>
            <w:r>
              <w:rPr>
                <w:rFonts w:ascii="Georgia" w:cs="Georgia" w:eastAsia="Georgia" w:hAnsi="Georgia"/>
                <w:b/>
                <w:bCs/>
                <w:sz w:val="20"/>
                <w:szCs w:val="20"/>
              </w:rPr>
              <w:t xml:space="preserve">En ningún caso la sola declaración de concurso operará como causa automática de liberación.</w:t>
            </w:r>
          </w:p>
          <w:p>
            <w:pPr>
              <w:pStyle w:val="ListParagraph"/>
              <w:numPr>
                <w:ilvl w:val="0"/>
                <w:numId w:val="2"/>
              </w:numPr>
              <w:spacing w:after="60" w:line="264"/>
            </w:pPr>
            <w:r>
              <w:rPr>
                <w:rFonts w:ascii="Georgia" w:cs="Georgia" w:eastAsia="Georgia" w:hAnsi="Georgia"/>
                <w:b/>
                <w:bCs/>
                <w:sz w:val="20"/>
                <w:szCs w:val="20"/>
              </w:rPr>
              <w:t xml:space="preserve">Procedimiento de liberación.</w:t>
            </w:r>
            <w:r>
              <w:rPr>
                <w:rFonts w:ascii="Georgia" w:cs="Georgia" w:eastAsia="Georgia" w:hAnsi="Georgia"/>
                <w:sz w:val="20"/>
                <w:szCs w:val="20"/>
              </w:rPr>
              <w:t xml:space="preserve"> La liberación requerirá, en todo caso: propuesta motivada del responsable del contrato con la acreditación del supuesto; audiencia al adjudicatario por plazo no inferior a </w:t>
            </w:r>
            <w:r>
              <w:rPr>
                <w:rFonts w:ascii="Georgia" w:cs="Georgia" w:eastAsia="Georgia" w:hAnsi="Georgia"/>
                <w:b/>
                <w:bCs/>
                <w:sz w:val="20"/>
                <w:szCs w:val="20"/>
              </w:rPr>
              <w:t xml:space="preserve">[X; se recomienda 10] días hábiles</w:t>
            </w:r>
            <w:r>
              <w:rPr>
                <w:rFonts w:ascii="Georgia" w:cs="Georgia" w:eastAsia="Georgia" w:hAnsi="Georgia"/>
                <w:sz w:val="20"/>
                <w:szCs w:val="20"/>
              </w:rPr>
              <w:t xml:space="preserve">; y resolución motivada del órgano de contratación, que se notificará al depositario. La liberación no podrá acordarse por decisión unilateral de un servicio municipal.</w:t>
            </w:r>
          </w:p>
          <w:p>
            <w:pPr>
              <w:pStyle w:val="ListParagraph"/>
              <w:numPr>
                <w:ilvl w:val="0"/>
                <w:numId w:val="2"/>
              </w:numPr>
              <w:spacing w:after="60" w:line="264"/>
            </w:pPr>
            <w:r>
              <w:rPr>
                <w:rFonts w:ascii="Georgia" w:cs="Georgia" w:eastAsia="Georgia" w:hAnsi="Georgia"/>
                <w:b/>
                <w:bCs/>
                <w:sz w:val="20"/>
                <w:szCs w:val="20"/>
              </w:rPr>
              <w:t xml:space="preserve">Licencia condicionada.</w:t>
            </w:r>
            <w:r>
              <w:rPr>
                <w:rFonts w:ascii="Georgia" w:cs="Georgia" w:eastAsia="Georgia" w:hAnsi="Georgia"/>
                <w:sz w:val="20"/>
                <w:szCs w:val="20"/>
              </w:rPr>
              <w:t xml:space="preserve"> Con la firma del contrato, el titular otorga al Ayuntamiento una licencia no exclusiva, intransferible salvo a otras entidades del sector público, </w:t>
            </w:r>
            <w:r>
              <w:rPr>
                <w:rFonts w:ascii="Georgia" w:cs="Georgia" w:eastAsia="Georgia" w:hAnsi="Georgia"/>
                <w:b/>
                <w:bCs/>
                <w:sz w:val="20"/>
                <w:szCs w:val="20"/>
              </w:rPr>
              <w:t xml:space="preserve">eficaz únicamente desde la liberación</w:t>
            </w:r>
            <w:r>
              <w:rPr>
                <w:rFonts w:ascii="Georgia" w:cs="Georgia" w:eastAsia="Georgia" w:hAnsi="Georgia"/>
                <w:sz w:val="20"/>
                <w:szCs w:val="20"/>
              </w:rPr>
              <w:t xml:space="preserve"> y limitada a: extraer y recuperar los datos municipales, mantener la solución en funcionamiento y ejecutar la migración a otra solución, por sí o por medio de tercero sujeto a idéntico deber de confidencialidad. La licencia </w:t>
            </w:r>
            <w:r>
              <w:rPr>
                <w:rFonts w:ascii="Georgia" w:cs="Georgia" w:eastAsia="Georgia" w:hAnsi="Georgia"/>
                <w:b/>
                <w:bCs/>
                <w:sz w:val="20"/>
                <w:szCs w:val="20"/>
              </w:rPr>
              <w:t xml:space="preserve">no comprende facultad alguna de explotación comercial, cesión, distribución o comercialización del código</w:t>
            </w:r>
            <w:r>
              <w:rPr>
                <w:rFonts w:ascii="Georgia" w:cs="Georgia" w:eastAsia="Georgia" w:hAnsi="Georgia"/>
                <w:sz w:val="20"/>
                <w:szCs w:val="20"/>
              </w:rPr>
              <w:t xml:space="preserve">, y se extingue al completarse la migración o, a más tardar, transcurridos </w:t>
            </w:r>
            <w:r>
              <w:rPr>
                <w:rFonts w:ascii="Georgia" w:cs="Georgia" w:eastAsia="Georgia" w:hAnsi="Georgia"/>
                <w:b/>
                <w:bCs/>
                <w:sz w:val="20"/>
                <w:szCs w:val="20"/>
              </w:rPr>
              <w:t xml:space="preserve">[X; se recomienda 24] meses</w:t>
            </w:r>
            <w:r>
              <w:rPr>
                <w:rFonts w:ascii="Georgia" w:cs="Georgia" w:eastAsia="Georgia" w:hAnsi="Georgia"/>
                <w:sz w:val="20"/>
                <w:szCs w:val="20"/>
              </w:rPr>
              <w:t xml:space="preserve"> desde la liberación. La entrega material del código no confiere por sí sola derecho a reproducirlo (artículo 99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Coste.</w:t>
            </w:r>
            <w:r>
              <w:rPr>
                <w:rFonts w:ascii="Georgia" w:cs="Georgia" w:eastAsia="Georgia" w:hAnsi="Georgia"/>
                <w:sz w:val="20"/>
                <w:szCs w:val="20"/>
              </w:rPr>
              <w:t xml:space="preserve"> El coste de constitución, actualización y verificación del depósito, o el de mantenimiento del plan de continuidad equivalente, se consigna como </w:t>
            </w:r>
            <w:r>
              <w:rPr>
                <w:rFonts w:ascii="Georgia" w:cs="Georgia" w:eastAsia="Georgia" w:hAnsi="Georgia"/>
                <w:b/>
                <w:bCs/>
                <w:sz w:val="20"/>
                <w:szCs w:val="20"/>
              </w:rPr>
              <w:t xml:space="preserve">partida independiente del presupuesto base de licitación</w:t>
            </w:r>
            <w:r>
              <w:rPr>
                <w:rFonts w:ascii="Georgia" w:cs="Georgia" w:eastAsia="Georgia" w:hAnsi="Georgia"/>
                <w:sz w:val="20"/>
                <w:szCs w:val="20"/>
              </w:rPr>
              <w:t xml:space="preserve">, conforme al artículo 100.2 de la LCSP, por importe de </w:t>
            </w:r>
            <w:r>
              <w:rPr>
                <w:rFonts w:ascii="Georgia" w:cs="Georgia" w:eastAsia="Georgia" w:hAnsi="Georgia"/>
                <w:b/>
                <w:bCs/>
                <w:sz w:val="20"/>
                <w:szCs w:val="20"/>
              </w:rPr>
              <w:t xml:space="preserve">[ ] euros anuales</w:t>
            </w:r>
            <w:r>
              <w:rPr>
                <w:rFonts w:ascii="Georgia" w:cs="Georgia" w:eastAsia="Georgia" w:hAnsi="Georgia"/>
                <w:sz w:val="20"/>
                <w:szCs w:val="20"/>
              </w:rPr>
              <w:t xml:space="preserve">, y se entiende incluido en el precio del contrato. </w:t>
            </w:r>
            <w:r>
              <w:rPr>
                <w:rFonts w:ascii="Georgia" w:cs="Georgia" w:eastAsia="Georgia" w:hAnsi="Georgia"/>
                <w:b/>
                <w:bCs/>
                <w:sz w:val="20"/>
                <w:szCs w:val="20"/>
              </w:rPr>
              <w:t xml:space="preserve">No constituye criterio de adjudicación y no se desglosa en la oferta económica.</w:t>
            </w:r>
          </w:p>
          <w:p>
            <w:pPr>
              <w:pStyle w:val="ListParagraph"/>
              <w:numPr>
                <w:ilvl w:val="0"/>
                <w:numId w:val="2"/>
              </w:numPr>
              <w:spacing w:after="60" w:line="264"/>
            </w:pPr>
            <w:r>
              <w:rPr>
                <w:rFonts w:ascii="Georgia" w:cs="Georgia" w:eastAsia="Georgia" w:hAnsi="Georgia"/>
                <w:b/>
                <w:bCs/>
                <w:sz w:val="20"/>
                <w:szCs w:val="20"/>
              </w:rPr>
              <w:t xml:space="preserve">Carácter esencial.</w:t>
            </w:r>
            <w:r>
              <w:rPr>
                <w:rFonts w:ascii="Georgia" w:cs="Georgia" w:eastAsia="Georgia" w:hAnsi="Georgia"/>
                <w:sz w:val="20"/>
                <w:szCs w:val="20"/>
              </w:rPr>
              <w:t xml:space="preserve">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importe del apartado 8 se traslada al desglose del presupuesto base de licitación.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34.1 LCSP (libertad de pactos: «podrán incluirse cualesquiera pactos, cláusulas y condiciones, siempre que no sean contrarios al interés público, al ordenamiento jurídico y a los principios de buena administración») y art. 202 LCSP (condiciones especiales de ejecución vinculadas al objeto, anunciadas </w:t>
      </w:r>
      <w:r>
        <w:rPr>
          <w:rFonts w:ascii="Calibri" w:cs="Calibri" w:eastAsia="Calibri" w:hAnsi="Calibri"/>
          <w:i/>
          <w:iCs/>
          <w:sz w:val="21"/>
          <w:szCs w:val="21"/>
        </w:rPr>
        <w:t xml:space="preserve">ex ante</w:t>
      </w:r>
      <w:r>
        <w:rPr>
          <w:rFonts w:ascii="Calibri" w:cs="Calibri" w:eastAsia="Calibri" w:hAnsi="Calibri"/>
          <w:sz w:val="21"/>
          <w:szCs w:val="21"/>
        </w:rPr>
        <w:t xml:space="preserve">). Art. 2.3 del RD 311/2022, que obliga a que los pliegos «contemplarán todos aquellos requisitos necesarios para asegurar la conformidad con el ENS de los sistemas de información en los que se sustenten los servicios prestados por los contratistas», con extensión a la cadena de suministro. Medida </w:t>
      </w:r>
      <w:r>
        <w:rPr>
          <w:rFonts w:ascii="Calibri" w:cs="Calibri" w:eastAsia="Calibri" w:hAnsi="Calibri"/>
          <w:b/>
          <w:bCs/>
          <w:sz w:val="21"/>
          <w:szCs w:val="21"/>
        </w:rPr>
        <w:t xml:space="preserve">[op.cont.4] «Medios alternativos»</w:t>
      </w:r>
      <w:r>
        <w:rPr>
          <w:rFonts w:ascii="Calibri" w:cs="Calibri" w:eastAsia="Calibri" w:hAnsi="Calibri"/>
          <w:sz w:val="21"/>
          <w:szCs w:val="21"/>
        </w:rPr>
        <w:t xml:space="preserve"> del Anexo II del RD 311/2022, exigible en nivel ALTO de disponibilidad, cuyo apartado [op.cont.4.1] cubre expresamente «a) Servicios contratados a terceros» y cuyo [op.cont.4.2] obliga a fijar un tiempo máximo de entrada en funcionamiento de los medios alternativos. Se hace constar con precisión que esa medida exige </w:t>
      </w:r>
      <w:r>
        <w:rPr>
          <w:rFonts w:ascii="Calibri" w:cs="Calibri" w:eastAsia="Calibri" w:hAnsi="Calibri"/>
          <w:b/>
          <w:bCs/>
          <w:sz w:val="21"/>
          <w:szCs w:val="21"/>
        </w:rPr>
        <w:t xml:space="preserve">disponibilidad de medios alternativos</w:t>
      </w:r>
      <w:r>
        <w:rPr>
          <w:rFonts w:ascii="Calibri" w:cs="Calibri" w:eastAsia="Calibri" w:hAnsi="Calibri"/>
          <w:sz w:val="21"/>
          <w:szCs w:val="21"/>
        </w:rPr>
        <w:t xml:space="preserve">, no depósito de código: el depósito es </w:t>
      </w:r>
      <w:r>
        <w:rPr>
          <w:rFonts w:ascii="Calibri" w:cs="Calibri" w:eastAsia="Calibri" w:hAnsi="Calibri"/>
          <w:b/>
          <w:bCs/>
          <w:sz w:val="21"/>
          <w:szCs w:val="21"/>
        </w:rPr>
        <w:t xml:space="preserve">una de las formas</w:t>
      </w:r>
      <w:r>
        <w:rPr>
          <w:rFonts w:ascii="Calibri" w:cs="Calibri" w:eastAsia="Calibri" w:hAnsi="Calibri"/>
          <w:sz w:val="21"/>
          <w:szCs w:val="21"/>
        </w:rPr>
        <w:t xml:space="preserve"> de satisfacerla, y por eso el apartado 3.c) admite otras.</w:t>
      </w:r>
    </w:p>
    <w:p>
      <w:pPr>
        <w:spacing w:after="140" w:line="276"/>
      </w:pPr>
      <w:r>
        <w:rPr>
          <w:rFonts w:ascii="Calibri" w:cs="Calibri" w:eastAsia="Calibri" w:hAnsi="Calibri"/>
          <w:sz w:val="21"/>
          <w:szCs w:val="21"/>
        </w:rPr>
        <w:t xml:space="preserve">Art. 156 del texto refundido de la Ley Concursal: «Se tendrán por no puestas las cláusulas que establezcan la facultad de la otra parte de suspender o de modificar las obligaciones o los efectos del contrato […] por la declaración de concurso». De ahí que el concurso no opere como disparador automático. Art. 190 del mismo texto refundido, que remite los efectos del concurso sobre los contratos administrativos a su legislación especial; y art. 211.1.b) LCSP, que convierte la declaración de concurso en causa de resolución, con la continuación potestativa del art. 212.5 LCSP si median razones de interés público y garantías adicionales.</w:t>
      </w:r>
    </w:p>
    <w:p>
      <w:pPr>
        <w:spacing w:after="140" w:line="276"/>
      </w:pPr>
      <w:r>
        <w:rPr>
          <w:rFonts w:ascii="Calibri" w:cs="Calibri" w:eastAsia="Calibri" w:hAnsi="Calibri"/>
          <w:sz w:val="21"/>
          <w:szCs w:val="21"/>
        </w:rPr>
        <w:t xml:space="preserve">Art. 100.2 LCSP, para la ubicación del coste: el desglose de costes del presupuesto base de licitación es obligación del órgano de contratación, no del licitador.</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según la vía elegida: (a) escritura o contrato de depósito con designación del Ayuntamiento como beneficiario; (b) acuerdo tripartito firmado, o certificado del depositario acreditando el depósito preexistente y la designación de beneficiario; (c) para el plan de continuidad equivalente, certificado de licencias vigentes y desvinculadas del contrato, acta de despliegue de la imagen en entorno funcional, documentación de operación y contrato de soporte con tercero acreditado. En </w:t>
      </w:r>
      <w:r>
        <w:rPr>
          <w:rFonts w:ascii="Calibri" w:cs="Calibri" w:eastAsia="Calibri" w:hAnsi="Calibri"/>
          <w:b/>
          <w:bCs/>
          <w:sz w:val="21"/>
          <w:szCs w:val="21"/>
        </w:rPr>
        <w:t xml:space="preserve">todas</w:t>
      </w:r>
      <w:r>
        <w:rPr>
          <w:rFonts w:ascii="Calibri" w:cs="Calibri" w:eastAsia="Calibri" w:hAnsi="Calibri"/>
          <w:sz w:val="21"/>
          <w:szCs w:val="21"/>
        </w:rPr>
        <w:t xml:space="preserve"> las vías: </w:t>
      </w:r>
      <w:r>
        <w:rPr>
          <w:rFonts w:ascii="Calibri" w:cs="Calibri" w:eastAsia="Calibri" w:hAnsi="Calibri"/>
          <w:b/>
          <w:bCs/>
          <w:sz w:val="21"/>
          <w:szCs w:val="21"/>
        </w:rPr>
        <w:t xml:space="preserve">certificado de verificación técnica vigente</w:t>
      </w:r>
      <w:r>
        <w:rPr>
          <w:rFonts w:ascii="Calibri" w:cs="Calibri" w:eastAsia="Calibri" w:hAnsi="Calibri"/>
          <w:sz w:val="21"/>
          <w:szCs w:val="21"/>
        </w:rPr>
        <w:t xml:space="preserve"> que acredite que el material compila y se despliega.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formalización y anualmente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verificación técnica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actualización del depósito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que consigne la vigencia del certificado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produce un supuesto de liberación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motivada, previa audiencia</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comprobación de la vigencia del certificado, más 1 hora por cada actualización asociada a versión mayor. La verificación técnica la realiza el depositario o un tercero independiente, con cargo al presupuesto del contrato: no consume horas municipales.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actualización o de verificación del depósito o del plan equivalente:</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ADM-5·v3. </w:t>
      </w:r>
      <w:r>
        <w:rPr>
          <w:rFonts w:ascii="Calibri" w:cs="Calibri" w:eastAsia="Calibri" w:hAnsi="Calibri"/>
          <w:b/>
          <w:bCs/>
          <w:sz w:val="21"/>
          <w:szCs w:val="21"/>
        </w:rPr>
        <w:t xml:space="preserve">No es obligación esencial y no figura en la lista cerrada de ADM-6·v3, bloque B</w:t>
      </w:r>
      <w:r>
        <w:rPr>
          <w:rFonts w:ascii="Calibri" w:cs="Calibri" w:eastAsia="Calibri" w:hAnsi="Calibri"/>
          <w:sz w:val="21"/>
          <w:szCs w:val="21"/>
        </w:rPr>
        <w:t xml:space="preserve">: la falta de actualización documental de un depósito vigente no supera el juicio comparativo de perjuicios de ADM-6·v3, apartado 4.d). La regla del apartado 4 de esta cláusula —el depósito sin certificado de verificación vigente se tiene por no constituido— opera en el plano de la acreditación y de la penalidad; </w:t>
      </w:r>
      <w:r>
        <w:rPr>
          <w:rFonts w:ascii="Calibri" w:cs="Calibri" w:eastAsia="Calibri" w:hAnsi="Calibri"/>
          <w:b/>
          <w:bCs/>
          <w:sz w:val="21"/>
          <w:szCs w:val="21"/>
        </w:rPr>
        <w:t xml:space="preserve">no convierte esa falta en negativa a constituir</w:t>
      </w:r>
      <w:r>
        <w:rPr>
          <w:rFonts w:ascii="Calibri" w:cs="Calibri" w:eastAsia="Calibri" w:hAnsi="Calibri"/>
          <w:sz w:val="21"/>
          <w:szCs w:val="21"/>
        </w:rPr>
        <w:t xml:space="preserve"> a los efectos del artículo 211.1.f) de la Ley 9/2017.</w:t>
      </w:r>
    </w:p>
    <w:p>
      <w:pPr>
        <w:pStyle w:val="ListParagraph"/>
        <w:numPr>
          <w:ilvl w:val="0"/>
          <w:numId w:val="1"/>
        </w:numPr>
        <w:spacing w:after="70" w:line="268"/>
      </w:pPr>
      <w:r>
        <w:rPr>
          <w:rFonts w:ascii="Calibri" w:cs="Calibri" w:eastAsia="Calibri" w:hAnsi="Calibri"/>
          <w:b/>
          <w:bCs/>
          <w:sz w:val="21"/>
          <w:szCs w:val="21"/>
        </w:rPr>
        <w:t xml:space="preserve">Negativa a constituir el depósito o el plan de continuidad equivalente por la vía elegida, negativa a liberar el depósito, o entrega de material incompleto o no verificable: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(tipo M3 de ADM-5·v3).</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b)</w:t>
      </w:r>
      <w:r>
        <w:rPr>
          <w:rFonts w:ascii="Calibri" w:cs="Calibri" w:eastAsia="Calibri" w:hAnsi="Calibri"/>
          <w:sz w:val="21"/>
          <w:szCs w:val="21"/>
        </w:rPr>
        <w:t xml:space="preserve">, y no respecto de ningún otro apartado de esta cláusula. La enumeración </w:t>
      </w:r>
      <w:r>
        <w:rPr>
          <w:rFonts w:ascii="Calibri" w:cs="Calibri" w:eastAsia="Calibri" w:hAnsi="Calibri"/>
          <w:b/>
          <w:bCs/>
          <w:sz w:val="21"/>
          <w:szCs w:val="21"/>
        </w:rPr>
        <w:t xml:space="preserve">no se reproduce aquí</w:t>
      </w:r>
      <w:r>
        <w:rPr>
          <w:rFonts w:ascii="Calibri" w:cs="Calibri" w:eastAsia="Calibri" w:hAnsi="Calibri"/>
          <w:sz w:val="21"/>
          <w:szCs w:val="21"/>
        </w:rPr>
        <w:t xml:space="preserve">: la lista cerrada vive en ADM-6·v3, que es el texto que va al pliego, y cualquier discrepancia entre ambas sedes se resuelve a favor de aquélla. La resolución se acordará previa audiencia y requerimiento de subsanación, y sólo cuando el perjuicio derivado de ella no sea superior al de mantener el contrato.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Sólo se incorpora si concurren las cuatro circunstancias acumulativas del apartado 1, acreditadas en la memoria.</w:t>
      </w:r>
    </w:p>
    <w:p>
      <w:pPr>
        <w:pStyle w:val="ListParagraph"/>
        <w:numPr>
          <w:ilvl w:val="0"/>
          <w:numId w:val="1"/>
        </w:numPr>
        <w:spacing w:after="70" w:line="268"/>
      </w:pPr>
      <w:r>
        <w:rPr>
          <w:rFonts w:ascii="Calibri" w:cs="Calibri" w:eastAsia="Calibri" w:hAnsi="Calibri"/>
          <w:sz w:val="21"/>
          <w:szCs w:val="21"/>
        </w:rPr>
        <w:t xml:space="preserve">Contratos de software como servicio en los que el Ayuntamiento no opera la infraestructura y el depósito no permitiría por sí solo continuar el servicio: en tal caso, la vía procedente es el plan de continuidad equivalente del apartado 3.c), o ninguna.</w:t>
      </w:r>
    </w:p>
    <w:p>
      <w:pPr>
        <w:pStyle w:val="ListParagraph"/>
        <w:numPr>
          <w:ilvl w:val="0"/>
          <w:numId w:val="1"/>
        </w:numPr>
        <w:spacing w:after="70" w:line="268"/>
      </w:pPr>
      <w:r>
        <w:rPr>
          <w:rFonts w:ascii="Calibri" w:cs="Calibri" w:eastAsia="Calibri" w:hAnsi="Calibri"/>
          <w:sz w:val="21"/>
          <w:szCs w:val="21"/>
        </w:rPr>
        <w:t xml:space="preserve">Contratos de suministro de producto estándar con múltiples proveedores alternativos en el mercado: el criterio 1.d) no concurre.</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dos filas del cuadro de penalidades de ADM-5·v3, un guion del bloque B de ADM-6·v3, la partida correspondiente del desglose del presupuesto base de licitación y la mención del depósito en el Anexo VII.</w:t>
      </w:r>
    </w:p>
    <w:p>
      <w:pPr>
        <w:pStyle w:val="Heading3"/>
        <w:keepNext/>
        <w:spacing w:after="140" w:before="320"/>
      </w:pPr>
      <w:r>
        <w:rPr>
          <w:rFonts w:ascii="Georgia" w:cs="Georgia" w:eastAsia="Georgia" w:hAnsi="Georgia"/>
          <w:b/>
          <w:bCs/>
          <w:color w:val="2F5496"/>
          <w:sz w:val="22"/>
          <w:szCs w:val="22"/>
        </w:rPr>
        <w:t xml:space="preserve">Nota al redactor · La advertencia que debe reproducirse en la memoria, y las dos cautelas que condicionan la redacción</w:t>
      </w:r>
    </w:p>
    <w:p>
      <w:pPr>
        <w:spacing w:after="140" w:line="276"/>
      </w:pPr>
      <w:r>
        <w:rPr>
          <w:rFonts w:ascii="Calibri" w:cs="Calibri" w:eastAsia="Calibri" w:hAnsi="Calibri"/>
          <w:b/>
          <w:bCs/>
          <w:sz w:val="21"/>
          <w:szCs w:val="21"/>
        </w:rPr>
        <w:t xml:space="preserve">Advertencia obligatoria, que debe reproducirse en la memoria justificativa del expediente.</w:t>
      </w:r>
      <w:r>
        <w:rPr>
          <w:rFonts w:ascii="Calibri" w:cs="Calibri" w:eastAsia="Calibri" w:hAnsi="Calibri"/>
          <w:sz w:val="21"/>
          <w:szCs w:val="21"/>
        </w:rPr>
        <w:t xml:space="preserve"> El depósito de código fuente no es una figura de uso habitual en la contratación pública española. Tras búsqueda sistemática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a fecha de corte de 1 de septiembre de 2026 </w:t>
      </w:r>
      <w:r>
        <w:rPr>
          <w:rFonts w:ascii="Calibri" w:cs="Calibri" w:eastAsia="Calibri" w:hAnsi="Calibri"/>
          <w:b/>
          <w:bCs/>
          <w:sz w:val="21"/>
          <w:szCs w:val="21"/>
        </w:rPr>
        <w:t xml:space="preserve">no consta resolución, informe ni doctrina alguna sobre ella</w:t>
      </w:r>
      <w:r>
        <w:rPr>
          <w:rFonts w:ascii="Calibri" w:cs="Calibri" w:eastAsia="Calibri" w:hAnsi="Calibri"/>
          <w:sz w:val="21"/>
          <w:szCs w:val="21"/>
        </w:rPr>
        <w:t xml:space="preserve">; la doctrina privada española la describe como apenas utilizada. Se presenta, por tanto, como </w:t>
      </w:r>
      <w:r>
        <w:rPr>
          <w:rFonts w:ascii="Calibri" w:cs="Calibri" w:eastAsia="Calibri" w:hAnsi="Calibri"/>
          <w:b/>
          <w:bCs/>
          <w:sz w:val="21"/>
          <w:szCs w:val="21"/>
        </w:rPr>
        <w:t xml:space="preserve">previsión de nueva planta bien fundada</w:t>
      </w:r>
      <w:r>
        <w:rPr>
          <w:rFonts w:ascii="Calibri" w:cs="Calibri" w:eastAsia="Calibri" w:hAnsi="Calibri"/>
          <w:sz w:val="21"/>
          <w:szCs w:val="21"/>
        </w:rPr>
        <w:t xml:space="preserve"> —sobre la libertad de pactos del art. 34.1 LCSP, las condiciones especiales de ejecución del art. 202 LCSP y la medida [op.cont.4] «Medios alternativos» del Anexo II del RD 311/2022—, </w:t>
      </w:r>
      <w:r>
        <w:rPr>
          <w:rFonts w:ascii="Calibri" w:cs="Calibri" w:eastAsia="Calibri" w:hAnsi="Calibri"/>
          <w:b/>
          <w:bCs/>
          <w:sz w:val="21"/>
          <w:szCs w:val="21"/>
        </w:rPr>
        <w:t xml:space="preserve">no como práctica consolidada</w:t>
      </w:r>
      <w:r>
        <w:rPr>
          <w:rFonts w:ascii="Calibri" w:cs="Calibri" w:eastAsia="Calibri" w:hAnsi="Calibri"/>
          <w:sz w:val="21"/>
          <w:szCs w:val="21"/>
        </w:rPr>
        <w:t xml:space="preserve">. Un órgano de control informa sin dificultad una previsión de nueva planta justificada; detecta al instante una práctica supuestamente habitual que no puede contrastar.</w:t>
      </w:r>
    </w:p>
    <w:p>
      <w:pPr>
        <w:spacing w:after="140" w:line="276"/>
      </w:pPr>
      <w:r>
        <w:rPr>
          <w:rFonts w:ascii="Calibri" w:cs="Calibri" w:eastAsia="Calibri" w:hAnsi="Calibri"/>
          <w:sz w:val="21"/>
          <w:szCs w:val="21"/>
        </w:rPr>
        <w:t xml:space="preserve">Dos cautelas más, que condicionan la redacción entera:</w:t>
      </w:r>
    </w:p>
    <w:p>
      <w:pPr>
        <w:pStyle w:val="ListParagraph"/>
        <w:numPr>
          <w:ilvl w:val="0"/>
          <w:numId w:val="1"/>
        </w:numPr>
        <w:spacing w:after="70" w:line="268"/>
      </w:pPr>
      <w:r>
        <w:rPr>
          <w:rFonts w:ascii="Calibri" w:cs="Calibri" w:eastAsia="Calibri" w:hAnsi="Calibri"/>
          <w:b/>
          <w:bCs/>
          <w:sz w:val="21"/>
          <w:szCs w:val="21"/>
        </w:rPr>
        <w:t xml:space="preserve">No se puede obligar a un fabricante tercero a depositar.</w:t>
      </w:r>
      <w:r>
        <w:rPr>
          <w:rFonts w:ascii="Calibri" w:cs="Calibri" w:eastAsia="Calibri" w:hAnsi="Calibri"/>
          <w:sz w:val="21"/>
          <w:szCs w:val="21"/>
        </w:rPr>
        <w:t xml:space="preserve"> El art. 75 LCSP sirve para integrar la solvencia con medios externos; no habilita a imponer obligaciones a un tercero que no es parte del contrato. Una cláusula que exigiera el depósito del fabricante excluiría de facto a todo integrador y sería restricción artificial de la competencia (art. 132.2 LCSP). Por eso el apartado 3 ofrece </w:t>
      </w:r>
      <w:r>
        <w:rPr>
          <w:rFonts w:ascii="Calibri" w:cs="Calibri" w:eastAsia="Calibri" w:hAnsi="Calibri"/>
          <w:b/>
          <w:bCs/>
          <w:sz w:val="21"/>
          <w:szCs w:val="21"/>
        </w:rPr>
        <w:t xml:space="preserve">tres vías alternativas de cumplimiento</w:t>
      </w:r>
      <w:r>
        <w:rPr>
          <w:rFonts w:ascii="Calibri" w:cs="Calibri" w:eastAsia="Calibri" w:hAnsi="Calibri"/>
          <w:sz w:val="21"/>
          <w:szCs w:val="21"/>
        </w:rPr>
        <w:t xml:space="preserve">, todas equivalentes, y ninguna de ellas impone nada al fabricante: o este acepta voluntariamente, o el adjudicatario acredita la continuidad por otro medio.</w:t>
      </w:r>
    </w:p>
    <w:p>
      <w:pPr>
        <w:pStyle w:val="ListParagraph"/>
        <w:numPr>
          <w:ilvl w:val="0"/>
          <w:numId w:val="1"/>
        </w:numPr>
        <w:spacing w:after="70" w:line="268"/>
      </w:pPr>
      <w:r>
        <w:rPr>
          <w:rFonts w:ascii="Calibri" w:cs="Calibri" w:eastAsia="Calibri" w:hAnsi="Calibri"/>
          <w:b/>
          <w:bCs/>
          <w:sz w:val="21"/>
          <w:szCs w:val="21"/>
        </w:rPr>
        <w:t xml:space="preserve">Un ámbito que abarque todo el software municipal hace la proporcionalidad nominal.</w:t>
      </w:r>
      <w:r>
        <w:rPr>
          <w:rFonts w:ascii="Calibri" w:cs="Calibri" w:eastAsia="Calibri" w:hAnsi="Calibri"/>
          <w:sz w:val="21"/>
          <w:szCs w:val="21"/>
        </w:rPr>
        <w:t xml:space="preserve"> Padrón, tributos, recaudación, contabilidad, gestión de expedientes y sede electrónica son, sumados, casi todo lo que un ayuntamiento contrata en materia informática. Por eso los criterios de ámbito del apartado 1 son </w:t>
      </w:r>
      <w:r>
        <w:rPr>
          <w:rFonts w:ascii="Calibri" w:cs="Calibri" w:eastAsia="Calibri" w:hAnsi="Calibri"/>
          <w:b/>
          <w:bCs/>
          <w:sz w:val="21"/>
          <w:szCs w:val="21"/>
        </w:rPr>
        <w:t xml:space="preserve">acumulativos</w:t>
      </w:r>
      <w:r>
        <w:rPr>
          <w:rFonts w:ascii="Calibri" w:cs="Calibri" w:eastAsia="Calibri" w:hAnsi="Calibri"/>
          <w:sz w:val="21"/>
          <w:szCs w:val="21"/>
        </w:rPr>
        <w:t xml:space="preserve">, no alternativos, y la cláusula es </w:t>
      </w:r>
      <w:r>
        <w:rPr>
          <w:rFonts w:ascii="Calibri" w:cs="Calibri" w:eastAsia="Calibri" w:hAnsi="Calibri"/>
          <w:b/>
          <w:bCs/>
          <w:sz w:val="21"/>
          <w:szCs w:val="21"/>
        </w:rPr>
        <w:t xml:space="preserve">NO APLICA por defecto</w:t>
      </w:r>
      <w:r>
        <w:rPr>
          <w:rFonts w:ascii="Calibri" w:cs="Calibri" w:eastAsia="Calibri" w:hAnsi="Calibri"/>
          <w:sz w:val="21"/>
          <w:szCs w:val="21"/>
        </w:rPr>
        <w:t xml:space="preserve">. Un expediente que quiera incorporarla sin que concurra alguna de las cuatro circunstancias no puede reinterpretar el apartado 1: debe motivar en la memoria la rebaja del criterio de que se trate y hacerlo constar en la ficha del Anexo 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III.12 · ADM-12·v3 — Acceso de los órganos de control interno a los datos de ejecución</w:t>
      </w:r>
    </w:p>
    <w:p>
      <w:pPr>
        <w:spacing w:after="140" w:line="276"/>
      </w:pPr>
      <w:r>
        <w:rPr>
          <w:rFonts w:ascii="Calibri" w:cs="Calibri" w:eastAsia="Calibri" w:hAnsi="Calibri"/>
          <w:i/>
          <w:iCs/>
          <w:sz w:val="21"/>
          <w:szCs w:val="21"/>
        </w:rPr>
        <w:t xml:space="preserve">(Cláusula nueva. Nace de la única necesidad declarada por escrito por un órgano municipal en todo el expediente. Sustituye la exigencia de «acceso de alcance no inferior al del gestor» por cuatro obligaciones determinadas y verificables. Lo que se corrige respecto del planteamiento anterior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Acceso de los órganos de control interno a los datos de ejecución del contrato.</w:t>
            </w:r>
          </w:p>
          <w:p>
            <w:pPr>
              <w:spacing w:after="100" w:line="264"/>
            </w:pPr>
            <w:r>
              <w:rPr>
                <w:rFonts w:ascii="Georgia" w:cs="Georgia" w:eastAsia="Georgia" w:hAnsi="Georgia"/>
                <w:i/>
                <w:iCs/>
                <w:sz w:val="20"/>
                <w:szCs w:val="20"/>
              </w:rPr>
              <w:t xml:space="preserve">(Condición especial de ejecución, artículo 202.1 de la LCSP. Su carácter de obligación contractual esencial alcanza </w:t>
            </w:r>
            <w:r>
              <w:rPr>
                <w:rFonts w:ascii="Georgia" w:cs="Georgia" w:eastAsia="Georgia" w:hAnsi="Georgia"/>
                <w:i/>
                <w:iCs/>
                <w:sz w:val="20"/>
                <w:szCs w:val="20"/>
              </w:rPr>
              <w:t xml:space="preserve">únicamente</w:t>
            </w:r>
            <w:r>
              <w:rPr>
                <w:rFonts w:ascii="Georgia" w:cs="Georgia" w:eastAsia="Georgia" w:hAnsi="Georgia"/>
                <w:sz w:val="20"/>
                <w:szCs w:val="20"/>
              </w:rPr>
              <w:t xml:space="preserve">* a los incumplimientos que enumera la cláusula [ADM-6], bloque B)*</w:t>
            </w:r>
          </w:p>
          <w:p>
            <w:pPr>
              <w:pStyle w:val="ListParagraph"/>
              <w:numPr>
                <w:ilvl w:val="0"/>
                <w:numId w:val="2"/>
              </w:numPr>
              <w:spacing w:after="60" w:line="264"/>
            </w:pPr>
            <w:r>
              <w:rPr>
                <w:rFonts w:ascii="Georgia" w:cs="Georgia" w:eastAsia="Georgia" w:hAnsi="Georgia"/>
                <w:b/>
                <w:bCs/>
                <w:sz w:val="20"/>
                <w:szCs w:val="20"/>
              </w:rPr>
              <w:t xml:space="preserve">Accesos de control incluidos en el precio.</w:t>
            </w:r>
            <w:r>
              <w:rPr>
                <w:rFonts w:ascii="Georgia" w:cs="Georgia" w:eastAsia="Georgia" w:hAnsi="Georgia"/>
                <w:sz w:val="20"/>
                <w:szCs w:val="20"/>
              </w:rPr>
              <w:t xml:space="preserve"> El adjudicatario habilitará, sin coste adicional alguno y con cargo al precio del contrato, </w:t>
            </w:r>
            <w:r>
              <w:rPr>
                <w:rFonts w:ascii="Georgia" w:cs="Georgia" w:eastAsia="Georgia" w:hAnsi="Georgia"/>
                <w:b/>
                <w:bCs/>
                <w:sz w:val="20"/>
                <w:szCs w:val="20"/>
              </w:rPr>
              <w:t xml:space="preserve">[X; se recomienda 3] accesos nominativos de consulta</w:t>
            </w:r>
            <w:r>
              <w:rPr>
                <w:rFonts w:ascii="Georgia" w:cs="Georgia" w:eastAsia="Georgia" w:hAnsi="Georgia"/>
                <w:sz w:val="20"/>
                <w:szCs w:val="20"/>
              </w:rPr>
              <w:t xml:space="preserve"> para el personal que designen el órgano interventor y el responsable del contrato. Estos accesos permitirán consultar los datos de ejecución del contrato con el detalle funcional que el pliego de prescripciones técnicas defina en su apartado [ ], y estarán operativos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la formalización y durante toda la vigencia del contrato y de sus prórrogas. El Ayuntamiento podrá contratar accesos adicionales a los precios unitarios ofertados.</w:t>
            </w:r>
          </w:p>
          <w:p>
            <w:pPr>
              <w:pStyle w:val="ListParagraph"/>
              <w:numPr>
                <w:ilvl w:val="0"/>
                <w:numId w:val="2"/>
              </w:numPr>
              <w:spacing w:after="60" w:line="264"/>
            </w:pPr>
            <w:r>
              <w:rPr>
                <w:rFonts w:ascii="Georgia" w:cs="Georgia" w:eastAsia="Georgia" w:hAnsi="Georgia"/>
                <w:b/>
                <w:bCs/>
                <w:sz w:val="20"/>
                <w:szCs w:val="20"/>
              </w:rPr>
              <w:t xml:space="preserve">Exportación en formato abierto.</w:t>
            </w:r>
            <w:r>
              <w:rPr>
                <w:rFonts w:ascii="Georgia" w:cs="Georgia" w:eastAsia="Georgia" w:hAnsi="Georgia"/>
                <w:sz w:val="20"/>
                <w:szCs w:val="20"/>
              </w:rPr>
              <w:t xml:space="preserve"> El adjudicatario garantizará la extracción de los datos de ejecución del contrato </w:t>
            </w:r>
            <w:r>
              <w:rPr>
                <w:rFonts w:ascii="Georgia" w:cs="Georgia" w:eastAsia="Georgia" w:hAnsi="Georgia"/>
                <w:b/>
                <w:bCs/>
                <w:sz w:val="20"/>
                <w:szCs w:val="20"/>
              </w:rPr>
              <w:t xml:space="preserve">en formato abierto, reutilizable y documentado</w:t>
            </w:r>
            <w:r>
              <w:rPr>
                <w:rFonts w:ascii="Georgia" w:cs="Georgia" w:eastAsia="Georgia" w:hAnsi="Georgia"/>
                <w:sz w:val="20"/>
                <w:szCs w:val="20"/>
              </w:rPr>
              <w:t xml:space="preserve">, conforme al Esquema Nacional de Interoperabilidad, mediante interfaz programática documentada, autenticada y auditable, </w:t>
            </w:r>
            <w:r>
              <w:rPr>
                <w:rFonts w:ascii="Georgia" w:cs="Georgia" w:eastAsia="Georgia" w:hAnsi="Georgia"/>
                <w:b/>
                <w:bCs/>
                <w:sz w:val="20"/>
                <w:szCs w:val="20"/>
              </w:rPr>
              <w:t xml:space="preserve">sin desarrollos a medida y sin coste por consulta</w:t>
            </w:r>
            <w:r>
              <w:rPr>
                <w:rFonts w:ascii="Georgia" w:cs="Georgia" w:eastAsia="Georgia" w:hAnsi="Georgia"/>
                <w:sz w:val="20"/>
                <w:szCs w:val="20"/>
              </w:rPr>
              <w:t xml:space="preserve">. La extracción incluirá, como mínimo, los datos que acrediten la realidad de la prestación, el grado de cumplimiento de los niveles de servicio y los datos económicos asociados a la ejecución.</w:t>
            </w:r>
          </w:p>
          <w:p>
            <w:pPr>
              <w:pStyle w:val="ListParagraph"/>
              <w:numPr>
                <w:ilvl w:val="0"/>
                <w:numId w:val="2"/>
              </w:numPr>
              <w:spacing w:after="60" w:line="264"/>
            </w:pPr>
            <w:r>
              <w:rPr>
                <w:rFonts w:ascii="Georgia" w:cs="Georgia" w:eastAsia="Georgia" w:hAnsi="Georgia"/>
                <w:b/>
                <w:bCs/>
                <w:sz w:val="20"/>
                <w:szCs w:val="20"/>
              </w:rPr>
              <w:t xml:space="preserve">Diccionario de datos.</w:t>
            </w:r>
            <w:r>
              <w:rPr>
                <w:rFonts w:ascii="Georgia" w:cs="Georgia" w:eastAsia="Georgia" w:hAnsi="Georgia"/>
                <w:sz w:val="20"/>
                <w:szCs w:val="20"/>
              </w:rPr>
              <w:t xml:space="preserve"> El adjudicatario entregará,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y actualizado con cada versión mayor puesta en producción,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y la documentación técnica suficiente para interpretar la información extraída </w:t>
            </w:r>
            <w:r>
              <w:rPr>
                <w:rFonts w:ascii="Georgia" w:cs="Georgia" w:eastAsia="Georgia" w:hAnsi="Georgia"/>
                <w:b/>
                <w:bCs/>
                <w:sz w:val="20"/>
                <w:szCs w:val="20"/>
              </w:rPr>
              <w:t xml:space="preserve">sin asistencia del adjudicatario</w:t>
            </w:r>
            <w:r>
              <w:rPr>
                <w:rFonts w:ascii="Georgia" w:cs="Georgia" w:eastAsia="Georgia" w:hAnsi="Georgia"/>
                <w:sz w:val="20"/>
                <w:szCs w:val="20"/>
              </w:rPr>
              <w:t xml:space="preserve">: relación de entidades y atributos, tipos, dominios de valores, claves y relaciones, y significado funcional de cada campo relevante para el control.</w:t>
            </w:r>
          </w:p>
          <w:p>
            <w:pPr>
              <w:pStyle w:val="ListParagraph"/>
              <w:numPr>
                <w:ilvl w:val="0"/>
                <w:numId w:val="2"/>
              </w:numPr>
              <w:spacing w:after="60" w:line="264"/>
            </w:pPr>
            <w:r>
              <w:rPr>
                <w:rFonts w:ascii="Georgia" w:cs="Georgia" w:eastAsia="Georgia" w:hAnsi="Georgia"/>
                <w:b/>
                <w:bCs/>
                <w:sz w:val="20"/>
                <w:szCs w:val="20"/>
              </w:rPr>
              <w:t xml:space="preserve">Trazabilidad.</w:t>
            </w:r>
            <w:r>
              <w:rPr>
                <w:rFonts w:ascii="Georgia" w:cs="Georgia" w:eastAsia="Georgia" w:hAnsi="Georgia"/>
                <w:sz w:val="20"/>
                <w:szCs w:val="20"/>
              </w:rPr>
              <w:t xml:space="preserve"> El sistema mantendrá un registro de actividad que permita determinar qué operación se realizó, cuándo, por quién o por qué proceso automatizado, y con qué resultado, exportable en los mismos términos del apartado 2 y conservado durante el plazo que fije el pliego de prescripciones técnicas y, como mínimo, hasta la liquidación del contrato.</w:t>
            </w:r>
          </w:p>
          <w:p>
            <w:pPr>
              <w:pStyle w:val="ListParagraph"/>
              <w:numPr>
                <w:ilvl w:val="0"/>
                <w:numId w:val="2"/>
              </w:numPr>
              <w:spacing w:after="60" w:line="264"/>
            </w:pPr>
            <w:r>
              <w:rPr>
                <w:rFonts w:ascii="Georgia" w:cs="Georgia" w:eastAsia="Georgia" w:hAnsi="Georgia"/>
                <w:b/>
                <w:bCs/>
                <w:sz w:val="20"/>
                <w:szCs w:val="20"/>
              </w:rPr>
              <w:t xml:space="preserve">Previsión expresa a los efectos del artículo 33.4.d) del Real Decreto 424/2017.</w:t>
            </w:r>
            <w:r>
              <w:rPr>
                <w:rFonts w:ascii="Georgia" w:cs="Georgia" w:eastAsia="Georgia" w:hAnsi="Georgia"/>
                <w:sz w:val="20"/>
                <w:szCs w:val="20"/>
              </w:rPr>
              <w:t xml:space="preserve"> Se establece expresamente en este contrato el acceso de la Administración a la información sobre las operaciones realizadas en ejecución del mismo, a los saldos contables generados por éstas y a los costes asociados, a los efectos del artículo 33.4.d) del Real Decreto 424/2017, de 28 de abril.</w:t>
            </w:r>
          </w:p>
          <w:p>
            <w:pPr>
              <w:pStyle w:val="ListParagraph"/>
              <w:numPr>
                <w:ilvl w:val="0"/>
                <w:numId w:val="2"/>
              </w:numPr>
              <w:spacing w:after="60" w:line="264"/>
            </w:pPr>
            <w:r>
              <w:rPr>
                <w:rFonts w:ascii="Georgia" w:cs="Georgia" w:eastAsia="Georgia" w:hAnsi="Georgia"/>
                <w:b/>
                <w:bCs/>
                <w:sz w:val="20"/>
                <w:szCs w:val="20"/>
              </w:rPr>
              <w:t xml:space="preserve">Permanencia y reversión.</w:t>
            </w:r>
            <w:r>
              <w:rPr>
                <w:rFonts w:ascii="Georgia" w:cs="Georgia" w:eastAsia="Georgia" w:hAnsi="Georgia"/>
                <w:sz w:val="20"/>
                <w:szCs w:val="20"/>
              </w:rPr>
              <w:t xml:space="preserve"> Las obligaciones de los apartados 1 a 4 se mantienen durante las prórrogas y, tras la extinción del contrato, hasta la fecha del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prevista en la cláusula [DT-8], apartado 8 —o, en su defecto, hasta el vencimiento del plazo allí establecido para levantarla— o hasta transcurridos </w:t>
            </w:r>
            <w:r>
              <w:rPr>
                <w:rFonts w:ascii="Georgia" w:cs="Georgia" w:eastAsia="Georgia" w:hAnsi="Georgia"/>
                <w:b/>
                <w:bCs/>
                <w:sz w:val="20"/>
                <w:szCs w:val="20"/>
              </w:rPr>
              <w:t xml:space="preserve">[X; se recomienda 3] meses</w:t>
            </w:r>
            <w:r>
              <w:rPr>
                <w:rFonts w:ascii="Georgia" w:cs="Georgia" w:eastAsia="Georgia" w:hAnsi="Georgia"/>
                <w:sz w:val="20"/>
                <w:szCs w:val="20"/>
              </w:rPr>
              <w:t xml:space="preserve"> desde la extinción, </w:t>
            </w:r>
            <w:r>
              <w:rPr>
                <w:rFonts w:ascii="Georgia" w:cs="Georgia" w:eastAsia="Georgia" w:hAnsi="Georgia"/>
                <w:b/>
                <w:bCs/>
                <w:sz w:val="20"/>
                <w:szCs w:val="20"/>
              </w:rPr>
              <w:t xml:space="preserve">lo que ocurra más tarde</w:t>
            </w:r>
            <w:r>
              <w:rPr>
                <w:rFonts w:ascii="Georgia" w:cs="Georgia" w:eastAsia="Georgia" w:hAnsi="Georgia"/>
                <w:sz w:val="20"/>
                <w:szCs w:val="20"/>
              </w:rPr>
              <w:t xml:space="preserve">. El diccionario de datos actualizado forma parte del material objeto de entrega en la reversión.</w:t>
            </w:r>
          </w:p>
          <w:p>
            <w:pPr>
              <w:pStyle w:val="ListParagraph"/>
              <w:numPr>
                <w:ilvl w:val="0"/>
                <w:numId w:val="2"/>
              </w:numPr>
              <w:spacing w:after="60" w:line="264"/>
            </w:pPr>
            <w:r>
              <w:rPr>
                <w:rFonts w:ascii="Georgia" w:cs="Georgia" w:eastAsia="Georgia" w:hAnsi="Georgia"/>
                <w:b/>
                <w:bCs/>
                <w:sz w:val="20"/>
                <w:szCs w:val="20"/>
              </w:rPr>
              <w:t xml:space="preserve">Finalidad y límites.</w:t>
            </w:r>
            <w:r>
              <w:rPr>
                <w:rFonts w:ascii="Georgia" w:cs="Georgia" w:eastAsia="Georgia" w:hAnsi="Georgia"/>
                <w:sz w:val="20"/>
                <w:szCs w:val="20"/>
              </w:rPr>
              <w:t xml:space="preserve"> El acceso se otorga exclusivamente para el ejercicio de las funciones de control interno de los artículos 213 y siguientes del texto refundido de la Ley reguladora de las Haciendas Locales y del Real Decreto 424/2017, y queda sujeto al deber de sigilo del artículo 5.1 de dicho reglamento. No comprende facultad alguna de explotación comercial ni de cesión a terceros. Cuando el tratamiento comprenda datos personales, esta previsión se entiende sin perjuicio y en refuerzo de la obligación del artículo 28.3.h) del Reglamento (UE) 2016/679.</w:t>
            </w:r>
          </w:p>
          <w:p>
            <w:pPr>
              <w:pStyle w:val="ListParagraph"/>
              <w:numPr>
                <w:ilvl w:val="0"/>
                <w:numId w:val="2"/>
              </w:numPr>
              <w:spacing w:after="60" w:line="264"/>
            </w:pPr>
            <w:r>
              <w:rPr>
                <w:rFonts w:ascii="Georgia" w:cs="Georgia" w:eastAsia="Georgia" w:hAnsi="Georgia"/>
                <w:b/>
                <w:bCs/>
                <w:sz w:val="20"/>
                <w:szCs w:val="20"/>
              </w:rPr>
              <w:t xml:space="preserve">Naturaleza y carácter esencial.</w:t>
            </w:r>
            <w:r>
              <w:rPr>
                <w:rFonts w:ascii="Georgia" w:cs="Georgia" w:eastAsia="Georgia" w:hAnsi="Georgia"/>
                <w:sz w:val="20"/>
                <w:szCs w:val="20"/>
              </w:rPr>
              <w:t xml:space="preserve"> Esta condición especial de ejecución se establece al amparo del artículo 202.1 de la LCSP y está vinculada al objeto del contrato en el sentido del artículo 145 de la LCSP, por referirse a la ejecución y a la fase de explotación de su ciclo de vida.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detalle funcional del acceso del apartado 1 y el plazo de conservación del apartado 4 se fijan en el PPT, por remisión.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Bloque principal — control interno.</w:t>
      </w:r>
      <w:r>
        <w:rPr>
          <w:rFonts w:ascii="Calibri" w:cs="Calibri" w:eastAsia="Calibri" w:hAnsi="Calibri"/>
          <w:sz w:val="21"/>
          <w:szCs w:val="21"/>
        </w:rPr>
        <w:t xml:space="preserve"> Art. 214 del texto refundido de la Ley reguladora de las Haciendas Locales (función interventora); art. 220.2 (el control financiero informa «del grado de eficacia y eficiencia en la consecución de los objetivos previstos»); art. 221 (el control de eficacia comprueba «el grado de cumplimiento de los objetivos, así como el análisis del coste de funcionamiento y del rendimiento»); art. 222 (facultad de recabar cuantos antecedentes se consideren necesarios). Art. 3.3 del RD 424/2017 (gestión orientada por eficacia, eficiencia, economía, calidad y transparencia); art. 4.3 (cobertura de control efectivo de al menos el 80 por ciento del presupuesto general consolidado del ejercicio, y del 100 por ciento en tres ejercicios); art. 6.4 (antecedentes y documentos precisos «con independencia del medio que los soporte»); art. 6.7 (los funcionarios actuantes «podrán revisar los sistemas informáticos de gestión que sean precisos»); arts. 20 y 30 (comprobación material de la inversión y acceso para consultas a los sistemas y aplicaciones que contengan información económico-financiera). DA 3.ª.3 LCSP, que extiende la fiscalización a las repercusiones en la estabilidad presupuestaria y la sostenibilidad financiera.</w:t>
      </w:r>
    </w:p>
    <w:p>
      <w:pPr>
        <w:spacing w:after="140" w:line="276"/>
      </w:pPr>
      <w:r>
        <w:rPr>
          <w:rFonts w:ascii="Calibri" w:cs="Calibri" w:eastAsia="Calibri" w:hAnsi="Calibri"/>
          <w:b/>
          <w:bCs/>
          <w:sz w:val="21"/>
          <w:szCs w:val="21"/>
        </w:rPr>
        <w:t xml:space="preserve">Bloque complementario y acotado — art. 33.4.d) del RD 424/2017</w:t>
      </w:r>
      <w:r>
        <w:rPr>
          <w:rFonts w:ascii="Calibri" w:cs="Calibri" w:eastAsia="Calibri" w:hAnsi="Calibri"/>
          <w:sz w:val="21"/>
          <w:szCs w:val="21"/>
        </w:rPr>
        <w:t xml:space="preserve">, exclusivamente para la información sobre operaciones, saldos contables y costes del tercero en actuaciones de auditoría pública, supuesto en el que la potestad frente al contratista sólo existe si el contrato la prevé. Ese es el contenido del apartado 5, y sólo ese.</w:t>
      </w:r>
    </w:p>
    <w:p>
      <w:pPr>
        <w:spacing w:after="140" w:line="276"/>
      </w:pPr>
      <w:r>
        <w:rPr>
          <w:rFonts w:ascii="Calibri" w:cs="Calibri" w:eastAsia="Calibri" w:hAnsi="Calibri"/>
          <w:b/>
          <w:bCs/>
          <w:sz w:val="21"/>
          <w:szCs w:val="21"/>
        </w:rPr>
        <w:t xml:space="preserve">Por qué la necesidad no es artificiosa.</w:t>
      </w:r>
      <w:r>
        <w:rPr>
          <w:rFonts w:ascii="Calibri" w:cs="Calibri" w:eastAsia="Calibri" w:hAnsi="Calibri"/>
          <w:sz w:val="21"/>
          <w:szCs w:val="21"/>
        </w:rPr>
        <w:t xml:space="preserve"> El art. 28.1 LCSP no dice que la necesidad la formule un gestor: dice que la naturaleza y extensión de las necesidades «deben ser determinadas con precisión, dejando constancia de ello en la documentación preparatoria». Quien las determina es el órgano de contratación. Aquí, además, la necesidad la declaró por escrito el propio órgano municipal competente en materia de contratación, en su comentario de 18 de junio de 2026 al clausulado de la versión 2.0. </w:t>
      </w:r>
      <w:r>
        <w:rPr>
          <w:rFonts w:ascii="Calibri" w:cs="Calibri" w:eastAsia="Calibri" w:hAnsi="Calibri"/>
          <w:b/>
          <w:bCs/>
          <w:sz w:val="21"/>
          <w:szCs w:val="21"/>
        </w:rPr>
        <w:t xml:space="preserve">Ese comentario no es un informe</w:t>
      </w:r>
      <w:r>
        <w:rPr>
          <w:rFonts w:ascii="Calibri" w:cs="Calibri" w:eastAsia="Calibri" w:hAnsi="Calibri"/>
          <w:sz w:val="21"/>
          <w:szCs w:val="21"/>
        </w:rPr>
        <w:t xml:space="preserve">: es un comentario incorporado al final de un documento de trabajo. Se cita como lo que es, y </w:t>
      </w:r>
      <w:r>
        <w:rPr>
          <w:rFonts w:ascii="Calibri" w:cs="Calibri" w:eastAsia="Calibri" w:hAnsi="Calibri"/>
          <w:b/>
          <w:bCs/>
          <w:sz w:val="21"/>
          <w:szCs w:val="21"/>
        </w:rPr>
        <w:t xml:space="preserve">entero</w:t>
      </w:r>
      <w:r>
        <w:rPr>
          <w:rFonts w:ascii="Calibri" w:cs="Calibri" w:eastAsia="Calibri" w:hAnsi="Calibri"/>
          <w:sz w:val="21"/>
          <w:szCs w:val="21"/>
        </w:rPr>
        <w:t xml:space="preserve">, incluida la parte que juega en contra: «Siendo este seguimiento parte de las obligaciones de control de la Intervención no podemos pedir que se implementen estos instrumentos; lo que sí entraría dentro de nuestro ámbito sería la explotación de los datos al mismo rango que el gestor, al objeto de cumplir con nuestras obligaciones legales». Antes de aprobar el catálogo debe recabarse un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que sustituya a ese comentario; mientras no exista, la memoria no puede referirse a él como informe.</w:t>
      </w:r>
    </w:p>
    <w:p>
      <w:pPr>
        <w:spacing w:after="140" w:line="276"/>
      </w:pPr>
      <w:r>
        <w:rPr>
          <w:rFonts w:ascii="Calibri" w:cs="Calibri" w:eastAsia="Calibri" w:hAnsi="Calibri"/>
          <w:b/>
          <w:bCs/>
          <w:sz w:val="21"/>
          <w:szCs w:val="21"/>
        </w:rPr>
        <w:t xml:space="preserve">Relación directa, clara y proporcional (art. 116.4.e LCSP):</w:t>
      </w:r>
      <w:r>
        <w:rPr>
          <w:rFonts w:ascii="Calibri" w:cs="Calibri" w:eastAsia="Calibri" w:hAnsi="Calibri"/>
          <w:sz w:val="21"/>
          <w:szCs w:val="21"/>
        </w:rPr>
        <w:t xml:space="preserve"> directa, porque los datos cuyo acceso se exige son los generados por la propia prestación contratada; clara, porque su contenido queda determinado en la cláusula y su número acotado; proporcional, porque no impone al adjudicatario desarrollo alguno distinto de exponer, en formato reutilizable, información que ya produce y almacena para prestar el servicio.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acta de habilitación de los accesos, firmada por el responsable del contrato dentro del plazo del apartado 1; (b) documentación de la interfaz de extracción y </w:t>
      </w:r>
      <w:r>
        <w:rPr>
          <w:rFonts w:ascii="Calibri" w:cs="Calibri" w:eastAsia="Calibri" w:hAnsi="Calibri"/>
          <w:b/>
          <w:bCs/>
          <w:sz w:val="21"/>
          <w:szCs w:val="21"/>
        </w:rPr>
        <w:t xml:space="preserve">prueba de extracción efectiva</w:t>
      </w:r>
      <w:r>
        <w:rPr>
          <w:rFonts w:ascii="Calibri" w:cs="Calibri" w:eastAsia="Calibri" w:hAnsi="Calibri"/>
          <w:sz w:val="21"/>
          <w:szCs w:val="21"/>
        </w:rPr>
        <w:t xml:space="preserve"> realizada por personal municipal, documentada en acta; (c) diccionario de datos entregado en el plazo del apartado 3, en formato reutilizable; (d) muestra de registro de actividad exportado. La declaración del adjudicatario de que el acceso «está disponible» no acredita nada: la acreditación es la extracción efectiva.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[30; se recomienda 30] días 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habilitación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Personal designado por el 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extracción efectiva en formato abierto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entrega del diccionario de datos actualizado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iniciarse cada prórroga y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que los accesos siguen operativos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al año de prueba de extracción y 1 hora de comprobación documental. Es la cláusula más barata de verificar del catálogo, y por eso puede sostenerse como esencial sin incurrir en el reproche de crear obligaciones esenciales que nadie comprueba.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habilitación de los accesos en plazo, o tarificación de los accesos incluidos en el precio: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Falta de entrega del diccionario de datos, o entrega insuficiente para interpretar los datos sin asistencia del adjudicatario: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Negativa a permitir la extracción en formato abierto, o supresión del acceso durante la vigencia o las prórrogas:</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c)</w:t>
      </w:r>
      <w:r>
        <w:rPr>
          <w:rFonts w:ascii="Calibri" w:cs="Calibri" w:eastAsia="Calibri" w:hAnsi="Calibri"/>
          <w:sz w:val="21"/>
          <w:szCs w:val="21"/>
        </w:rPr>
        <w:t xml:space="preserve">, y no respecto de los demás apartados de esta cláusula, cuyo incumplimiento queda en penalidad conforme al cuadro de ADM-5·v3. La enumeración </w:t>
      </w:r>
      <w:r>
        <w:rPr>
          <w:rFonts w:ascii="Calibri" w:cs="Calibri" w:eastAsia="Calibri" w:hAnsi="Calibri"/>
          <w:b/>
          <w:bCs/>
          <w:sz w:val="21"/>
          <w:szCs w:val="21"/>
        </w:rPr>
        <w:t xml:space="preserve">no se reproduce ni se amplía aquí</w:t>
      </w:r>
      <w:r>
        <w:rPr>
          <w:rFonts w:ascii="Calibri" w:cs="Calibri" w:eastAsia="Calibri" w:hAnsi="Calibri"/>
          <w:sz w:val="21"/>
          <w:szCs w:val="21"/>
        </w:rPr>
        <w:t xml:space="preserve">: la lista cerrada vive en ADM-6·v3, con la cautela de proporcionalidad allí prevista.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cuya ejecución no se soporte en un sistema de información operado por el adjudicatario</w:t>
      </w:r>
      <w:r>
        <w:rPr>
          <w:rFonts w:ascii="Calibri" w:cs="Calibri" w:eastAsia="Calibri" w:hAnsi="Calibri"/>
          <w:sz w:val="21"/>
          <w:szCs w:val="21"/>
        </w:rPr>
        <w:t xml:space="preserve">: si los datos residen en sistemas municipales, el acceso del órgano interventor se resuelve internamente, dándole usuario, y esta cláusula es innecesaria. Es el supuesto más frecuente y debe comprobarse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incorporarla.</w:t>
      </w:r>
    </w:p>
    <w:p>
      <w:pPr>
        <w:pStyle w:val="ListParagraph"/>
        <w:numPr>
          <w:ilvl w:val="0"/>
          <w:numId w:val="1"/>
        </w:numPr>
        <w:spacing w:after="70" w:line="268"/>
      </w:pPr>
      <w:r>
        <w:rPr>
          <w:rFonts w:ascii="Calibri" w:cs="Calibri" w:eastAsia="Calibri" w:hAnsi="Calibri"/>
          <w:sz w:val="21"/>
          <w:szCs w:val="21"/>
        </w:rPr>
        <w:t xml:space="preserve">Contratos de suministro de bienes sin prestación continuada.</w:t>
      </w:r>
    </w:p>
    <w:p>
      <w:pPr>
        <w:pStyle w:val="ListParagraph"/>
        <w:numPr>
          <w:ilvl w:val="0"/>
          <w:numId w:val="1"/>
        </w:numPr>
        <w:spacing w:after="70" w:line="268"/>
      </w:pPr>
      <w:r>
        <w:rPr>
          <w:rFonts w:ascii="Calibri" w:cs="Calibri" w:eastAsia="Calibri" w:hAnsi="Calibri"/>
          <w:sz w:val="21"/>
          <w:szCs w:val="21"/>
        </w:rPr>
        <w:t xml:space="preserve">Contratos menores.</w:t>
      </w:r>
    </w:p>
    <w:p>
      <w:pPr>
        <w:pStyle w:val="ListParagraph"/>
        <w:numPr>
          <w:ilvl w:val="0"/>
          <w:numId w:val="1"/>
        </w:numPr>
        <w:spacing w:after="70" w:line="268"/>
      </w:pPr>
      <w:r>
        <w:rPr>
          <w:rFonts w:ascii="Calibri" w:cs="Calibri" w:eastAsia="Calibri" w:hAnsi="Calibri"/>
          <w:sz w:val="21"/>
          <w:szCs w:val="21"/>
        </w:rPr>
        <w:t xml:space="preserve">Contratos basados en acuerdo marco o adjudicados a través de una central de compras, cuando no quepa añadir condiciones especiales de ejecución. En tal caso, la necesidad se documenta y se traslada al órgano titular del acuerdo marco.</w:t>
      </w:r>
    </w:p>
    <w:p>
      <w:pPr>
        <w:pStyle w:val="ListParagraph"/>
        <w:numPr>
          <w:ilvl w:val="0"/>
          <w:numId w:val="1"/>
        </w:numPr>
        <w:spacing w:after="70" w:line="268"/>
      </w:pPr>
      <w:r>
        <w:rPr>
          <w:rFonts w:ascii="Calibri" w:cs="Calibri" w:eastAsia="Calibri" w:hAnsi="Calibri"/>
          <w:sz w:val="21"/>
          <w:szCs w:val="21"/>
        </w:rPr>
        <w:t xml:space="preserve">Prórrogas de contratos vigentes: no cabe introducir una obligación nueva; se documenta la limitación y se incorpora en la licitación siguiente.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tres filas del cuadro de penalidades de ADM-5·v3, un guion del bloque B de ADM-6·v3, el apartado correspondiente del PPT que define el detalle funcional del acceso y la fila del informe de necesidad del Anexo III.</w:t>
      </w:r>
    </w:p>
    <w:p>
      <w:pPr>
        <w:pStyle w:val="Heading3"/>
        <w:keepNext/>
        <w:spacing w:after="140" w:before="320"/>
      </w:pPr>
      <w:r>
        <w:rPr>
          <w:rFonts w:ascii="Georgia" w:cs="Georgia" w:eastAsia="Georgia" w:hAnsi="Georgia"/>
          <w:b/>
          <w:bCs/>
          <w:color w:val="2F5496"/>
          <w:sz w:val="22"/>
          <w:szCs w:val="22"/>
        </w:rPr>
        <w:t xml:space="preserve">Nota al redactor · Lo que se corrige respecto del planteamiento anterior</w:t>
      </w:r>
    </w:p>
    <w:p>
      <w:pPr>
        <w:spacing w:after="140" w:line="276"/>
      </w:pPr>
      <w:r>
        <w:rPr>
          <w:rFonts w:ascii="Calibri" w:cs="Calibri" w:eastAsia="Calibri" w:hAnsi="Calibri"/>
          <w:sz w:val="21"/>
          <w:szCs w:val="21"/>
        </w:rPr>
        <w:t xml:space="preserve">El art. 33.4.d) del RD 424/2017 faculta al órgano interventor para «solicitar de los terceros relacionados con el servicio, órgano, organismo o entidad </w:t>
      </w:r>
      <w:r>
        <w:rPr>
          <w:rFonts w:ascii="Calibri" w:cs="Calibri" w:eastAsia="Calibri" w:hAnsi="Calibri"/>
          <w:b/>
          <w:bCs/>
          <w:sz w:val="21"/>
          <w:szCs w:val="21"/>
        </w:rPr>
        <w:t xml:space="preserve">auditada</w:t>
      </w:r>
      <w:r>
        <w:rPr>
          <w:rFonts w:ascii="Calibri" w:cs="Calibri" w:eastAsia="Calibri" w:hAnsi="Calibri"/>
          <w:sz w:val="21"/>
          <w:szCs w:val="21"/>
        </w:rPr>
        <w:t xml:space="preserve"> información sobre </w:t>
      </w:r>
      <w:r>
        <w:rPr>
          <w:rFonts w:ascii="Calibri" w:cs="Calibri" w:eastAsia="Calibri" w:hAnsi="Calibri"/>
          <w:b/>
          <w:bCs/>
          <w:sz w:val="21"/>
          <w:szCs w:val="21"/>
        </w:rPr>
        <w:t xml:space="preserve">operaciones</w:t>
      </w:r>
      <w:r>
        <w:rPr>
          <w:rFonts w:ascii="Calibri" w:cs="Calibri" w:eastAsia="Calibri" w:hAnsi="Calibri"/>
          <w:sz w:val="21"/>
          <w:szCs w:val="21"/>
        </w:rPr>
        <w:t xml:space="preserve"> realizadas por el mismo, sobre los </w:t>
      </w:r>
      <w:r>
        <w:rPr>
          <w:rFonts w:ascii="Calibri" w:cs="Calibri" w:eastAsia="Calibri" w:hAnsi="Calibri"/>
          <w:b/>
          <w:bCs/>
          <w:sz w:val="21"/>
          <w:szCs w:val="21"/>
        </w:rPr>
        <w:t xml:space="preserve">saldos contables</w:t>
      </w:r>
      <w:r>
        <w:rPr>
          <w:rFonts w:ascii="Calibri" w:cs="Calibri" w:eastAsia="Calibri" w:hAnsi="Calibri"/>
          <w:sz w:val="21"/>
          <w:szCs w:val="21"/>
        </w:rPr>
        <w:t xml:space="preserve"> generados por éstas y sobre los </w:t>
      </w:r>
      <w:r>
        <w:rPr>
          <w:rFonts w:ascii="Calibri" w:cs="Calibri" w:eastAsia="Calibri" w:hAnsi="Calibri"/>
          <w:b/>
          <w:bCs/>
          <w:sz w:val="21"/>
          <w:szCs w:val="21"/>
        </w:rPr>
        <w:t xml:space="preserve">costes</w:t>
      </w:r>
      <w:r>
        <w:rPr>
          <w:rFonts w:ascii="Calibri" w:cs="Calibri" w:eastAsia="Calibri" w:hAnsi="Calibri"/>
          <w:sz w:val="21"/>
          <w:szCs w:val="21"/>
        </w:rPr>
        <w:t xml:space="preserve">, cuando esté previsto expresamente en el contrato el acceso de la administración a los mismos o exista un acuerdo al respecto con el tercero». Eso es </w:t>
      </w:r>
      <w:r>
        <w:rPr>
          <w:rFonts w:ascii="Calibri" w:cs="Calibri" w:eastAsia="Calibri" w:hAnsi="Calibri"/>
          <w:b/>
          <w:bCs/>
          <w:sz w:val="21"/>
          <w:szCs w:val="21"/>
        </w:rPr>
        <w:t xml:space="preserve">circularización de saldos en auditoría pública</w:t>
      </w:r>
      <w:r>
        <w:rPr>
          <w:rFonts w:ascii="Calibri" w:cs="Calibri" w:eastAsia="Calibri" w:hAnsi="Calibri"/>
          <w:sz w:val="21"/>
          <w:szCs w:val="21"/>
        </w:rPr>
        <w:t xml:space="preserve">. No es título para exigir a un proveedor de software acceso funcional permanente y gratuito a su aplicación con alcance no inferior al del gestor. Presentarlo como tal es el flanco más limpio por donde se desacredita la cláusula entera, y con ella la memoria.</w:t>
      </w:r>
    </w:p>
    <w:p>
      <w:pPr>
        <w:spacing w:after="140" w:line="276"/>
      </w:pPr>
      <w:r>
        <w:rPr>
          <w:rFonts w:ascii="Calibri" w:cs="Calibri" w:eastAsia="Calibri" w:hAnsi="Calibri"/>
          <w:sz w:val="21"/>
          <w:szCs w:val="21"/>
        </w:rPr>
        <w:t xml:space="preserve">La cláusula se conserva, porque es útil y porque su necesidad es real. Pero:</w:t>
      </w:r>
    </w:p>
    <w:p>
      <w:pPr>
        <w:pStyle w:val="ListParagraph"/>
        <w:numPr>
          <w:ilvl w:val="0"/>
          <w:numId w:val="1"/>
        </w:numPr>
        <w:spacing w:after="70" w:line="268"/>
      </w:pPr>
      <w:r>
        <w:rPr>
          <w:rFonts w:ascii="Calibri" w:cs="Calibri" w:eastAsia="Calibri" w:hAnsi="Calibri"/>
          <w:sz w:val="21"/>
          <w:szCs w:val="21"/>
        </w:rPr>
        <w:t xml:space="preserve">se ancla en el </w:t>
      </w:r>
      <w:r>
        <w:rPr>
          <w:rFonts w:ascii="Calibri" w:cs="Calibri" w:eastAsia="Calibri" w:hAnsi="Calibri"/>
          <w:b/>
          <w:bCs/>
          <w:sz w:val="21"/>
          <w:szCs w:val="21"/>
        </w:rPr>
        <w:t xml:space="preserve">bloque de control interno</w:t>
      </w:r>
      <w:r>
        <w:rPr>
          <w:rFonts w:ascii="Calibri" w:cs="Calibri" w:eastAsia="Calibri" w:hAnsi="Calibri"/>
          <w:sz w:val="21"/>
          <w:szCs w:val="21"/>
        </w:rPr>
        <w:t xml:space="preserve"> —arts. 4.3, 6.3, 6.4, 6.7, 20 y 30 del RD 424/2017 y arts. 213, 214, 220.2, 221 y 222 del texto refundido de la Ley reguladora de las Haciendas Locales— y en la DA 3.ª.3 LCSP, y el art. 33.4.d) queda donde vive: como previsión expresa </w:t>
      </w:r>
      <w:r>
        <w:rPr>
          <w:rFonts w:ascii="Calibri" w:cs="Calibri" w:eastAsia="Calibri" w:hAnsi="Calibri"/>
          <w:b/>
          <w:bCs/>
          <w:sz w:val="21"/>
          <w:szCs w:val="21"/>
        </w:rPr>
        <w:t xml:space="preserve">para el supuesto concreto que él regula</w:t>
      </w:r>
      <w:r>
        <w:rPr>
          <w:rFonts w:ascii="Calibri" w:cs="Calibri" w:eastAsia="Calibri" w:hAnsi="Calibri"/>
          <w:sz w:val="21"/>
          <w:szCs w:val="21"/>
        </w:rPr>
        <w:t xml:space="preserve">, no como fundamento principal;</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reformula lo que exige</w:t>
      </w:r>
      <w:r>
        <w:rPr>
          <w:rFonts w:ascii="Calibri" w:cs="Calibri" w:eastAsia="Calibri" w:hAnsi="Calibri"/>
          <w:sz w:val="21"/>
          <w:szCs w:val="21"/>
        </w:rPr>
        <w:t xml:space="preserve">. No «acceso de alcance no inferior al del gestor» —que es indeterminado y desproporcionado—, sino cuatro obligaciones que hoy faltan y que sí son proporcionadas: no tarificar el acceso de los órganos de control, entregar el </w:t>
      </w:r>
      <w:r>
        <w:rPr>
          <w:rFonts w:ascii="Calibri" w:cs="Calibri" w:eastAsia="Calibri" w:hAnsi="Calibri"/>
          <w:b/>
          <w:bCs/>
          <w:sz w:val="21"/>
          <w:szCs w:val="21"/>
        </w:rPr>
        <w:t xml:space="preserve">diccionario de datos</w:t>
      </w:r>
      <w:r>
        <w:rPr>
          <w:rFonts w:ascii="Calibri" w:cs="Calibri" w:eastAsia="Calibri" w:hAnsi="Calibri"/>
          <w:sz w:val="21"/>
          <w:szCs w:val="21"/>
        </w:rPr>
        <w:t xml:space="preserve">, garantizar la </w:t>
      </w:r>
      <w:r>
        <w:rPr>
          <w:rFonts w:ascii="Calibri" w:cs="Calibri" w:eastAsia="Calibri" w:hAnsi="Calibri"/>
          <w:b/>
          <w:bCs/>
          <w:sz w:val="21"/>
          <w:szCs w:val="21"/>
        </w:rPr>
        <w:t xml:space="preserve">exportación en formato abierto</w:t>
      </w:r>
      <w:r>
        <w:rPr>
          <w:rFonts w:ascii="Calibri" w:cs="Calibri" w:eastAsia="Calibri" w:hAnsi="Calibri"/>
          <w:sz w:val="21"/>
          <w:szCs w:val="21"/>
        </w:rPr>
        <w:t xml:space="preserve">, y mantener todo ello durante las prórrogas y en la reversión. Un pliego que concrete esta cláusula y vuelva a escribir «alcance no inferior al del órgano gestor» reintroduce el defecto que aquí se suprime;</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elimina la prohibición general de condicionar el acceso a licencias por usuario</w:t>
      </w:r>
      <w:r>
        <w:rPr>
          <w:rFonts w:ascii="Calibri" w:cs="Calibri" w:eastAsia="Calibri" w:hAnsi="Calibri"/>
          <w:sz w:val="21"/>
          <w:szCs w:val="21"/>
        </w:rPr>
        <w:t xml:space="preserve">, que excluiría de facto todo el modelo de software como servicio del mercado y sería un obstáculo injustificado a la apertura a la competencia (art. 126.1 LCSP). Se sustituye por un </w:t>
      </w:r>
      <w:r>
        <w:rPr>
          <w:rFonts w:ascii="Calibri" w:cs="Calibri" w:eastAsia="Calibri" w:hAnsi="Calibri"/>
          <w:b/>
          <w:bCs/>
          <w:sz w:val="21"/>
          <w:szCs w:val="21"/>
        </w:rPr>
        <w:t xml:space="preserve">número de accesos de control incluido en el precio</w:t>
      </w:r>
      <w:r>
        <w:rPr>
          <w:rFonts w:ascii="Calibri" w:cs="Calibri" w:eastAsia="Calibri" w:hAnsi="Calibri"/>
          <w:sz w:val="21"/>
          <w:szCs w:val="21"/>
        </w:rPr>
        <w:t xml:space="preserve">, fijado en el pliego, que es determinado, valorable por el licitador y verificable.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III.13 · ADM-13·v3 — Uso de herramientas de inteligencia artificial sobre información municipal</w:t>
      </w:r>
    </w:p>
    <w:p>
      <w:pPr>
        <w:spacing w:after="140" w:line="276"/>
      </w:pPr>
      <w:r>
        <w:rPr>
          <w:rFonts w:ascii="Calibri" w:cs="Calibri" w:eastAsia="Calibri" w:hAnsi="Calibri"/>
          <w:i/>
          <w:iCs/>
          <w:sz w:val="21"/>
          <w:szCs w:val="21"/>
        </w:rPr>
        <w:t xml:space="preserve">(Cláusula nueva. Responde a una cuestión no resuelta que llegó por la vía de los hechos: si compromete la seguridad del texto de un contrato procesarlo en una cuenta de inteligencia artificial que no es licencia del Ayuntamiento. Establece </w:t>
      </w:r>
      <w:r>
        <w:rPr>
          <w:rFonts w:ascii="Calibri" w:cs="Calibri" w:eastAsia="Calibri" w:hAnsi="Calibri"/>
          <w:i/>
          <w:iCs/>
          <w:sz w:val="21"/>
          <w:szCs w:val="21"/>
        </w:rPr>
        <w:t xml:space="preserve">tres niveles</w:t>
      </w:r>
      <w:r>
        <w:rPr>
          <w:rFonts w:ascii="Calibri" w:cs="Calibri" w:eastAsia="Calibri" w:hAnsi="Calibri"/>
          <w:i/>
          <w:iCs/>
          <w:sz w:val="21"/>
          <w:szCs w:val="21"/>
        </w:rPr>
        <w:t xml:space="preserve">; sólo el primero es obligación esencial y el tercero queda fuera del ámbito de la cláusula. El motivo de esa graduación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Uso de sistemas de inteligencia artificial sobre información municipal.</w:t>
            </w:r>
          </w:p>
          <w:p>
            <w:pPr>
              <w:pStyle w:val="ListParagraph"/>
              <w:numPr>
                <w:ilvl w:val="0"/>
                <w:numId w:val="2"/>
              </w:numPr>
              <w:spacing w:after="60" w:line="264"/>
            </w:pPr>
            <w:r>
              <w:rPr>
                <w:rFonts w:ascii="Georgia" w:cs="Georgia" w:eastAsia="Georgia" w:hAnsi="Georgia"/>
                <w:b/>
                <w:bCs/>
                <w:sz w:val="20"/>
                <w:szCs w:val="20"/>
              </w:rPr>
              <w:t xml:space="preserve">Ámbito y niveles.</w:t>
            </w:r>
            <w:r>
              <w:rPr>
                <w:rFonts w:ascii="Georgia" w:cs="Georgia" w:eastAsia="Georgia" w:hAnsi="Georgia"/>
                <w:sz w:val="20"/>
                <w:szCs w:val="20"/>
              </w:rPr>
              <w:t xml:space="preserve"> Esta cláusula se aplica exclusivamente al tratamiento de información municipal por sistemas de inteligencia artificial. A tal efecto se distinguen tres niveles:</w:t>
            </w:r>
          </w:p>
          <w:p>
            <w:pPr>
              <w:spacing w:after="100" w:line="264"/>
            </w:pPr>
            <w:r>
              <w:rPr>
                <w:rFonts w:ascii="Georgia" w:cs="Georgia" w:eastAsia="Georgia" w:hAnsi="Georgia"/>
                <w:b/>
                <w:bCs/>
                <w:sz w:val="20"/>
                <w:szCs w:val="20"/>
              </w:rPr>
              <w:t xml:space="preserve">Nivel 1 — Información municipal restringida.</w:t>
            </w:r>
            <w:r>
              <w:rPr>
                <w:rFonts w:ascii="Georgia" w:cs="Georgia" w:eastAsia="Georgia" w:hAnsi="Georgia"/>
                <w:sz w:val="20"/>
                <w:szCs w:val="20"/>
              </w:rPr>
              <w:t xml:space="preserve"> Datos personales; expedientes en tramitación; documentación contractual no publicada; informes internos; datos de los entornos de producción; y cualquier información municipal clasificada como de acceso restringido por la política de seguridad del Ayuntamiento.</w:t>
            </w:r>
          </w:p>
          <w:p>
            <w:pPr>
              <w:spacing w:after="100" w:line="264"/>
            </w:pPr>
            <w:r>
              <w:rPr>
                <w:rFonts w:ascii="Georgia" w:cs="Georgia" w:eastAsia="Georgia" w:hAnsi="Georgia"/>
                <w:b/>
                <w:bCs/>
                <w:sz w:val="20"/>
                <w:szCs w:val="20"/>
              </w:rPr>
              <w:t xml:space="preserve">Nivel 2 — Artefactos técnicos del contrato.</w:t>
            </w:r>
            <w:r>
              <w:rPr>
                <w:rFonts w:ascii="Georgia" w:cs="Georgia" w:eastAsia="Georgia" w:hAnsi="Georgia"/>
                <w:sz w:val="20"/>
                <w:szCs w:val="20"/>
              </w:rPr>
              <w:t xml:space="preserve"> Código fuente y objeto de los desarrollos específicos, configuraciones, parametrizaciones, esquemas de datos y documentación técnica generados en ejecución del contrato, sin contenido de nivel 1.</w:t>
            </w:r>
          </w:p>
          <w:p>
            <w:pPr>
              <w:spacing w:after="100" w:line="264"/>
            </w:pPr>
            <w:r>
              <w:rPr>
                <w:rFonts w:ascii="Georgia" w:cs="Georgia" w:eastAsia="Georgia" w:hAnsi="Georgia"/>
                <w:b/>
                <w:bCs/>
                <w:sz w:val="20"/>
                <w:szCs w:val="20"/>
              </w:rPr>
              <w:t xml:space="preserve">Nivel 3 — Información propia del contratista.</w:t>
            </w:r>
            <w:r>
              <w:rPr>
                <w:rFonts w:ascii="Georgia" w:cs="Georgia" w:eastAsia="Georgia" w:hAnsi="Georgia"/>
                <w:sz w:val="20"/>
                <w:szCs w:val="20"/>
              </w:rPr>
              <w:t xml:space="preserve"> Cualquier información que no sea municipal. </w:t>
            </w:r>
            <w:r>
              <w:rPr>
                <w:rFonts w:ascii="Georgia" w:cs="Georgia" w:eastAsia="Georgia" w:hAnsi="Georgia"/>
                <w:b/>
                <w:bCs/>
                <w:sz w:val="20"/>
                <w:szCs w:val="20"/>
              </w:rPr>
              <w:t xml:space="preserve">Queda expresamente fuera del ámbito de esta cláusula</w:t>
            </w:r>
            <w:r>
              <w:rPr>
                <w:rFonts w:ascii="Georgia" w:cs="Georgia" w:eastAsia="Georgia" w:hAnsi="Georgia"/>
                <w:sz w:val="20"/>
                <w:szCs w:val="20"/>
              </w:rPr>
              <w:t xml:space="preserve">, que no impone al adjudicatario restricción alguna sobre las herramientas que emplee para su propia organización interna.</w:t>
            </w:r>
          </w:p>
          <w:p>
            <w:pPr>
              <w:pStyle w:val="ListParagraph"/>
              <w:numPr>
                <w:ilvl w:val="0"/>
                <w:numId w:val="2"/>
              </w:numPr>
              <w:spacing w:after="60" w:line="264"/>
            </w:pPr>
            <w:r>
              <w:rPr>
                <w:rFonts w:ascii="Georgia" w:cs="Georgia" w:eastAsia="Georgia" w:hAnsi="Georgia"/>
                <w:b/>
                <w:bCs/>
                <w:sz w:val="20"/>
                <w:szCs w:val="20"/>
              </w:rPr>
              <w:t xml:space="preserve">Régimen del nivel 1.</w:t>
            </w:r>
            <w:r>
              <w:rPr>
                <w:rFonts w:ascii="Georgia" w:cs="Georgia" w:eastAsia="Georgia" w:hAnsi="Georgia"/>
                <w:sz w:val="20"/>
                <w:szCs w:val="20"/>
              </w:rPr>
              <w:t xml:space="preserve"> El adjudicatario, su personal y su cadena de subcontratación </w:t>
            </w:r>
            <w:r>
              <w:rPr>
                <w:rFonts w:ascii="Georgia" w:cs="Georgia" w:eastAsia="Georgia" w:hAnsi="Georgia"/>
                <w:b/>
                <w:bCs/>
                <w:sz w:val="20"/>
                <w:szCs w:val="20"/>
              </w:rPr>
              <w:t xml:space="preserve">no introducirán información de nivel 1 en sistemas de inteligencia artificial que no estén expresamente autorizados</w:t>
            </w:r>
            <w:r>
              <w:rPr>
                <w:rFonts w:ascii="Georgia" w:cs="Georgia" w:eastAsia="Georgia" w:hAnsi="Georgia"/>
                <w:sz w:val="20"/>
                <w:szCs w:val="20"/>
              </w:rPr>
              <w:t xml:space="preserve"> en este contrato. Toda incorporación de un sistema nuevo requiere </w:t>
            </w:r>
            <w:r>
              <w:rPr>
                <w:rFonts w:ascii="Georgia" w:cs="Georgia" w:eastAsia="Georgia" w:hAnsi="Georgia"/>
                <w:b/>
                <w:bCs/>
                <w:sz w:val="20"/>
                <w:szCs w:val="20"/>
              </w:rPr>
              <w:t xml:space="preserve">autorización previa y escrita</w:t>
            </w:r>
            <w:r>
              <w:rPr>
                <w:rFonts w:ascii="Georgia" w:cs="Georgia" w:eastAsia="Georgia" w:hAnsi="Georgia"/>
                <w:sz w:val="20"/>
                <w:szCs w:val="20"/>
              </w:rPr>
              <w:t xml:space="preserve"> del responsable del contrato, solicitada con una antelación mínima de </w:t>
            </w:r>
            <w:r>
              <w:rPr>
                <w:rFonts w:ascii="Georgia" w:cs="Georgia" w:eastAsia="Georgia" w:hAnsi="Georgia"/>
                <w:b/>
                <w:bCs/>
                <w:sz w:val="20"/>
                <w:szCs w:val="20"/>
              </w:rPr>
              <w:t xml:space="preserve">[X; se recomienda 15] días naturales</w:t>
            </w:r>
            <w:r>
              <w:rPr>
                <w:rFonts w:ascii="Georgia" w:cs="Georgia" w:eastAsia="Georgia" w:hAnsi="Georgia"/>
                <w:sz w:val="20"/>
                <w:szCs w:val="20"/>
              </w:rPr>
              <w:t xml:space="preserve">. Cuando el uso implique tratamiento de datos personales por cuenta del Ayuntamiento, se formalizará el correspondiente encargo del tratamiento conforme al artículo 28 del Reglamento (UE) 2016/679, </w:t>
            </w:r>
            <w:r>
              <w:rPr>
                <w:rFonts w:ascii="Georgia" w:cs="Georgia" w:eastAsia="Georgia" w:hAnsi="Georgia"/>
                <w:b/>
                <w:bCs/>
                <w:sz w:val="20"/>
                <w:szCs w:val="20"/>
              </w:rPr>
              <w:t xml:space="preserve">sin que la sola aceptación de los términos de servicio del proveedor pueda ampararlo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Régimen del nivel 2.</w:t>
            </w:r>
            <w:r>
              <w:rPr>
                <w:rFonts w:ascii="Georgia" w:cs="Georgia" w:eastAsia="Georgia" w:hAnsi="Georgia"/>
                <w:sz w:val="20"/>
                <w:szCs w:val="20"/>
              </w:rPr>
              <w:t xml:space="preserve"> El adjudicatario podrá emplear sistemas de inteligencia artificial sobre artefactos técnicos del contrato </w:t>
            </w:r>
            <w:r>
              <w:rPr>
                <w:rFonts w:ascii="Georgia" w:cs="Georgia" w:eastAsia="Georgia" w:hAnsi="Georgia"/>
                <w:b/>
                <w:bCs/>
                <w:sz w:val="20"/>
                <w:szCs w:val="20"/>
              </w:rPr>
              <w:t xml:space="preserve">sin autorización individual previa</w:t>
            </w:r>
            <w:r>
              <w:rPr>
                <w:rFonts w:ascii="Georgia" w:cs="Georgia" w:eastAsia="Georgia" w:hAnsi="Georgia"/>
                <w:sz w:val="20"/>
                <w:szCs w:val="20"/>
              </w:rPr>
              <w:t xml:space="preserve">, siempre que el sistema empleado cumpla, y el adjudicatario pueda acreditarlo, las tres condiciones siguientes:</w:t>
            </w:r>
          </w:p>
          <w:p>
            <w:pPr>
              <w:spacing w:after="100" w:line="264"/>
            </w:pPr>
            <w:r>
              <w:rPr>
                <w:rFonts w:ascii="Georgia" w:cs="Georgia" w:eastAsia="Georgia" w:hAnsi="Georgia"/>
                <w:sz w:val="20"/>
                <w:szCs w:val="20"/>
              </w:rPr>
              <w:t xml:space="preserve">a) que el contenido introducido </w:t>
            </w:r>
            <w:r>
              <w:rPr>
                <w:rFonts w:ascii="Georgia" w:cs="Georgia" w:eastAsia="Georgia" w:hAnsi="Georgia"/>
                <w:b/>
                <w:bCs/>
                <w:sz w:val="20"/>
                <w:szCs w:val="20"/>
              </w:rPr>
              <w:t xml:space="preserve">quede excluido del entrenamiento de modelos</w:t>
            </w:r>
            <w:r>
              <w:rPr>
                <w:rFonts w:ascii="Georgia" w:cs="Georgia" w:eastAsia="Georgia" w:hAnsi="Georgia"/>
                <w:sz w:val="20"/>
                <w:szCs w:val="20"/>
              </w:rPr>
              <w:t xml:space="preserve"> mediante una configuración establecida a nivel de organización o de suscripción empresarial, no dependiente de la elección de cada persona usuaria;</w:t>
            </w:r>
          </w:p>
          <w:p>
            <w:pPr>
              <w:spacing w:after="100" w:line="264"/>
            </w:pPr>
            <w:r>
              <w:rPr>
                <w:rFonts w:ascii="Georgia" w:cs="Georgia" w:eastAsia="Georgia" w:hAnsi="Georgia"/>
                <w:sz w:val="20"/>
                <w:szCs w:val="20"/>
              </w:rPr>
              <w:t xml:space="preserve">b) que el tratamiento se realice en el Espacio Económico Europeo o, en su defecto, con las garantías del capítulo V del Reglamento (UE) 2016/679;</w:t>
            </w:r>
          </w:p>
          <w:p>
            <w:pPr>
              <w:spacing w:after="100" w:line="264"/>
            </w:pPr>
            <w:r>
              <w:rPr>
                <w:rFonts w:ascii="Georgia" w:cs="Georgia" w:eastAsia="Georgia" w:hAnsi="Georgia"/>
                <w:sz w:val="20"/>
                <w:szCs w:val="20"/>
              </w:rPr>
              <w:t xml:space="preserve">c) que el sistema figure en la </w:t>
            </w:r>
            <w:r>
              <w:rPr>
                <w:rFonts w:ascii="Georgia" w:cs="Georgia" w:eastAsia="Georgia" w:hAnsi="Georgia"/>
                <w:b/>
                <w:bCs/>
                <w:sz w:val="20"/>
                <w:szCs w:val="20"/>
              </w:rPr>
              <w:t xml:space="preserve">relación declarada</w:t>
            </w:r>
            <w:r>
              <w:rPr>
                <w:rFonts w:ascii="Georgia" w:cs="Georgia" w:eastAsia="Georgia" w:hAnsi="Georgia"/>
                <w:sz w:val="20"/>
                <w:szCs w:val="20"/>
              </w:rPr>
              <w:t xml:space="preserve"> conforme al apartado 4.</w:t>
            </w:r>
          </w:p>
          <w:p>
            <w:pPr>
              <w:pStyle w:val="ListParagraph"/>
              <w:numPr>
                <w:ilvl w:val="0"/>
                <w:numId w:val="2"/>
              </w:numPr>
              <w:spacing w:after="60" w:line="264"/>
            </w:pPr>
            <w:r>
              <w:rPr>
                <w:rFonts w:ascii="Georgia" w:cs="Georgia" w:eastAsia="Georgia" w:hAnsi="Georgia"/>
                <w:b/>
                <w:bCs/>
                <w:sz w:val="20"/>
                <w:szCs w:val="20"/>
              </w:rPr>
              <w:t xml:space="preserve">Relación de sistemas.</w:t>
            </w:r>
            <w:r>
              <w:rPr>
                <w:rFonts w:ascii="Georgia" w:cs="Georgia" w:eastAsia="Georgia" w:hAnsi="Georgia"/>
                <w:sz w:val="20"/>
                <w:szCs w:val="20"/>
              </w:rPr>
              <w:t xml:space="preserve"> El licitador declarará en su oferta la relación de sistemas de inteligencia artificial que prevé emplear en la ejecución, indicando para cada uno: proveedor; ubicación de almacenamiento y tratamiento; plazo y criterios de retención de contenidos; tratamiento de metadatos y telemetría; existencia y alcance del mecanismo de exclusión del contenido para el entrenamiento de modelos; y posibilidad de configuración administrativa de las revisiones manuales por el proveedor. La relación se mantiene actualizada durante toda la vigencia del contrato y se comunica cualquier alta o baja en el plazo del apartado 2. </w:t>
            </w:r>
            <w:r>
              <w:rPr>
                <w:rFonts w:ascii="Georgia" w:cs="Georgia" w:eastAsia="Georgia" w:hAnsi="Georgia"/>
                <w:b/>
                <w:bCs/>
                <w:sz w:val="20"/>
                <w:szCs w:val="20"/>
              </w:rPr>
              <w:t xml:space="preserve">A solicitud del licitador, esta relación tendrá el tratamiento de información confidencial en los términos del artículo 133 de la LCSP.</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de las condiciones del apartado 3 se acredita mediante evidencia de la configuración a nivel de organización —captura del panel de administración con fecha, o certificado del proveedor— y mediante la política interna de uso del adjudicatario. El Ayuntamiento podrá requerir esta evidencia una vez al año y ante cualquier alta.</w:t>
            </w:r>
          </w:p>
          <w:p>
            <w:pPr>
              <w:pStyle w:val="ListParagraph"/>
              <w:numPr>
                <w:ilvl w:val="0"/>
                <w:numId w:val="2"/>
              </w:numPr>
              <w:spacing w:after="60" w:line="264"/>
            </w:pPr>
            <w:r>
              <w:rPr>
                <w:rFonts w:ascii="Georgia" w:cs="Georgia" w:eastAsia="Georgia" w:hAnsi="Georgia"/>
                <w:b/>
                <w:bCs/>
                <w:sz w:val="20"/>
                <w:szCs w:val="20"/>
              </w:rPr>
              <w:t xml:space="preserve">Consecuencias.</w:t>
            </w:r>
            <w:r>
              <w:rPr>
                <w:rFonts w:ascii="Georgia" w:cs="Georgia" w:eastAsia="Georgia" w:hAnsi="Georgia"/>
                <w:sz w:val="20"/>
                <w:szCs w:val="20"/>
              </w:rPr>
              <w:t xml:space="preserve"> El incumplimiento del régimen del </w:t>
            </w:r>
            <w:r>
              <w:rPr>
                <w:rFonts w:ascii="Georgia" w:cs="Georgia" w:eastAsia="Georgia" w:hAnsi="Georgia"/>
                <w:b/>
                <w:bCs/>
                <w:sz w:val="20"/>
                <w:szCs w:val="20"/>
              </w:rPr>
              <w:t xml:space="preserve">nivel 1</w:t>
            </w:r>
            <w:r>
              <w:rPr>
                <w:rFonts w:ascii="Georgia" w:cs="Georgia" w:eastAsia="Georgia" w:hAnsi="Georgia"/>
                <w:sz w:val="20"/>
                <w:szCs w:val="20"/>
              </w:rPr>
              <w:t xml:space="preserve"> tiene la consideración de </w:t>
            </w:r>
            <w:r>
              <w:rPr>
                <w:rFonts w:ascii="Georgia" w:cs="Georgia" w:eastAsia="Georgia" w:hAnsi="Georgia"/>
                <w:b/>
                <w:bCs/>
                <w:sz w:val="20"/>
                <w:szCs w:val="20"/>
              </w:rPr>
              <w:t xml:space="preserve">obligación contractual esencial</w:t>
            </w:r>
            <w:r>
              <w:rPr>
                <w:rFonts w:ascii="Georgia" w:cs="Georgia" w:eastAsia="Georgia" w:hAnsi="Georgia"/>
                <w:sz w:val="20"/>
                <w:szCs w:val="20"/>
              </w:rPr>
              <w:t xml:space="preserve"> a los efectos del artículo 211.1.f) de la LCSP, en los términos de la cláusula [ADM-6], bloque B. El incumplimiento del régimen del </w:t>
            </w:r>
            <w:r>
              <w:rPr>
                <w:rFonts w:ascii="Georgia" w:cs="Georgia" w:eastAsia="Georgia" w:hAnsi="Georgia"/>
                <w:b/>
                <w:bCs/>
                <w:sz w:val="20"/>
                <w:szCs w:val="20"/>
              </w:rPr>
              <w:t xml:space="preserve">nivel 2</w:t>
            </w:r>
            <w:r>
              <w:rPr>
                <w:rFonts w:ascii="Georgia" w:cs="Georgia" w:eastAsia="Georgia" w:hAnsi="Georgia"/>
                <w:sz w:val="20"/>
                <w:szCs w:val="20"/>
              </w:rPr>
              <w:t xml:space="preserve"> da lugar a las penalidades tipificadas en la cláusula [ADM-5], sin carácter esencial. El nivel 3 no genera obligación alguna.</w:t>
            </w:r>
          </w:p>
          <w:p>
            <w:pPr>
              <w:pStyle w:val="ListParagraph"/>
              <w:numPr>
                <w:ilvl w:val="0"/>
                <w:numId w:val="2"/>
              </w:numPr>
              <w:spacing w:after="60" w:line="264"/>
            </w:pPr>
            <w:r>
              <w:rPr>
                <w:rFonts w:ascii="Georgia" w:cs="Georgia" w:eastAsia="Georgia" w:hAnsi="Georgia"/>
                <w:b/>
                <w:bCs/>
                <w:sz w:val="20"/>
                <w:szCs w:val="20"/>
              </w:rPr>
              <w:t xml:space="preserve">Compromiso recíproco del Ayuntamiento.</w:t>
            </w:r>
            <w:r>
              <w:rPr>
                <w:rFonts w:ascii="Georgia" w:cs="Georgia" w:eastAsia="Georgia" w:hAnsi="Georgia"/>
                <w:sz w:val="20"/>
                <w:szCs w:val="20"/>
              </w:rPr>
              <w:t xml:space="preserve"> El Ayuntamiento aprobará y mantendrá una política interna de uso de inteligencia artificial generativa por su personal, que contendrá al menos: inventario de sistemas autorizados; prohibición de utilizar sistemas no inventariados; formación previa del personal usuario; revisión humana de todo resultado antes de su incorporación a un expediente; doble revisión cuando el resultado se dirija a un superior jerárquico o vaya a publicarse; minimización del uso de información institucional sensible en sistemas externos; y registro de las interacciones. Esta política se incorpora como </w:t>
            </w:r>
            <w:r>
              <w:rPr>
                <w:rFonts w:ascii="Georgia" w:cs="Georgia" w:eastAsia="Georgia" w:hAnsi="Georgia"/>
                <w:b/>
                <w:bCs/>
                <w:sz w:val="20"/>
                <w:szCs w:val="20"/>
              </w:rPr>
              <w:t xml:space="preserve">Anexo [ ] de este pliego</w:t>
            </w:r>
            <w:r>
              <w:rPr>
                <w:rFonts w:ascii="Georgia" w:cs="Georgia" w:eastAsia="Georgia" w:hAnsi="Georgia"/>
                <w:sz w:val="20"/>
                <w:szCs w:val="20"/>
              </w:rPr>
              <w:t xml:space="preserve"> y se comunica al adjudicatario.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(niveles 1 y 2),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cláusula de confidencialidad y protección de datos, por la remisión del apartado 2 al art. 28 RGPD. El modelo de declaración del apartado 4 va al Anexo VII. La política interna del apartado 7 </w:t>
      </w:r>
      <w:r>
        <w:rPr>
          <w:rFonts w:ascii="Calibri" w:cs="Calibri" w:eastAsia="Calibri" w:hAnsi="Calibri"/>
          <w:b/>
          <w:bCs/>
          <w:sz w:val="21"/>
          <w:szCs w:val="21"/>
        </w:rPr>
        <w:t xml:space="preserve">no es cláusula del pliego</w:t>
      </w:r>
      <w:r>
        <w:rPr>
          <w:rFonts w:ascii="Calibri" w:cs="Calibri" w:eastAsia="Calibri" w:hAnsi="Calibri"/>
          <w:sz w:val="21"/>
          <w:szCs w:val="21"/>
        </w:rPr>
        <w:t xml:space="preserve">: es un acto propio del Ayuntamiento que se aprueba por resolución y se anexa al pliego; su modelo es el </w:t>
      </w:r>
      <w:r>
        <w:rPr>
          <w:rFonts w:ascii="Calibri" w:cs="Calibri" w:eastAsia="Calibri" w:hAnsi="Calibri"/>
          <w:b/>
          <w:bCs/>
          <w:sz w:val="21"/>
          <w:szCs w:val="21"/>
        </w:rPr>
        <w:t xml:space="preserve">Anexo XVI</w:t>
      </w:r>
      <w:r>
        <w:rPr>
          <w:rFonts w:ascii="Calibri" w:cs="Calibri" w:eastAsia="Calibri" w:hAnsi="Calibri"/>
          <w:sz w:val="21"/>
          <w:szCs w:val="21"/>
        </w:rPr>
        <w:t xml:space="preserve"> de este catálogo.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202.1 LCSP (condiciones especiales de ejecución vinculadas al objeto). Art. 28 del Reglamento (UE) 2016/679, para el encargo del tratamiento, y art. 28.3.a), que sujeta el tratamiento a las instrucciones documentadas del responsable. Art. 133 LCSP, para la confidencialidad de la relación declarada. Arts. 116.1, párrafo segundo, LCSP, sobre la especificación de la finalidad del tratamiento en el expediente. Y, cuando el sistema empleado sea un sistema de inteligencia artificial en el sentido del Reglamento (UE) 2024/1689, en su redacción vigente, las obligaciones que del mismo resulten conforme al calendario del Anexo XI.</w:t>
      </w:r>
    </w:p>
    <w:p>
      <w:pPr>
        <w:spacing w:after="140" w:line="276"/>
      </w:pPr>
      <w:r>
        <w:rPr>
          <w:rFonts w:ascii="Calibri" w:cs="Calibri" w:eastAsia="Calibri" w:hAnsi="Calibri"/>
          <w:sz w:val="21"/>
          <w:szCs w:val="21"/>
        </w:rPr>
        <w:t xml:space="preserve">Referencia de contenido, no normativa: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27 de noviembre de 2025, primera de este tipo en el sector público español, que establece el principio de precaución y da la lista de aspectos a evaluar de forma previa y documentada antes de contratar una solución de esta clase —tratamiento de metadatos, declaraciones del proveedor sobre el uso del contenido para mejorar servicios o modelos, existencia y alcance de mecanismos de exclusión del entrenamiento, ubicación de los datos y tiempo de retención— (&lt;https://www.aepd.es/documento/politica-iag-aepd.pdf&gt;). De ahí procede, literalmente, la lista del apartado 4. Se cita como referencia de buenas prácticas del regulador, no como norma.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alguna sobre cláusulas de esta clase.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del Anexo VII presentada con la oferta; (b) autorización escrita del responsable del contrato para cada alta de nivel 1; (c) contrato de encargo del tratamiento firmado, cuando proceda; (d) evidencia de la configuración a nivel de organización que excluye el contenido del entrenamiento, con fecha, o certificado del proveedor; (e) política interna de uso del adjudicatario.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 cada solicitud de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 o denegación motivada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del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autorizar un alta que implique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y contrato de encargo del tratamiento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actualizada del adjudicatario y evidencia de configuración</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revisión de la declaración y de la evidencia, más 1 hora por cada solicitud de alta. Si el contrato no implica tratamiento de información municipal por el adjudicatario, la carga es cero y la cláusula debe marcarse NO APLICA.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Introducción de información de nivel 1 en un sistema no autorizado:</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del cuadro de ADM-5·v3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Empleo de un sistema de nivel 2 que no cumple las tres condiciones del apartado 3, o falta de actualización de la relación declarada:</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NO.</w:t>
      </w:r>
    </w:p>
    <w:p>
      <w:pPr>
        <w:pStyle w:val="ListParagraph"/>
        <w:numPr>
          <w:ilvl w:val="0"/>
          <w:numId w:val="1"/>
        </w:numPr>
        <w:spacing w:after="70" w:line="268"/>
      </w:pPr>
      <w:r>
        <w:rPr>
          <w:rFonts w:ascii="Calibri" w:cs="Calibri" w:eastAsia="Calibri" w:hAnsi="Calibri"/>
          <w:b/>
          <w:bCs/>
          <w:sz w:val="21"/>
          <w:szCs w:val="21"/>
        </w:rPr>
        <w:t xml:space="preserve">Falta de entrega de la evidencia de configuración a requerimiento: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elevable a grave si persiste tras requerimiento.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el adjudicatario </w:t>
      </w:r>
      <w:r>
        <w:rPr>
          <w:rFonts w:ascii="Calibri" w:cs="Calibri" w:eastAsia="Calibri" w:hAnsi="Calibri"/>
          <w:b/>
          <w:bCs/>
          <w:sz w:val="21"/>
          <w:szCs w:val="21"/>
        </w:rPr>
        <w:t xml:space="preserve">no trate información municipal</w:t>
      </w:r>
      <w:r>
        <w:rPr>
          <w:rFonts w:ascii="Calibri" w:cs="Calibri" w:eastAsia="Calibri" w:hAnsi="Calibri"/>
          <w:sz w:val="21"/>
          <w:szCs w:val="21"/>
        </w:rPr>
        <w:t xml:space="preserve">: suministro de bienes, obras sin componente de información, servicios prestados íntegramente sobre información propia del contratista.</w:t>
      </w:r>
    </w:p>
    <w:p>
      <w:pPr>
        <w:pStyle w:val="ListParagraph"/>
        <w:numPr>
          <w:ilvl w:val="0"/>
          <w:numId w:val="1"/>
        </w:numPr>
        <w:spacing w:after="70" w:line="268"/>
      </w:pPr>
      <w:r>
        <w:rPr>
          <w:rFonts w:ascii="Calibri" w:cs="Calibri" w:eastAsia="Calibri" w:hAnsi="Calibri"/>
          <w:sz w:val="21"/>
          <w:szCs w:val="21"/>
        </w:rPr>
        <w:t xml:space="preserve">Contratos menores, salvo que impliquen tratamiento de datos personales, en cuyo caso el régimen aplicable es el del art. 28 RGPD, no esta cláusula.</w:t>
      </w:r>
    </w:p>
    <w:p>
      <w:pPr>
        <w:pStyle w:val="ListParagraph"/>
        <w:numPr>
          <w:ilvl w:val="0"/>
          <w:numId w:val="1"/>
        </w:numPr>
        <w:spacing w:after="70" w:line="268"/>
      </w:pPr>
      <w:r>
        <w:rPr>
          <w:rFonts w:ascii="Calibri" w:cs="Calibri" w:eastAsia="Calibri" w:hAnsi="Calibri"/>
          <w:sz w:val="21"/>
          <w:szCs w:val="21"/>
        </w:rPr>
        <w:t xml:space="preserve">Contratos basados en acuerdo marco cuando no quepa añadir condiciones especiales de ejecución.</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nivel 3 nunca se aplica</w:t>
      </w:r>
      <w:r>
        <w:rPr>
          <w:rFonts w:ascii="Calibri" w:cs="Calibri" w:eastAsia="Calibri" w:hAnsi="Calibri"/>
          <w:sz w:val="21"/>
          <w:szCs w:val="21"/>
        </w:rPr>
        <w:t xml:space="preserve">: no es una excepción, es una delimitación del ámbito.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correspondiente del Anexo VII, dos filas del cuadro de penalidades de ADM-5·v3 y un guion del bloque B de ADM-6·v3. El compromiso recíproco del apartado 7 </w:t>
      </w:r>
      <w:r>
        <w:rPr>
          <w:rFonts w:ascii="Calibri" w:cs="Calibri" w:eastAsia="Calibri" w:hAnsi="Calibri"/>
          <w:b/>
          <w:bCs/>
          <w:sz w:val="21"/>
          <w:szCs w:val="21"/>
        </w:rPr>
        <w:t xml:space="preserve">no decae</w:t>
      </w:r>
      <w:r>
        <w:rPr>
          <w:rFonts w:ascii="Calibri" w:cs="Calibri" w:eastAsia="Calibri" w:hAnsi="Calibri"/>
          <w:sz w:val="21"/>
          <w:szCs w:val="21"/>
        </w:rPr>
        <w:t xml:space="preserve">: es un acto propio del Ayuntamiento, independiente de cada contrato.</w:t>
      </w:r>
    </w:p>
    <w:p>
      <w:pPr>
        <w:pStyle w:val="Heading3"/>
        <w:keepNext/>
        <w:spacing w:after="140" w:before="320"/>
      </w:pPr>
      <w:r>
        <w:rPr>
          <w:rFonts w:ascii="Georgia" w:cs="Georgia" w:eastAsia="Georgia" w:hAnsi="Georgia"/>
          <w:b/>
          <w:bCs/>
          <w:color w:val="2F5496"/>
          <w:sz w:val="22"/>
          <w:szCs w:val="22"/>
        </w:rPr>
        <w:t xml:space="preserve">Nota al redactor · Por qué tres niveles y no una prohibición única</w:t>
      </w:r>
    </w:p>
    <w:p>
      <w:pPr>
        <w:spacing w:after="140" w:line="276"/>
      </w:pPr>
      <w:r>
        <w:rPr>
          <w:rFonts w:ascii="Calibri" w:cs="Calibri" w:eastAsia="Calibri" w:hAnsi="Calibri"/>
          <w:sz w:val="21"/>
          <w:szCs w:val="21"/>
        </w:rPr>
        <w:t xml:space="preserve">Tal como estaba esbozada en la versión anterior, la cláusula era inaplicable. Cualquier desarrollador que utilice un entorno de desarrollo con asistente incorporado la incumpliría, y una obligación esencial inaplicable no protege: un tribunal la aprecia con facilidad y su caída contamina el resto del pliego. La solución consiste en </w:t>
      </w:r>
      <w:r>
        <w:rPr>
          <w:rFonts w:ascii="Calibri" w:cs="Calibri" w:eastAsia="Calibri" w:hAnsi="Calibri"/>
          <w:b/>
          <w:bCs/>
          <w:sz w:val="21"/>
          <w:szCs w:val="21"/>
        </w:rPr>
        <w:t xml:space="preserve">separar el tratamiento de información municipal del uso de herramientas internas del contratista</w:t>
      </w:r>
      <w:r>
        <w:rPr>
          <w:rFonts w:ascii="Calibri" w:cs="Calibri" w:eastAsia="Calibri" w:hAnsi="Calibri"/>
          <w:sz w:val="21"/>
          <w:szCs w:val="21"/>
        </w:rPr>
        <w:t xml:space="preserve"> y en graduar la consecuencia.</w:t>
      </w:r>
    </w:p>
    <w:p>
      <w:pPr>
        <w:spacing w:after="140" w:line="276"/>
      </w:pPr>
      <w:r>
        <w:rPr>
          <w:rFonts w:ascii="Calibri" w:cs="Calibri" w:eastAsia="Calibri" w:hAnsi="Calibri"/>
          <w:sz w:val="21"/>
          <w:szCs w:val="21"/>
        </w:rPr>
        <w:t xml:space="preserve">De ahí los tres niveles del apartado 1. Sólo el nivel 1 —información municipal restringida— es obligación esencial. El nivel 2 —artefactos técnicos del contrato— se somete a tres condiciones acreditables y su incumplimiento genera penalidad, no resolución. El nivel 3 —información propia del contratista— </w:t>
      </w:r>
      <w:r>
        <w:rPr>
          <w:rFonts w:ascii="Calibri" w:cs="Calibri" w:eastAsia="Calibri" w:hAnsi="Calibri"/>
          <w:b/>
          <w:bCs/>
          <w:sz w:val="21"/>
          <w:szCs w:val="21"/>
        </w:rPr>
        <w:t xml:space="preserve">queda expresamente fuera del ámbito de la cláusula</w:t>
      </w:r>
      <w:r>
        <w:rPr>
          <w:rFonts w:ascii="Calibri" w:cs="Calibri" w:eastAsia="Calibri" w:hAnsi="Calibri"/>
          <w:sz w:val="21"/>
          <w:szCs w:val="21"/>
        </w:rPr>
        <w:t xml:space="preserve">: no es una excepción, es una delimitación, y así debe leerse.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III.14 · ADM-14·v3 — Modificación prevista como red de seguridad</w:t>
      </w:r>
    </w:p>
    <w:p>
      <w:pPr>
        <w:spacing w:after="140" w:line="276"/>
      </w:pPr>
      <w:r>
        <w:rPr>
          <w:rFonts w:ascii="Calibri" w:cs="Calibri" w:eastAsia="Calibri" w:hAnsi="Calibri"/>
          <w:i/>
          <w:iCs/>
          <w:sz w:val="21"/>
          <w:szCs w:val="21"/>
        </w:rPr>
        <w:t xml:space="preserve">(Sustituye a la previsión de modificación de v2. </w:t>
      </w:r>
      <w:r>
        <w:rPr>
          <w:rFonts w:ascii="Calibri" w:cs="Calibri" w:eastAsia="Calibri" w:hAnsi="Calibri"/>
          <w:i/>
          <w:iCs/>
          <w:sz w:val="21"/>
          <w:szCs w:val="21"/>
        </w:rPr>
        <w:t xml:space="preserve">Cláusula opcional: por defecto, NO se incorpora.</w:t>
      </w:r>
      <w:r>
        <w:rPr>
          <w:rFonts w:ascii="Calibri" w:cs="Calibri" w:eastAsia="Calibri" w:hAnsi="Calibri"/>
          <w:sz w:val="21"/>
          <w:szCs w:val="21"/>
        </w:rPr>
        <w:t xml:space="preserve">* La advertencia sobre el cómputo de la reserva en el valor estimado, el ejemplo trabajado y la alternativa preferente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Modificación prevista del contrato (artículo 204 de la LCSP).</w:t>
            </w:r>
          </w:p>
          <w:p>
            <w:pPr>
              <w:pStyle w:val="ListParagraph"/>
              <w:numPr>
                <w:ilvl w:val="0"/>
                <w:numId w:val="2"/>
              </w:numPr>
              <w:spacing w:after="60" w:line="264"/>
            </w:pPr>
            <w:r>
              <w:rPr>
                <w:rFonts w:ascii="Georgia" w:cs="Georgia" w:eastAsia="Georgia" w:hAnsi="Georgia"/>
                <w:b/>
                <w:bCs/>
                <w:sz w:val="20"/>
                <w:szCs w:val="20"/>
              </w:rPr>
              <w:t xml:space="preserve">Procedencia y naturaleza.</w:t>
            </w:r>
            <w:r>
              <w:rPr>
                <w:rFonts w:ascii="Georgia" w:cs="Georgia" w:eastAsia="Georgia" w:hAnsi="Georgia"/>
                <w:sz w:val="20"/>
                <w:szCs w:val="20"/>
              </w:rPr>
              <w:t xml:space="preserve"> Al amparo del artículo 204 de la LCSP, el contrato podrá modificarse durante su vigencia, de una sola vez o sucesivamente, con el único objeto de incorporar las prestaciones enumeradas en el apartado 2 y con sujeción a las condiciones, límites y procedimiento de esta cláusula. La modificación tiene naturaleza de ampliación cuantitativa de prestaciones ya comprendidas en el objeto del contrato. No sustituye las prestaciones contratadas por otras diferentes, no modifica el tipo de contrato, no altera su naturaleza global, no amplía su plazo de duración ni el de sus prórrogas y </w:t>
            </w:r>
            <w:r>
              <w:rPr>
                <w:rFonts w:ascii="Georgia" w:cs="Georgia" w:eastAsia="Georgia" w:hAnsi="Georgia"/>
                <w:b/>
                <w:bCs/>
                <w:sz w:val="20"/>
                <w:szCs w:val="20"/>
              </w:rPr>
              <w:t xml:space="preserve">no podrá suponer el establecimiento de nuevos precios unitarios no previstos en el contrato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Alcance (relación cerrada).</w:t>
            </w:r>
            <w:r>
              <w:rPr>
                <w:rFonts w:ascii="Georgia" w:cs="Georgia" w:eastAsia="Georgia" w:hAnsi="Georgia"/>
                <w:sz w:val="20"/>
                <w:szCs w:val="20"/>
              </w:rPr>
              <w:t xml:space="preserve"> Únicamente podrán acordarse, y ninguna otra, las siguientes prestaciones:</w:t>
            </w:r>
          </w:p>
          <w:p>
            <w:pPr>
              <w:spacing w:after="100" w:line="264"/>
            </w:pPr>
            <w:r>
              <w:rPr>
                <w:rFonts w:ascii="Georgia" w:cs="Georgia" w:eastAsia="Georgia" w:hAnsi="Georgia"/>
                <w:sz w:val="20"/>
                <w:szCs w:val="20"/>
              </w:rPr>
              <w:t xml:space="preserve">a) extensión de la interfaz normalizada de acceso programático a módulos del contrato distintos de los relacionados en el Anexo de Exigencias Tecnológicas,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módulos adicionales, con los mismos criterios de aceptación de dicho Anexo;</w:t>
            </w:r>
          </w:p>
          <w:p>
            <w:pPr>
              <w:spacing w:after="100" w:line="264"/>
            </w:pPr>
            <w:r>
              <w:rPr>
                <w:rFonts w:ascii="Georgia" w:cs="Georgia" w:eastAsia="Georgia" w:hAnsi="Georgia"/>
                <w:sz w:val="20"/>
                <w:szCs w:val="20"/>
              </w:rPr>
              <w:t xml:space="preserve">b) extensión de la capacidad de operación autónoma supervisada a operaciones distintas de las relacionadas en el Anexo,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operaciones, con los mismos criterios de aceptación;</w:t>
            </w:r>
          </w:p>
          <w:p>
            <w:pPr>
              <w:spacing w:after="100" w:line="264"/>
            </w:pPr>
            <w:r>
              <w:rPr>
                <w:rFonts w:ascii="Georgia" w:cs="Georgia" w:eastAsia="Georgia" w:hAnsi="Georgia"/>
                <w:sz w:val="20"/>
                <w:szCs w:val="20"/>
              </w:rPr>
              <w:t xml:space="preserve">c) extensión del registro de trazabilidad y auditoría a los módulos u operaciones incorporados conforme a las letras a) y b);</w:t>
            </w:r>
          </w:p>
          <w:p>
            <w:pPr>
              <w:spacing w:after="100" w:line="264"/>
            </w:pPr>
            <w:r>
              <w:rPr>
                <w:rFonts w:ascii="Georgia" w:cs="Georgia" w:eastAsia="Georgia" w:hAnsi="Georgia"/>
                <w:sz w:val="20"/>
                <w:szCs w:val="20"/>
              </w:rPr>
              <w:t xml:space="preserve">d) adaptaciones de la solución estrictamente necesarias para que el Ayuntamiento, en su condición de responsable del despliegue o usuario del sistema, dé cumplimiento a las obligaciones que resulten exigibles en virtud de las siguientes normas, identificadas nominativamente: Reglamento (UE) 2024/1689, en su redacción vigente y conforme al calendario de aplicación que en cada momento resulte vigente; Real Decreto 311/2022 y guías CCN-STIC que lo desarrollen; Real Decreto 4/2010 y Real Decreto 203/2021; y las normas de rango legal o reglamentario que sustituyan a las anteriores. </w:t>
            </w:r>
            <w:r>
              <w:rPr>
                <w:rFonts w:ascii="Georgia" w:cs="Georgia" w:eastAsia="Georgia" w:hAnsi="Georgia"/>
                <w:b/>
                <w:bCs/>
                <w:sz w:val="20"/>
                <w:szCs w:val="20"/>
              </w:rPr>
              <w:t xml:space="preserve">Quedan excluidas</w:t>
            </w:r>
            <w:r>
              <w:rPr>
                <w:rFonts w:ascii="Georgia" w:cs="Georgia" w:eastAsia="Georgia" w:hAnsi="Georgia"/>
                <w:sz w:val="20"/>
                <w:szCs w:val="20"/>
              </w:rPr>
              <w:t xml:space="preserve"> las adaptaciones que correspondan al adjudicatario en su condición de proveedor u operador del sistema, que son de su exclusiva cuenta y se ejecutan sin coste ni modificación contractual.</w:t>
            </w:r>
          </w:p>
          <w:p>
            <w:pPr>
              <w:spacing w:after="100" w:line="264"/>
            </w:pPr>
            <w:r>
              <w:rPr>
                <w:rFonts w:ascii="Georgia" w:cs="Georgia" w:eastAsia="Georgia" w:hAnsi="Georgia"/>
                <w:sz w:val="20"/>
                <w:szCs w:val="20"/>
              </w:rPr>
              <w:t xml:space="preserve">Quedan expresamente excluidos del alcance de esta cláusula: la incorporación de módulos funcionales nuevos; el aumento del número de personas usuarias, sedes o volúmenes de datos; la sustitución de la solución contratada por otra; y cualquier prestación ajena al objeto del contrato.</w:t>
            </w:r>
          </w:p>
          <w:p>
            <w:pPr>
              <w:pStyle w:val="ListParagraph"/>
              <w:numPr>
                <w:ilvl w:val="0"/>
                <w:numId w:val="2"/>
              </w:numPr>
              <w:spacing w:after="60" w:line="264"/>
            </w:pPr>
            <w:r>
              <w:rPr>
                <w:rFonts w:ascii="Georgia" w:cs="Georgia" w:eastAsia="Georgia" w:hAnsi="Georgia"/>
                <w:b/>
                <w:bCs/>
                <w:sz w:val="20"/>
                <w:szCs w:val="20"/>
              </w:rPr>
              <w:t xml:space="preserve">Condiciones (circunstancias verificables de forma objetiva).</w:t>
            </w:r>
            <w:r>
              <w:rPr>
                <w:rFonts w:ascii="Georgia" w:cs="Georgia" w:eastAsia="Georgia" w:hAnsi="Georgia"/>
                <w:sz w:val="20"/>
                <w:szCs w:val="20"/>
              </w:rPr>
              <w:t xml:space="preserve"> La modificación sólo procederá cuando concurra y quede acreditada documentalmente en el expediente alguna de las circunstancias siguientes:</w:t>
            </w:r>
          </w:p>
          <w:p>
            <w:pPr>
              <w:spacing w:after="100" w:line="264"/>
            </w:pPr>
            <w:r>
              <w:rPr>
                <w:rFonts w:ascii="Georgia" w:cs="Georgia" w:eastAsia="Georgia" w:hAnsi="Georgia"/>
                <w:sz w:val="20"/>
                <w:szCs w:val="20"/>
              </w:rPr>
              <w:t xml:space="preserve">a) para las letras a), b) y c) del apartado 2: acuerdo del </w:t>
            </w:r>
            <w:r>
              <w:rPr>
                <w:rFonts w:ascii="Georgia" w:cs="Georgia" w:eastAsia="Georgia" w:hAnsi="Georgia"/>
                <w:b/>
                <w:bCs/>
                <w:sz w:val="20"/>
                <w:szCs w:val="20"/>
              </w:rPr>
              <w:t xml:space="preserve">[órgano competente]</w:t>
            </w:r>
            <w:r>
              <w:rPr>
                <w:rFonts w:ascii="Georgia" w:cs="Georgia" w:eastAsia="Georgia" w:hAnsi="Georgia"/>
                <w:sz w:val="20"/>
                <w:szCs w:val="20"/>
              </w:rPr>
              <w:t xml:space="preserve"> por el que se incorpore al ámbito del contrato un módulo o una operación que no se encontraba en producción a la fecha de publicación del anuncio de licitación, acompañado del acta de la que resulte que dicha capacidad no está cubierta por el Anexo de Exigencias Tecnológicas;</w:t>
            </w:r>
          </w:p>
          <w:p>
            <w:pPr>
              <w:spacing w:after="100" w:line="264"/>
            </w:pPr>
            <w:r>
              <w:rPr>
                <w:rFonts w:ascii="Georgia" w:cs="Georgia" w:eastAsia="Georgia" w:hAnsi="Georgia"/>
                <w:sz w:val="20"/>
                <w:szCs w:val="20"/>
              </w:rPr>
              <w:t xml:space="preserve">b) para la letra d) del apartado 2: publicación en el «Boletín Oficial del Estado» o en el «Diario Oficial de la Unión Europea» de la norma de que se trate, o publicación por el organismo competente de la guía, instrucción o esquema de obligado cumplimiento, con identificación en el expediente del precepto concreto que impone la obligación y de la fecha en que resulta exigible.</w:t>
            </w:r>
          </w:p>
          <w:p>
            <w:pPr>
              <w:spacing w:after="100" w:line="264"/>
            </w:pPr>
            <w:r>
              <w:rPr>
                <w:rFonts w:ascii="Georgia" w:cs="Georgia" w:eastAsia="Georgia" w:hAnsi="Georgia"/>
                <w:b/>
                <w:bCs/>
                <w:sz w:val="20"/>
                <w:szCs w:val="20"/>
              </w:rPr>
              <w:t xml:space="preserve">En ningún caso constituirán condición suficiente</w:t>
            </w:r>
            <w:r>
              <w:rPr>
                <w:rFonts w:ascii="Georgia" w:cs="Georgia" w:eastAsia="Georgia" w:hAnsi="Georgia"/>
                <w:sz w:val="20"/>
                <w:szCs w:val="20"/>
              </w:rPr>
              <w:t xml:space="preserve"> para modificar el contrato la aparición en el mercado de una tecnología nueva, la obsolescencia tecnológica de la solución, su deterioro o bajo rendimiento, ni la mera conveniencia u oportunidad técnica.</w:t>
            </w:r>
          </w:p>
          <w:p>
            <w:pPr>
              <w:pStyle w:val="ListParagraph"/>
              <w:numPr>
                <w:ilvl w:val="0"/>
                <w:numId w:val="2"/>
              </w:numPr>
              <w:spacing w:after="60" w:line="264"/>
            </w:pPr>
            <w:r>
              <w:rPr>
                <w:rFonts w:ascii="Georgia" w:cs="Georgia" w:eastAsia="Georgia" w:hAnsi="Georgia"/>
                <w:b/>
                <w:bCs/>
                <w:sz w:val="20"/>
                <w:szCs w:val="20"/>
              </w:rPr>
              <w:t xml:space="preserve">Límite económico.</w:t>
            </w:r>
            <w:r>
              <w:rPr>
                <w:rFonts w:ascii="Georgia" w:cs="Georgia" w:eastAsia="Georgia" w:hAnsi="Georgia"/>
                <w:sz w:val="20"/>
                <w:szCs w:val="20"/>
              </w:rPr>
              <w:t xml:space="preserve"> El importe acumulado de las modificaciones tramitadas al amparo de esta cláusula no podrá exceder del </w:t>
            </w:r>
            <w:r>
              <w:rPr>
                <w:rFonts w:ascii="Georgia" w:cs="Georgia" w:eastAsia="Georgia" w:hAnsi="Georgia"/>
                <w:b/>
                <w:bCs/>
                <w:sz w:val="20"/>
                <w:szCs w:val="20"/>
              </w:rPr>
              <w:t xml:space="preserve">[X, en ningún caso superior al VEINTE] por ciento</w:t>
            </w:r>
            <w:r>
              <w:rPr>
                <w:rFonts w:ascii="Georgia" w:cs="Georgia" w:eastAsia="Georgia" w:hAnsi="Georgia"/>
                <w:sz w:val="20"/>
                <w:szCs w:val="20"/>
              </w:rPr>
              <w:t xml:space="preserve"> del precio inicial del contrato, IVA excluido, entendido como precio de adjudicación y con exclusión del importe de las prórrogas y de cualesquiera otras modificaciones. Sobre el presupuesto base de licitación, dicho límite equivale a un importe máximo de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computado en el valor estimado del contrato conforme al artículo 101.2.c) de la LCSP y cuyo método de cálculo figura en la cláusula [ ] de este pliego (artículo 101.5 de la LCSP).</w:t>
            </w:r>
          </w:p>
          <w:p>
            <w:pPr>
              <w:pStyle w:val="ListParagraph"/>
              <w:numPr>
                <w:ilvl w:val="0"/>
                <w:numId w:val="2"/>
              </w:numPr>
              <w:spacing w:after="60" w:line="264"/>
            </w:pPr>
            <w:r>
              <w:rPr>
                <w:rFonts w:ascii="Georgia" w:cs="Georgia" w:eastAsia="Georgia" w:hAnsi="Georgia"/>
                <w:b/>
                <w:bCs/>
                <w:sz w:val="20"/>
                <w:szCs w:val="20"/>
              </w:rPr>
              <w:t xml:space="preserve">Sistema de fijación del precio.</w:t>
            </w:r>
            <w:r>
              <w:rPr>
                <w:rFonts w:ascii="Georgia" w:cs="Georgia" w:eastAsia="Georgia" w:hAnsi="Georgia"/>
                <w:sz w:val="20"/>
                <w:szCs w:val="20"/>
              </w:rPr>
              <w:t xml:space="preserve"> El importe de cada modificación se determinará </w:t>
            </w:r>
            <w:r>
              <w:rPr>
                <w:rFonts w:ascii="Georgia" w:cs="Georgia" w:eastAsia="Georgia" w:hAnsi="Georgia"/>
                <w:b/>
                <w:bCs/>
                <w:sz w:val="20"/>
                <w:szCs w:val="20"/>
              </w:rPr>
              <w:t xml:space="preserve">exclusivamente</w:t>
            </w:r>
            <w:r>
              <w:rPr>
                <w:rFonts w:ascii="Georgia" w:cs="Georgia" w:eastAsia="Georgia" w:hAnsi="Georgia"/>
                <w:sz w:val="20"/>
                <w:szCs w:val="20"/>
              </w:rPr>
              <w:t xml:space="preserve"> mediante la aplicación del Cuadro de Precios Unitarios que el licitador presenta con su oferta conforme al Anexo [ ] de este pliego —precio/hora de cada uno de los perfiles allí relacionados y precio unitario por unidad de despliegue—, multiplicado por las unidades que resulten del informe técnico. No se establecerán precios unitarios distintos de los recogidos en dicho Cuadro, que forma parte del contrato y permanece invariable durante toda su vigencia, sin perjuicio de la revisión de precios que, en su caso, prevea este pliego.</w:t>
            </w:r>
          </w:p>
          <w:p>
            <w:pPr>
              <w:pStyle w:val="ListParagraph"/>
              <w:numPr>
                <w:ilvl w:val="0"/>
                <w:numId w:val="2"/>
              </w:numPr>
              <w:spacing w:after="60" w:line="264"/>
            </w:pPr>
            <w:r>
              <w:rPr>
                <w:rFonts w:ascii="Georgia" w:cs="Georgia" w:eastAsia="Georgia" w:hAnsi="Georgia"/>
                <w:b/>
                <w:bCs/>
                <w:sz w:val="20"/>
                <w:szCs w:val="20"/>
              </w:rPr>
              <w:t xml:space="preserve">Plazo de ejecución.</w:t>
            </w:r>
            <w:r>
              <w:rPr>
                <w:rFonts w:ascii="Georgia" w:cs="Georgia" w:eastAsia="Georgia" w:hAnsi="Georgia"/>
                <w:sz w:val="20"/>
                <w:szCs w:val="20"/>
              </w:rPr>
              <w:t xml:space="preserve"> Acordada la modificación, el adjudicatario dispondrá del plazo que la propia resolución fije, que no será superior a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ni excederá de la fecha de finalización de la vigencia del contrato o de la prórroga en curso.</w:t>
            </w:r>
          </w:p>
          <w:p>
            <w:pPr>
              <w:pStyle w:val="ListParagraph"/>
              <w:numPr>
                <w:ilvl w:val="0"/>
                <w:numId w:val="2"/>
              </w:numPr>
              <w:spacing w:after="60" w:line="264"/>
            </w:pPr>
            <w:r>
              <w:rPr>
                <w:rFonts w:ascii="Georgia" w:cs="Georgia" w:eastAsia="Georgia" w:hAnsi="Georgia"/>
                <w:b/>
                <w:bCs/>
                <w:sz w:val="20"/>
                <w:szCs w:val="20"/>
              </w:rPr>
              <w:t xml:space="preserve">Obligatoriedad.</w:t>
            </w:r>
            <w:r>
              <w:rPr>
                <w:rFonts w:ascii="Georgia" w:cs="Georgia" w:eastAsia="Georgia" w:hAnsi="Georgia"/>
                <w:sz w:val="20"/>
                <w:szCs w:val="20"/>
              </w:rPr>
              <w:t xml:space="preserve"> La modificación acordada conforme a esta cláusula es obligatoria para el contratista, por formar parte del contenido de este pliego, cuya aceptación incondicionada resulta de la presentación de la proposición (artículo 139.1 de la LCSP).</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Propuesta motivada del responsable del contrato; informe técnico que acredite la circunstancia del apartado 3 y cuantifique la prestación conforme al apartado 5; audiencia al contratista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(artículo 191.1 de la LCSP); informe del órgano al que corresponda el informe jurídico preceptivo y fiscalización previa del órgano interventor (disposición adicional tercera de la LCSP); acuerdo del órgano de contratación; formalización conforme al artículo 153 de la LCSP; y publicación en el perfil de contratante conforme a los artículos 63 y 207 de la LCSP.</w:t>
            </w:r>
          </w:p>
          <w:p>
            <w:pPr>
              <w:spacing w:after="100" w:line="264"/>
            </w:pPr>
            <w:r>
              <w:rPr>
                <w:rFonts w:ascii="Georgia" w:cs="Georgia" w:eastAsia="Georgia" w:hAnsi="Georgia"/>
                <w:b/>
                <w:bCs/>
                <w:sz w:val="20"/>
                <w:szCs w:val="20"/>
              </w:rPr>
              <w:t xml:space="preserve">Cláusula complementaria [n+1]. Valor estimado y método de cálculo (artículos 101.2 y 101.5 de la LCSP).</w:t>
            </w:r>
            <w:r>
              <w:rPr>
                <w:rFonts w:ascii="Georgia" w:cs="Georgia" w:eastAsia="Georgia" w:hAnsi="Georgia"/>
                <w:sz w:val="20"/>
                <w:szCs w:val="20"/>
              </w:rPr>
              <w:t xml:space="preserve"> El valor estimado del contrato asciende a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resultado de: presupuesto base de licitación </w:t>
            </w:r>
            <w:r>
              <w:rPr>
                <w:rFonts w:ascii="Georgia" w:cs="Georgia" w:eastAsia="Georgia" w:hAnsi="Georgia"/>
                <w:b/>
                <w:bCs/>
                <w:sz w:val="20"/>
                <w:szCs w:val="20"/>
              </w:rPr>
              <w:t xml:space="preserve">[ ]</w:t>
            </w:r>
            <w:r>
              <w:rPr>
                <w:rFonts w:ascii="Georgia" w:cs="Georgia" w:eastAsia="Georgia" w:hAnsi="Georgia"/>
                <w:sz w:val="20"/>
                <w:szCs w:val="20"/>
              </w:rPr>
              <w:t xml:space="preserve"> euros + prórrogas previstas </w:t>
            </w:r>
            <w:r>
              <w:rPr>
                <w:rFonts w:ascii="Georgia" w:cs="Georgia" w:eastAsia="Georgia" w:hAnsi="Georgia"/>
                <w:b/>
                <w:bCs/>
                <w:sz w:val="20"/>
                <w:szCs w:val="20"/>
              </w:rPr>
              <w:t xml:space="preserve">[ ]</w:t>
            </w:r>
            <w:r>
              <w:rPr>
                <w:rFonts w:ascii="Georgia" w:cs="Georgia" w:eastAsia="Georgia" w:hAnsi="Georgia"/>
                <w:sz w:val="20"/>
                <w:szCs w:val="20"/>
              </w:rPr>
              <w:t xml:space="preserve"> euros + importe máximo de las modificaciones al alza previstas en la cláusula [n] </w:t>
            </w:r>
            <w:r>
              <w:rPr>
                <w:rFonts w:ascii="Georgia" w:cs="Georgia" w:eastAsia="Georgia" w:hAnsi="Georgia"/>
                <w:b/>
                <w:bCs/>
                <w:sz w:val="20"/>
                <w:szCs w:val="20"/>
              </w:rPr>
              <w:t xml:space="preserve">[ ]</w:t>
            </w:r>
            <w:r>
              <w:rPr>
                <w:rFonts w:ascii="Georgia" w:cs="Georgia" w:eastAsia="Georgia" w:hAnsi="Georgia"/>
                <w:sz w:val="20"/>
                <w:szCs w:val="20"/>
              </w:rPr>
              <w:t xml:space="preserve"> euros. A los efectos del artículo 22 de la LCSP el contrato </w:t>
            </w:r>
            <w:r>
              <w:rPr>
                <w:rFonts w:ascii="Georgia" w:cs="Georgia" w:eastAsia="Georgia" w:hAnsi="Georgia"/>
                <w:b/>
                <w:bCs/>
                <w:sz w:val="20"/>
                <w:szCs w:val="20"/>
              </w:rPr>
              <w:t xml:space="preserve">[SÍ / NO]</w:t>
            </w:r>
            <w:r>
              <w:rPr>
                <w:rFonts w:ascii="Georgia" w:cs="Georgia" w:eastAsia="Georgia" w:hAnsi="Georgia"/>
                <w:sz w:val="20"/>
                <w:szCs w:val="20"/>
              </w:rPr>
              <w:t xml:space="preserve"> está sujeto a regulación armonizada, y a los del artículo 44 de la LCSP </w:t>
            </w:r>
            <w:r>
              <w:rPr>
                <w:rFonts w:ascii="Georgia" w:cs="Georgia" w:eastAsia="Georgia" w:hAnsi="Georgia"/>
                <w:b/>
                <w:bCs/>
                <w:sz w:val="20"/>
                <w:szCs w:val="20"/>
              </w:rPr>
              <w:t xml:space="preserve">[SÍ / NO]</w:t>
            </w:r>
            <w:r>
              <w:rPr>
                <w:rFonts w:ascii="Georgia" w:cs="Georgia" w:eastAsia="Georgia" w:hAnsi="Georgia"/>
                <w:sz w:val="20"/>
                <w:szCs w:val="20"/>
              </w:rPr>
              <w:t xml:space="preserve"> es susceptible de recurso especial en materia de contratación.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modificación del contrato, y cuadro-resumen (casilla de modificaciones previstas, con el porcentaje y el importe). </w:t>
      </w:r>
      <w:r>
        <w:rPr>
          <w:rFonts w:ascii="Calibri" w:cs="Calibri" w:eastAsia="Calibri" w:hAnsi="Calibri"/>
          <w:b/>
          <w:bCs/>
          <w:sz w:val="21"/>
          <w:szCs w:val="21"/>
        </w:rPr>
        <w:t xml:space="preserve">Nunca en el PPT</w:t>
      </w:r>
      <w:r>
        <w:rPr>
          <w:rFonts w:ascii="Calibri" w:cs="Calibri" w:eastAsia="Calibri" w:hAnsi="Calibri"/>
          <w:sz w:val="21"/>
          <w:szCs w:val="21"/>
        </w:rPr>
        <w:t xml:space="preserve">: la reproducción de una cláusula de modificación en el pliego técnico carece de efectos (regla de ubicación de la Parte I, §7.1). Si en un expediente ya redactado la previsión de adaptación en doce meses figura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204.1 LCSP, que exige que la modificación prevista se recoja en los pliegos «de forma clara, precisa e inequívoca», con el detalle suficiente para que los licitadores comprendan su alcance exacto, y su letra b), que prohíbe que la modificación «suponga el establecimiento de nuevos precios unitarios no previstos en el contrato». Arts. 101.2.c) y 101.5 LCSP, para el cómputo en el valor estimado y para la obligación de consignar el método de cálculo. Art. 191.1 LCSP, para la audiencia. DA 3.ª LCSP, para el informe jurídico y la fiscalización.</w:t>
      </w:r>
    </w:p>
    <w:p>
      <w:pPr>
        <w:spacing w:after="140" w:line="276"/>
      </w:pPr>
      <w:r>
        <w:rPr>
          <w:rFonts w:ascii="Calibri" w:cs="Calibri" w:eastAsia="Calibri" w:hAnsi="Calibri"/>
          <w:b/>
          <w:bCs/>
          <w:sz w:val="21"/>
          <w:szCs w:val="21"/>
        </w:rPr>
        <w:t xml:space="preserve">Sobre el fundamento de la obligatoriedad (apartado 7).</w:t>
      </w:r>
      <w:r>
        <w:rPr>
          <w:rFonts w:ascii="Calibri" w:cs="Calibri" w:eastAsia="Calibri" w:hAnsi="Calibri"/>
          <w:sz w:val="21"/>
          <w:szCs w:val="21"/>
        </w:rPr>
        <w:t xml:space="preserve"> El art. 206 LCSP regula la obligatoriedad de las modificaciones </w:t>
      </w:r>
      <w:r>
        <w:rPr>
          <w:rFonts w:ascii="Calibri" w:cs="Calibri" w:eastAsia="Calibri" w:hAnsi="Calibri"/>
          <w:b/>
          <w:bCs/>
          <w:sz w:val="21"/>
          <w:szCs w:val="21"/>
        </w:rPr>
        <w:t xml:space="preserve">del art. 205</w:t>
      </w:r>
      <w:r>
        <w:rPr>
          <w:rFonts w:ascii="Calibri" w:cs="Calibri" w:eastAsia="Calibri" w:hAnsi="Calibri"/>
          <w:sz w:val="21"/>
          <w:szCs w:val="21"/>
        </w:rPr>
        <w:t xml:space="preserve"> —las no previstas en el pliego—, con el límite del veinte por ciento del precio inicial del contrato, IVA excluido. No es, por tanto, el precepto del que deriva la obligatoriedad de las modificaciones previstas del art. 204. Ésta deriva del </w:t>
      </w:r>
      <w:r>
        <w:rPr>
          <w:rFonts w:ascii="Calibri" w:cs="Calibri" w:eastAsia="Calibri" w:hAnsi="Calibri"/>
          <w:b/>
          <w:bCs/>
          <w:sz w:val="21"/>
          <w:szCs w:val="21"/>
        </w:rPr>
        <w:t xml:space="preserve">art. 139.1 LCSP</w:t>
      </w:r>
      <w:r>
        <w:rPr>
          <w:rFonts w:ascii="Calibri" w:cs="Calibri" w:eastAsia="Calibri" w:hAnsi="Calibri"/>
          <w:sz w:val="21"/>
          <w:szCs w:val="21"/>
        </w:rPr>
        <w:t xml:space="preserve">: la presentación de proposiciones «supone la aceptación incondicionada por el empresario del contenido de la totalidad de sus cláusulas o condiciones, sin salvedad o reserva alguna», y la modificación prevista es una de esas condiciones, publicada de forma clara, precisa e inequívoca antes de la licitación. Por eso el apartado 7 no configura una aceptación expresa singular, que sería una ficción: se limita a remitir al efecto que la ley ya anuda a la presentación de la oferta.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sobre modificaciones previstas de contenido tecnológico-evolutivo. La cláusula se construye sobre el estándar general de precisión del art. 204.1, que es el que un tribunal aplicará por analogía.</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acuerdo del órgano competente que incorpore un módulo u operación no en producción a la fecha del anuncio, con el acta que acredite que no estaba cubierto por el Anexo; (b) referencia de publicación en el Boletín Oficial del Estado o en el Diario Oficial de la Unión Europea, con identificación del precepto y de su fecha de exigibilidad; (c) informe técnico con la cuantificación por aplicación del Cuadro de Precios Unitarios. No se admite como acreditación el informe que se limite a apreciar conveniencia técnica.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comprobación de los cuatro umbrales (Parte V, 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aprobar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sobre el cumplimiento del art. 204.1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del expediente y de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fiscalización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con la cuantificación por el Cuadro de Precios Unitarios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por expediente en la fase de preparación (cálculo del valor estimado y umbrales). Si llega a tramitarse una modificación, entre 6 y 10 horas por modificación, repartidas entre el responsable del contrato, el informe jurídico y la fiscalización. Ese coste de tramitación es una razón más para no incorporarla por defecto.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obligación del contratista: es una potestad del órgano de contratación. La negativa del contratista a ejecutar una modificación válidamente acordada conforme a esta cláusula constituye incumplimiento contractual, con las penalidades de ADM-5·v3 y, en su caso, la resolución por la vía del art. 211.1.f) LCSP si el pliego así lo ha calificado expresamente.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calificación expresa y motivada en el propio PCAP.</w:t>
      </w:r>
    </w:p>
    <w:p>
      <w:pPr>
        <w:spacing w:after="140" w:line="276"/>
      </w:pPr>
      <w:r>
        <w:rPr>
          <w:rFonts w:ascii="Calibri" w:cs="Calibri" w:eastAsia="Calibri" w:hAnsi="Calibri"/>
          <w:sz w:val="21"/>
          <w:szCs w:val="21"/>
        </w:rPr>
        <w:t xml:space="preserve">Un defecto en la redacción de la cláusula sí produce consecuencias graves para el Ayuntamiento: si no supera el estándar de claridad, precisión e inequivocidad del art. 204.1, la modificación acordada a su amparo es una modificación no prevista, con el régimen y los límites del art. 205 LCSP; y un error en el cálculo del valor estimado es un vicio del expediente que puede arrastrar el procedimiento y la publicidad.</w:t>
      </w:r>
    </w:p>
    <w:p>
      <w:pPr>
        <w:pStyle w:val="Heading3"/>
        <w:keepNext/>
        <w:spacing w:after="140" w:before="320"/>
      </w:pPr>
      <w:r>
        <w:rPr>
          <w:rFonts w:ascii="Georgia" w:cs="Georgia" w:eastAsia="Georgia" w:hAnsi="Georgia"/>
          <w:b/>
          <w:bCs/>
          <w:color w:val="2F5496"/>
          <w:sz w:val="22"/>
          <w:szCs w:val="22"/>
        </w:rPr>
        <w:t xml:space="preserve">7. Cuándo NO se aplica</w:t>
      </w:r>
    </w:p>
    <w:p>
      <w:pPr>
        <w:spacing w:after="140" w:line="276"/>
      </w:pPr>
      <w:r>
        <w:rPr>
          <w:rFonts w:ascii="Calibri" w:cs="Calibri" w:eastAsia="Calibri" w:hAnsi="Calibri"/>
          <w:b/>
          <w:bCs/>
          <w:sz w:val="21"/>
          <w:szCs w:val="21"/>
        </w:rPr>
        <w:t xml:space="preserve">Por defecto, NO se incorpora.</w:t>
      </w:r>
      <w:r>
        <w:rPr>
          <w:rFonts w:ascii="Calibri" w:cs="Calibri" w:eastAsia="Calibri" w:hAnsi="Calibri"/>
          <w:sz w:val="21"/>
          <w:szCs w:val="21"/>
        </w:rPr>
        <w:t xml:space="preserve"> Sólo se valora su incorporación cuando concurran </w:t>
      </w:r>
      <w:r>
        <w:rPr>
          <w:rFonts w:ascii="Calibri" w:cs="Calibri" w:eastAsia="Calibri" w:hAnsi="Calibri"/>
          <w:b/>
          <w:bCs/>
          <w:sz w:val="21"/>
          <w:szCs w:val="21"/>
        </w:rPr>
        <w:t xml:space="preserve">todas</w:t>
      </w:r>
      <w:r>
        <w:rPr>
          <w:rFonts w:ascii="Calibri" w:cs="Calibri" w:eastAsia="Calibri" w:hAnsi="Calibri"/>
          <w:sz w:val="21"/>
          <w:szCs w:val="21"/>
        </w:rPr>
        <w:t xml:space="preserve"> estas circunstancias:</w:t>
      </w:r>
    </w:p>
    <w:p>
      <w:pPr>
        <w:pStyle w:val="ListParagraph"/>
        <w:numPr>
          <w:ilvl w:val="0"/>
          <w:numId w:val="1"/>
        </w:numPr>
        <w:spacing w:after="70" w:line="268"/>
      </w:pPr>
      <w:r>
        <w:rPr>
          <w:rFonts w:ascii="Calibri" w:cs="Calibri" w:eastAsia="Calibri" w:hAnsi="Calibri"/>
          <w:sz w:val="21"/>
          <w:szCs w:val="21"/>
        </w:rPr>
        <w:t xml:space="preserve">valor estimado superior a </w:t>
      </w:r>
      <w:r>
        <w:rPr>
          <w:rFonts w:ascii="Calibri" w:cs="Calibri" w:eastAsia="Calibri" w:hAnsi="Calibri"/>
          <w:b/>
          <w:bCs/>
          <w:sz w:val="21"/>
          <w:szCs w:val="21"/>
        </w:rPr>
        <w:t xml:space="preserve">[X; se recomienda 500.000] euros</w:t>
      </w:r>
      <w:r>
        <w:rPr>
          <w:rFonts w:ascii="Calibri" w:cs="Calibri" w:eastAsia="Calibri" w:hAnsi="Calibri"/>
          <w:sz w:val="21"/>
          <w:szCs w:val="21"/>
        </w:rPr>
        <w:t xml:space="preserve"> o duración total, prórrogas incluidas, superior a cuatro años;</w:t>
      </w:r>
    </w:p>
    <w:p>
      <w:pPr>
        <w:pStyle w:val="ListParagraph"/>
        <w:numPr>
          <w:ilvl w:val="0"/>
          <w:numId w:val="1"/>
        </w:numPr>
        <w:spacing w:after="70" w:line="268"/>
      </w:pPr>
      <w:r>
        <w:rPr>
          <w:rFonts w:ascii="Calibri" w:cs="Calibri" w:eastAsia="Calibri" w:hAnsi="Calibri"/>
          <w:sz w:val="21"/>
          <w:szCs w:val="21"/>
        </w:rPr>
        <w:t xml:space="preserve">que el valor estimado resultante </w:t>
      </w:r>
      <w:r>
        <w:rPr>
          <w:rFonts w:ascii="Calibri" w:cs="Calibri" w:eastAsia="Calibri" w:hAnsi="Calibri"/>
          <w:b/>
          <w:bCs/>
          <w:sz w:val="21"/>
          <w:szCs w:val="21"/>
        </w:rPr>
        <w:t xml:space="preserve">no cruce</w:t>
      </w:r>
      <w:r>
        <w:rPr>
          <w:rFonts w:ascii="Calibri" w:cs="Calibri" w:eastAsia="Calibri" w:hAnsi="Calibri"/>
          <w:sz w:val="21"/>
          <w:szCs w:val="21"/>
        </w:rPr>
        <w:t xml:space="preserve"> ninguno de los cuatro umbrales sin que el expediente lo asuma de forma expresa y motivada;</w:t>
      </w:r>
    </w:p>
    <w:p>
      <w:pPr>
        <w:pStyle w:val="ListParagraph"/>
        <w:numPr>
          <w:ilvl w:val="0"/>
          <w:numId w:val="1"/>
        </w:numPr>
        <w:spacing w:after="70" w:line="268"/>
      </w:pPr>
      <w:r>
        <w:rPr>
          <w:rFonts w:ascii="Calibri" w:cs="Calibri" w:eastAsia="Calibri" w:hAnsi="Calibri"/>
          <w:sz w:val="21"/>
          <w:szCs w:val="21"/>
        </w:rPr>
        <w:t xml:space="preserve">que exista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presentado con la oferta (Anexo X.3), sin el cual el apartado 5 no puede aplicarse;</w:t>
      </w:r>
    </w:p>
    <w:p>
      <w:pPr>
        <w:pStyle w:val="ListParagraph"/>
        <w:numPr>
          <w:ilvl w:val="0"/>
          <w:numId w:val="1"/>
        </w:numPr>
        <w:spacing w:after="70" w:line="268"/>
      </w:pPr>
      <w:r>
        <w:rPr>
          <w:rFonts w:ascii="Calibri" w:cs="Calibri" w:eastAsia="Calibri" w:hAnsi="Calibri"/>
          <w:sz w:val="21"/>
          <w:szCs w:val="21"/>
        </w:rPr>
        <w:t xml:space="preserve">que la necesidad no pueda satisfacerse mediante la bolsa de servicios evolutivos de ADM-3·v3.</w:t>
      </w:r>
    </w:p>
    <w:p>
      <w:pPr>
        <w:spacing w:after="140" w:line="276"/>
      </w:pPr>
      <w:r>
        <w:rPr>
          <w:rFonts w:ascii="Calibri" w:cs="Calibri" w:eastAsia="Calibri" w:hAnsi="Calibri"/>
          <w:sz w:val="21"/>
          <w:szCs w:val="21"/>
        </w:rPr>
        <w:t xml:space="preserve">Nunca se aplica en contratos menores ni en contratos basados en acuerdo marco cuyas condiciones de modificación estén fijadas por el propio acuerdo.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casilla de modificaciones previstas del cuadro-resumen, el sumando correspondiente de la cláusula de valor estimado, la mención de aceptación de la modificación prevista en el Anexo VII y, si no se emplea para otra finalidad, el Anexo X.3.</w:t>
      </w:r>
    </w:p>
    <w:p>
      <w:pPr>
        <w:pStyle w:val="Heading3"/>
        <w:keepNext/>
        <w:spacing w:after="140" w:before="320"/>
      </w:pPr>
      <w:r>
        <w:rPr>
          <w:rFonts w:ascii="Georgia" w:cs="Georgia" w:eastAsia="Georgia" w:hAnsi="Georgia"/>
          <w:b/>
          <w:bCs/>
          <w:color w:val="2F5496"/>
          <w:sz w:val="22"/>
          <w:szCs w:val="22"/>
        </w:rPr>
        <w:t xml:space="preserve">Nota al redactor · Por qué no se incorpora por defecto</w:t>
      </w:r>
    </w:p>
    <w:p>
      <w:pPr>
        <w:spacing w:after="140" w:line="276"/>
      </w:pPr>
      <w:r>
        <w:rPr>
          <w:rFonts w:ascii="Calibri" w:cs="Calibri" w:eastAsia="Calibri" w:hAnsi="Calibri"/>
          <w:sz w:val="21"/>
          <w:szCs w:val="21"/>
        </w:rPr>
        <w:t xml:space="preserve">No porque sea ilegal, sino porque casi nunca compensa: cada euro reservado sube el valor estimado y puede cruzar un umbral que cambia el procedimiento y abre una puerta de recurso que se quería cerrar.</w:t>
      </w:r>
    </w:p>
    <w:p>
      <w:pPr>
        <w:spacing w:after="140" w:line="276"/>
      </w:pPr>
      <w:r>
        <w:rPr>
          <w:rFonts w:ascii="Calibri" w:cs="Calibri" w:eastAsia="Calibri" w:hAnsi="Calibri"/>
          <w:b/>
          <w:bCs/>
          <w:sz w:val="21"/>
          <w:szCs w:val="21"/>
        </w:rPr>
        <w:t xml:space="preserve">La advertencia que hay que leer antes de fijar el porcentaje.</w:t>
      </w:r>
      <w:r>
        <w:rPr>
          <w:rFonts w:ascii="Calibri" w:cs="Calibri" w:eastAsia="Calibri" w:hAnsi="Calibri"/>
          <w:sz w:val="21"/>
          <w:szCs w:val="21"/>
        </w:rPr>
        <w:t xml:space="preserve"> El importe máximo de las modificaciones al alza previstas </w:t>
      </w:r>
      <w:r>
        <w:rPr>
          <w:rFonts w:ascii="Calibri" w:cs="Calibri" w:eastAsia="Calibri" w:hAnsi="Calibri"/>
          <w:b/>
          <w:bCs/>
          <w:sz w:val="21"/>
          <w:szCs w:val="21"/>
        </w:rPr>
        <w:t xml:space="preserve">se computa en el valor estimado</w:t>
      </w:r>
      <w:r>
        <w:rPr>
          <w:rFonts w:ascii="Calibri" w:cs="Calibri" w:eastAsia="Calibri" w:hAnsi="Calibri"/>
          <w:sz w:val="21"/>
          <w:szCs w:val="21"/>
        </w:rPr>
        <w:t xml:space="preserve"> (art. 101.2.c LCSP). Los umbrales que dependen de él son los cuatro de la Parte V, V.4.10; tres de ellos deciden el procedimiento y el recurso:</w:t>
      </w:r>
    </w:p>
    <w:p>
      <w:pPr>
        <w:pStyle w:val="ListParagraph"/>
        <w:numPr>
          <w:ilvl w:val="0"/>
          <w:numId w:val="1"/>
        </w:numPr>
        <w:spacing w:after="70" w:line="268"/>
      </w:pPr>
      <w:r>
        <w:rPr>
          <w:rFonts w:ascii="Calibri" w:cs="Calibri" w:eastAsia="Calibri" w:hAnsi="Calibri"/>
          <w:b/>
          <w:bCs/>
          <w:sz w:val="21"/>
          <w:szCs w:val="21"/>
        </w:rPr>
        <w:t xml:space="preserve">60.000 euros</w:t>
      </w:r>
      <w:r>
        <w:rPr>
          <w:rFonts w:ascii="Calibri" w:cs="Calibri" w:eastAsia="Calibri" w:hAnsi="Calibri"/>
          <w:sz w:val="21"/>
          <w:szCs w:val="21"/>
        </w:rPr>
        <w:t xml:space="preserve"> (servicios y suministros): por debajo cabe el procedimiento abierto simplificado abreviado (art. 159.6 LCSP).</w:t>
      </w:r>
    </w:p>
    <w:p>
      <w:pPr>
        <w:pStyle w:val="ListParagraph"/>
        <w:numPr>
          <w:ilvl w:val="0"/>
          <w:numId w:val="1"/>
        </w:numPr>
        <w:spacing w:after="70" w:line="268"/>
      </w:pPr>
      <w:r>
        <w:rPr>
          <w:rFonts w:ascii="Calibri" w:cs="Calibri" w:eastAsia="Calibri" w:hAnsi="Calibri"/>
          <w:b/>
          <w:bCs/>
          <w:sz w:val="21"/>
          <w:szCs w:val="21"/>
        </w:rPr>
        <w:t xml:space="preserve">100.000 euros</w:t>
      </w:r>
      <w:r>
        <w:rPr>
          <w:rFonts w:ascii="Calibri" w:cs="Calibri" w:eastAsia="Calibri" w:hAnsi="Calibri"/>
          <w:sz w:val="21"/>
          <w:szCs w:val="21"/>
        </w:rPr>
        <w:t xml:space="preserve"> (servicios y suministros): igual o por debajo cabe el abierto simplificado (art. 159.1.a LCSP); por encima, los pliegos son directamente recurribles ante el tribunal administrativo de recursos contractuales competente (art. 44.1.a y 44.2.a LCSP; en el caso de Pozuelo de Alarcón y de cualquier entidad local de la Comunidad de Madrid, el Tribunal Administrativo de Contratación Pública de la Comunidad de Madrid, conforme al art. 3 de la Ley 9/2010 en la redacción de la Ley 5/2016).</w:t>
      </w:r>
    </w:p>
    <w:p>
      <w:pPr>
        <w:pStyle w:val="ListParagraph"/>
        <w:numPr>
          <w:ilvl w:val="0"/>
          <w:numId w:val="1"/>
        </w:numPr>
        <w:spacing w:after="70" w:line="268"/>
      </w:pPr>
      <w:r>
        <w:rPr>
          <w:rFonts w:ascii="Calibri" w:cs="Calibri" w:eastAsia="Calibri" w:hAnsi="Calibri"/>
          <w:b/>
          <w:bCs/>
          <w:sz w:val="21"/>
          <w:szCs w:val="21"/>
        </w:rPr>
        <w:t xml:space="preserve">216.000 euros</w:t>
      </w:r>
      <w:r>
        <w:rPr>
          <w:rFonts w:ascii="Calibri" w:cs="Calibri" w:eastAsia="Calibri" w:hAnsi="Calibri"/>
          <w:sz w:val="21"/>
          <w:szCs w:val="21"/>
        </w:rPr>
        <w:t xml:space="preserve">: umbral de contratos sujetos a regulación armonizada en servicios y suministros para entidades distintas de la Administración General del Estado, vigente para 2026-2027. </w:t>
      </w:r>
      <w:r>
        <w:rPr>
          <w:rFonts w:ascii="Calibri" w:cs="Calibri" w:eastAsia="Calibri" w:hAnsi="Calibri"/>
          <w:b/>
          <w:bCs/>
          <w:sz w:val="21"/>
          <w:szCs w:val="21"/>
        </w:rPr>
        <w:t xml:space="preserve">Verificar su vigencia en cada expediente</w:t>
      </w:r>
      <w:r>
        <w:rPr>
          <w:rFonts w:ascii="Calibri" w:cs="Calibri" w:eastAsia="Calibri" w:hAnsi="Calibri"/>
          <w:sz w:val="21"/>
          <w:szCs w:val="21"/>
        </w:rPr>
        <w:t xml:space="preserve">: caduca el 31 de diciembre de 2027 y se revisa por reglamento delegado de la Unión.</w:t>
      </w:r>
    </w:p>
    <w:p>
      <w:pPr>
        <w:spacing w:after="140" w:line="276"/>
      </w:pPr>
      <w:r>
        <w:rPr>
          <w:rFonts w:ascii="Calibri" w:cs="Calibri" w:eastAsia="Calibri" w:hAnsi="Calibri"/>
          <w:sz w:val="21"/>
          <w:szCs w:val="21"/>
        </w:rPr>
        <w:t xml:space="preserve">El cuarto es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con él, si este catálogo puede aplicarse.</w:t>
      </w:r>
    </w:p>
    <w:p>
      <w:pPr>
        <w:spacing w:after="140" w:line="276"/>
      </w:pPr>
      <w:r>
        <w:rPr>
          <w:rFonts w:ascii="Calibri" w:cs="Calibri" w:eastAsia="Calibri" w:hAnsi="Calibri"/>
          <w:b/>
          <w:bCs/>
          <w:sz w:val="21"/>
          <w:szCs w:val="21"/>
        </w:rPr>
        <w:t xml:space="preserve">Ejemplo trabajado.</w:t>
      </w:r>
      <w:r>
        <w:rPr>
          <w:rFonts w:ascii="Calibri" w:cs="Calibri" w:eastAsia="Calibri" w:hAnsi="Calibri"/>
          <w:sz w:val="21"/>
          <w:szCs w:val="21"/>
        </w:rPr>
        <w:t xml:space="preserve"> Presupuesto base de licitación de 60.000 euros a dos años; una prórroga de un año por 30.000 euros: valor estimado 90.000 euros, y cabe el abierto simplificado. Añadida una reserva del 20 por ciento sobre el presupuesto base (12.000 euros), el valor estimado pasa a 102.000 euros: </w:t>
      </w:r>
      <w:r>
        <w:rPr>
          <w:rFonts w:ascii="Calibri" w:cs="Calibri" w:eastAsia="Calibri" w:hAnsi="Calibri"/>
          <w:b/>
          <w:bCs/>
          <w:sz w:val="21"/>
          <w:szCs w:val="21"/>
        </w:rPr>
        <w:t xml:space="preserve">se pierde el procedimiento simplificado y se gana un recurso especial contra el pliego</w:t>
      </w:r>
      <w:r>
        <w:rPr>
          <w:rFonts w:ascii="Calibri" w:cs="Calibri" w:eastAsia="Calibri" w:hAnsi="Calibri"/>
          <w:sz w:val="21"/>
          <w:szCs w:val="21"/>
        </w:rPr>
        <w:t xml:space="preserve">. Doce mil euros de reserva rara vez compensan eso.</w:t>
      </w:r>
    </w:p>
    <w:p>
      <w:pPr>
        <w:spacing w:after="140" w:line="276"/>
      </w:pPr>
      <w:r>
        <w:rPr>
          <w:rFonts w:ascii="Calibri" w:cs="Calibri" w:eastAsia="Calibri" w:hAnsi="Calibri"/>
          <w:b/>
          <w:bCs/>
          <w:sz w:val="21"/>
          <w:szCs w:val="21"/>
        </w:rPr>
        <w:t xml:space="preserve">Y una segunda advertencia, que suele pasarse por alto.</w:t>
      </w:r>
      <w:r>
        <w:rPr>
          <w:rFonts w:ascii="Calibri" w:cs="Calibri" w:eastAsia="Calibri" w:hAnsi="Calibri"/>
          <w:sz w:val="21"/>
          <w:szCs w:val="21"/>
        </w:rPr>
        <w:t xml:space="preserve"> Para el valor estimado, el porcentaje se calcula </w:t>
      </w:r>
      <w:r>
        <w:rPr>
          <w:rFonts w:ascii="Calibri" w:cs="Calibri" w:eastAsia="Calibri" w:hAnsi="Calibri"/>
          <w:b/>
          <w:bCs/>
          <w:sz w:val="21"/>
          <w:szCs w:val="21"/>
        </w:rPr>
        <w:t xml:space="preserve">sobre el presupuesto base de licitación</w:t>
      </w:r>
      <w:r>
        <w:rPr>
          <w:rFonts w:ascii="Calibri" w:cs="Calibri" w:eastAsia="Calibri" w:hAnsi="Calibri"/>
          <w:sz w:val="21"/>
          <w:szCs w:val="21"/>
        </w:rPr>
        <w:t xml:space="preserve">; en ejecución, </w:t>
      </w:r>
      <w:r>
        <w:rPr>
          <w:rFonts w:ascii="Calibri" w:cs="Calibri" w:eastAsia="Calibri" w:hAnsi="Calibri"/>
          <w:b/>
          <w:bCs/>
          <w:sz w:val="21"/>
          <w:szCs w:val="21"/>
        </w:rPr>
        <w:t xml:space="preserve">sobre el precio de adjudicación</w:t>
      </w:r>
      <w:r>
        <w:rPr>
          <w:rFonts w:ascii="Calibri" w:cs="Calibri" w:eastAsia="Calibri" w:hAnsi="Calibri"/>
          <w:sz w:val="21"/>
          <w:szCs w:val="21"/>
        </w:rPr>
        <w:t xml:space="preserve">. Con una baja del 15 por ciento, la reserva real disponible es un 15 por ciento menor de la que figura en el expediente.</w:t>
      </w:r>
    </w:p>
    <w:p>
      <w:pPr>
        <w:spacing w:after="140" w:line="276"/>
      </w:pPr>
      <w:r>
        <w:rPr>
          <w:rFonts w:ascii="Calibri" w:cs="Calibri" w:eastAsia="Calibri" w:hAnsi="Calibri"/>
          <w:b/>
          <w:bCs/>
          <w:sz w:val="21"/>
          <w:szCs w:val="21"/>
        </w:rPr>
        <w:t xml:space="preserve">La alternativa preferente</w:t>
      </w:r>
      <w:r>
        <w:rPr>
          <w:rFonts w:ascii="Calibri" w:cs="Calibri" w:eastAsia="Calibri" w:hAnsi="Calibri"/>
          <w:sz w:val="21"/>
          <w:szCs w:val="21"/>
        </w:rPr>
        <w:t xml:space="preserve"> es la bolsa de servicios evolutivos de ADM-3·v3, que vive dentro del objeto y del precio contratados y que sí tiene norma: el art. 308.3 LCSP permite que, en los contratos de servicios que impliquen el desarrollo o mantenimiento de aplicaciones informáticas, el objeto se defina por componentes de prestación con precio por unidades de actividad. Las dos cautelas que acompañan siempre a esa alternativa —el cómputo de la bolsa en el valor estimado y la prohibición de redactarla como horas dirigidas por el Ayuntamiento (art. 308.2 LCSP)— están donde corresponde: en </w:t>
      </w:r>
      <w:r>
        <w:rPr>
          <w:rFonts w:ascii="Calibri" w:cs="Calibri" w:eastAsia="Calibri" w:hAnsi="Calibri"/>
          <w:b/>
          <w:bCs/>
          <w:sz w:val="21"/>
          <w:szCs w:val="21"/>
        </w:rPr>
        <w:t xml:space="preserve">ADM-3·v3</w:t>
      </w:r>
      <w:r>
        <w:rPr>
          <w:rFonts w:ascii="Calibri" w:cs="Calibri" w:eastAsia="Calibri" w:hAnsi="Calibri"/>
          <w:sz w:val="21"/>
          <w:szCs w:val="21"/>
        </w:rPr>
        <w:t xml:space="preserve"> y en la memoria justificativa, §M6.5. No se reproducen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Cuadro de cierre de la Parte III (segunda mitad)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Esencial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Carga anual estimada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construcción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 por expediente, sin carga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siempre que haya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la entrega íntegra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 + 4-6 h en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contratos de servicios con desarrollo específico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(no reparte 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19-24 h por expediente con 5 licitadores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VE &gt; [200.000]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hitos aprobados con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6-8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contrato incorpora 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salvo cuatro criterios acumulativos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opera el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el nivel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trata información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Potestad del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 por expediente; 6-10 h por modificación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r>
    </w:tbl>
    <w:p>
      <w:pPr>
        <w:spacing w:after="200"/>
      </w:pPr>
    </w:p>
    <w:p>
      <w:pPr>
        <w:spacing w:after="140" w:line="276"/>
      </w:pPr>
      <w:r>
        <w:rPr>
          <w:rFonts w:ascii="Calibri" w:cs="Calibri" w:eastAsia="Calibri" w:hAnsi="Calibri"/>
          <w:sz w:val="21"/>
          <w:szCs w:val="21"/>
        </w:rPr>
        <w:t xml:space="preserve">Las cifras de carga de esta columna son las que la tabla única de ADM-4·v3, epígrafe 5, agrega para todo el catálogo; si divergen, prevalece aquélla.</w:t>
      </w:r>
    </w:p>
    <w:p>
      <w:pPr>
        <w:spacing w:after="140" w:line="276"/>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Enunciada en la Parte I, §7.9, y cuantificada en ADM-4·v3, epígrafe 5. Ninguna de estas cláusulas se incorpora a un pliego sin que la ficha del Anexo II identifique al actor municipal que la verificará, la periodicidad y el documento con que lo hará.</w:t>
      </w:r>
    </w:p>
    <w:p>
      <w:pPr>
        <w:spacing w:after="140" w:line="276"/>
      </w:pPr>
      <w:r>
        <w:rPr>
          <w:rFonts w:ascii="Calibri" w:cs="Calibri" w:eastAsia="Calibri" w:hAnsi="Calibri"/>
          <w:b/>
          <w:bCs/>
          <w:sz w:val="21"/>
          <w:szCs w:val="21"/>
        </w:rPr>
        <w:t xml:space="preserve">Lo que no se promete.</w:t>
      </w:r>
      <w:r>
        <w:rPr>
          <w:rFonts w:ascii="Calibri" w:cs="Calibri" w:eastAsia="Calibri" w:hAnsi="Calibri"/>
          <w:sz w:val="21"/>
          <w:szCs w:val="21"/>
        </w:rPr>
        <w:t xml:space="preserve"> Tratamiento completo en la Parte 0, §0.3, y en la memoria justificativa, §M8. En síntesis: no se garantiza que un tribunal no pueda anular nada; lo que sí está diseñado es que cada exigencia tenga necesidad identificada, instrumento correcto, medio de acreditación tasado, forma de verificación con actor y periodicidad, y consecuencia tasada; y que la caída de una pieza no arrastre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IV · MEMORIA JUSTIFICATIVA DEL CATÁLOGO</w:t>
      </w:r>
    </w:p>
    <w:p>
      <w:pPr>
        <w:spacing w:after="140" w:line="276"/>
      </w:pPr>
      <w:r>
        <w:rPr>
          <w:rFonts w:ascii="Calibri" w:cs="Calibri" w:eastAsia="Calibri" w:hAnsi="Calibri"/>
          <w:i/>
          <w:iCs/>
          <w:sz w:val="21"/>
          <w:szCs w:val="21"/>
        </w:rPr>
        <w:t xml:space="preserve">Destinatarios: el órgano al que corresponda el informe jurídico preceptivo (Asesoría Jurídica en municipios de gran población; Secretaría en el régimen común) y la Intervención General. Fecha de corte de la información normativa y doctrinal empleada: 1 de septiembre de 2026.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IV.0 · Advertencia preliminar: esta memoria no sustituye a la memoria justificativa de ningún expediente</w:t>
      </w:r>
    </w:p>
    <w:p>
      <w:pPr>
        <w:spacing w:after="140" w:line="276"/>
      </w:pPr>
      <w:r>
        <w:rPr>
          <w:rFonts w:ascii="Calibri" w:cs="Calibri" w:eastAsia="Calibri" w:hAnsi="Calibri"/>
          <w:b/>
          <w:bCs/>
          <w:sz w:val="21"/>
          <w:szCs w:val="21"/>
        </w:rPr>
        <w:t xml:space="preserve">Esta memoria justifica la existencia del catálogo. No justifica ninguna contratación concreta y no puede invocarse como justificación de ninguna.</w:t>
      </w:r>
      <w:r>
        <w:rPr>
          <w:rFonts w:ascii="Calibri" w:cs="Calibri" w:eastAsia="Calibri" w:hAnsi="Calibri"/>
          <w:sz w:val="21"/>
          <w:szCs w:val="21"/>
        </w:rPr>
        <w:t xml:space="preserve"> Cada expediente que incorpore una sola cláusula de este documento necesita su propia memoria justificativa, con su propia necesidad, su propia relación con su propio objeto y su propia proporcionalidad. La remisión a esta Parte IV desde la memoria de un expediente no es motivación: es justificación estereotipada, y produce el mismo vicio que produciría la ausencia total de memoria.</w:t>
      </w:r>
    </w:p>
    <w:p>
      <w:pPr>
        <w:spacing w:after="140" w:line="276"/>
      </w:pPr>
      <w:r>
        <w:rPr>
          <w:rFonts w:ascii="Calibri" w:cs="Calibri" w:eastAsia="Calibri" w:hAnsi="Calibri"/>
          <w:sz w:val="21"/>
          <w:szCs w:val="21"/>
        </w:rPr>
        <w:t xml:space="preserve">El motivo no es de estilo. Es la doctrina del tribunal que resolvería un recurso contra un pliego de un ayuntamiento de la Comunidad de Madrid, sobre el supuesto exacto de la cláusula de seguridad de este catálogo, y contra un ayuntamiento de la Comunidad de Madrid:</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de Contratación Pública de la Comunidad de Madrid, 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Ayuntamiento de Parla (sistema de gestión de zona de bajas emisiones). </w:t>
      </w:r>
      <w:r>
        <w:rPr>
          <w:rFonts w:ascii="Georgia" w:cs="Georgia" w:eastAsia="Georgia" w:hAnsi="Georgia"/>
          <w:b/>
          <w:bCs/>
          <w:i/>
          <w:iCs/>
          <w:color w:val="595959"/>
          <w:sz w:val="20"/>
          <w:szCs w:val="20"/>
        </w:rPr>
        <w:t xml:space="preserve">Recurso estimado; la anulación de los pliegos consta en el Fundamento de Derecho Quinto, porque el ACUERDA se limita a estimar el recurso.</w:t>
      </w:r>
      <w:r>
        <w:rPr>
          <w:rFonts w:ascii="Georgia" w:cs="Georgia" w:eastAsia="Georgia" w:hAnsi="Georgia"/>
          <w:i/>
          <w:iCs/>
          <w:color w:val="595959"/>
          <w:sz w:val="20"/>
          <w:szCs w:val="20"/>
        </w:rPr>
        <w:t xml:space="preserve"> Enlace: &lt;https://www.comunidad.madrid/tacp/sites/default/files/resolucion_383-2024_expediente_383-2024.pdf&gt;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Tres consecuencias, y las tres gobiernan todo lo que sigue.</w:t>
      </w:r>
    </w:p>
    <w:p>
      <w:pPr>
        <w:spacing w:after="140" w:line="276"/>
      </w:pPr>
      <w:r>
        <w:rPr>
          <w:rFonts w:ascii="Calibri" w:cs="Calibri" w:eastAsia="Calibri" w:hAnsi="Calibri"/>
          <w:b/>
          <w:bCs/>
          <w:sz w:val="21"/>
          <w:szCs w:val="21"/>
        </w:rPr>
        <w:t xml:space="preserve">Primera: el tribunal mira el expediente, no el modelo.</w:t>
      </w:r>
      <w:r>
        <w:rPr>
          <w:rFonts w:ascii="Calibri" w:cs="Calibri" w:eastAsia="Calibri" w:hAnsi="Calibri"/>
          <w:sz w:val="21"/>
          <w:szCs w:val="21"/>
        </w:rPr>
        <w:t xml:space="preserve"> El Ayuntamiento de Parla no perdió porque su exigencia fuera ilegal en abstracto —exigir conformidad con el Esquema Nacional de Seguridad no lo es—, sino porque la memoria del expediente no decía por qué la exigía en ese contrato. Un catálogo con sus veinticinco anexos y su memoria general no ocupa el lugar de un párrafo escrito en la memoria del expediente concreto.</w:t>
      </w:r>
    </w:p>
    <w:p>
      <w:pPr>
        <w:spacing w:after="140" w:line="276"/>
      </w:pPr>
      <w:r>
        <w:rPr>
          <w:rFonts w:ascii="Calibri" w:cs="Calibri" w:eastAsia="Calibri" w:hAnsi="Calibri"/>
          <w:b/>
          <w:bCs/>
          <w:sz w:val="21"/>
          <w:szCs w:val="21"/>
        </w:rPr>
        <w:t xml:space="preserve">Segunda: no hay segunda oportunidad.</w:t>
      </w:r>
      <w:r>
        <w:rPr>
          <w:rFonts w:ascii="Calibri" w:cs="Calibri" w:eastAsia="Calibri" w:hAnsi="Calibri"/>
          <w:sz w:val="21"/>
          <w:szCs w:val="21"/>
        </w:rPr>
        <w:t xml:space="preserve"> La justificación no se completa cuando llega el recurso. El plazo para interponerlo contra los pliegos es de quince días hábiles (art. 44.2.a LCSP) y el órgano de contratación remite el expediente con su informe en un plazo tasado en días hábiles. Lo que en ese momento no esté en el expediente, no existe. Añadirlo en el informe al Tribunal es exactamente lo que la Resolución 383/2024 declara inadmisible.</w:t>
      </w:r>
    </w:p>
    <w:p>
      <w:pPr>
        <w:spacing w:after="140" w:line="276"/>
      </w:pPr>
      <w:r>
        <w:rPr>
          <w:rFonts w:ascii="Calibri" w:cs="Calibri" w:eastAsia="Calibri" w:hAnsi="Calibri"/>
          <w:b/>
          <w:bCs/>
          <w:sz w:val="21"/>
          <w:szCs w:val="21"/>
        </w:rPr>
        <w:t xml:space="preserve">Tercera: la memoria del expediente es documento público desde el primer día.</w:t>
      </w:r>
      <w:r>
        <w:rPr>
          <w:rFonts w:ascii="Calibri" w:cs="Calibri" w:eastAsia="Calibri" w:hAnsi="Calibri"/>
          <w:sz w:val="21"/>
          <w:szCs w:val="21"/>
        </w:rPr>
        <w:t xml:space="preserve"> El art. 116.1 LCSP ordena publicar la motivación de la necesidad en el perfil de contratante, y el art. 63.3.a) LCSP incluye entre lo publicable la memoria justificativa, el informe de insuficiencia de medios y los pliegos. La Ficha de Aplicabilidad (Anexo II) y el Informe de Necesidad (Anexo III) no son papel interno de trabajo: los lee el recurrente antes que nadie. Se redactan sabiéndolo.</w:t>
      </w:r>
    </w:p>
    <w:p>
      <w:pPr>
        <w:spacing w:after="140" w:line="276"/>
      </w:pPr>
      <w:r>
        <w:rPr>
          <w:rFonts w:ascii="Calibri" w:cs="Calibri" w:eastAsia="Calibri" w:hAnsi="Calibri"/>
          <w:b/>
          <w:bCs/>
          <w:sz w:val="21"/>
          <w:szCs w:val="21"/>
        </w:rPr>
        <w:t xml:space="preserve">Regla de uso de esta Parte IV.</w:t>
      </w:r>
      <w:r>
        <w:rPr>
          <w:rFonts w:ascii="Calibri" w:cs="Calibri" w:eastAsia="Calibri" w:hAnsi="Calibri"/>
          <w:sz w:val="21"/>
          <w:szCs w:val="21"/>
        </w:rPr>
        <w:t xml:space="preserve"> Sirve para tres cosas y sólo para tres: (a) acreditar ante los órganos de control que el catálogo, como instrumento, tiene fundamento, proporcionalidad, coste dimensionado y salvaguardas de concurrencia; (b) dar al redactor de cada expediente el material de partida —preceptos, salvaguardas, umbrales, valores por defecto— con el que escribir su propia memoria; y (c) dejar constancia por escrito, antes de que lo haga nadie más, de lo que este catálogo todavía no acredita (§M11).</w:t>
      </w:r>
    </w:p>
    <w:p>
      <w:pPr>
        <w:spacing w:after="140" w:line="276"/>
      </w:pPr>
      <w:r>
        <w:rPr>
          <w:rFonts w:ascii="Calibri" w:cs="Calibri" w:eastAsia="Calibri" w:hAnsi="Calibri"/>
          <w:b/>
          <w:bCs/>
          <w:sz w:val="21"/>
          <w:szCs w:val="21"/>
        </w:rPr>
        <w:t xml:space="preserve">Lo que este documento promete y lo que no.</w:t>
      </w:r>
      <w:r>
        <w:rPr>
          <w:rFonts w:ascii="Calibri" w:cs="Calibri" w:eastAsia="Calibri" w:hAnsi="Calibri"/>
          <w:sz w:val="21"/>
          <w:szCs w:val="21"/>
        </w:rPr>
        <w:t xml:space="preserve"> No se promete que ningún tribunal pueda anular un pliego que incorpore estas cláusulas. Nadie puede prometer eso, y hacerlo ante un órgano de control destruiría la credibilidad del resto. Lo que sí se ha diseñado, y es verificable leyendo las Partes II y III, es que </w:t>
      </w:r>
      <w:r>
        <w:rPr>
          <w:rFonts w:ascii="Calibri" w:cs="Calibri" w:eastAsia="Calibri" w:hAnsi="Calibri"/>
          <w:b/>
          <w:bCs/>
          <w:sz w:val="21"/>
          <w:szCs w:val="21"/>
        </w:rPr>
        <w:t xml:space="preserve">cada exigencia tenga necesidad identificada, instrumento correcto, medio de acreditación tasado, forma de verificación con actor y periodicidad, y consecuencia tipificada; y que la caída de una pieza no arrastre las demás, salvo las relaciones de presupuesto necesario identificadas en la tabla de dependencias del Anexo VI</w:t>
      </w:r>
      <w:r>
        <w:rPr>
          <w:rFonts w:ascii="Calibri" w:cs="Calibri" w:eastAsia="Calibri" w:hAnsi="Calibri"/>
          <w:sz w:val="21"/>
          <w:szCs w:val="21"/>
        </w:rPr>
        <w:t xml:space="preserve">. El estado de la doctrina y el alcance exacto de esta renuncia se desarrollan en el §M8.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 · Necesidad e idoneidad (arts. 28.1 y 116.4 LCSP)</w:t>
      </w:r>
    </w:p>
    <w:p>
      <w:pPr>
        <w:pStyle w:val="Heading3"/>
        <w:keepNext/>
        <w:spacing w:after="140" w:before="320"/>
      </w:pPr>
      <w:r>
        <w:rPr>
          <w:rFonts w:ascii="Georgia" w:cs="Georgia" w:eastAsia="Georgia" w:hAnsi="Georgia"/>
          <w:b/>
          <w:bCs/>
          <w:color w:val="2F5496"/>
          <w:sz w:val="22"/>
          <w:szCs w:val="22"/>
        </w:rPr>
        <w:t xml:space="preserve">M1.1 · El problema real, dicho sin rodeos</w:t>
      </w:r>
    </w:p>
    <w:p>
      <w:pPr>
        <w:spacing w:after="140" w:line="276"/>
      </w:pPr>
      <w:r>
        <w:rPr>
          <w:rFonts w:ascii="Calibri" w:cs="Calibri" w:eastAsia="Calibri" w:hAnsi="Calibri"/>
          <w:sz w:val="21"/>
          <w:szCs w:val="21"/>
        </w:rPr>
        <w:t xml:space="preserve">La objeción más seria que ha recibido este catálogo no viene de un licitador. Viene de dentro. En el comentario que el área de contratación municipal incorporó al final del clausulado de junio de 2026 se escribió:</w:t>
      </w:r>
    </w:p>
    <w:p>
      <w:pPr>
        <w:pBdr>
          <w:left w:val="single" w:color="BFBFBF" w:sz="12" w:space="8"/>
        </w:pBdr>
        <w:spacing w:after="140" w:line="264"/>
        <w:ind w:left="400"/>
      </w:pPr>
      <w:r>
        <w:rPr>
          <w:rFonts w:ascii="Georgia" w:cs="Georgia" w:eastAsia="Georgia" w:hAnsi="Georgia"/>
          <w:i/>
          <w:iCs/>
          <w:color w:val="595959"/>
          <w:sz w:val="20"/>
          <w:szCs w:val="20"/>
        </w:rPr>
        <w:t xml:space="preserve">«La mayor de las pegas que veo para poder aplicar estas cláusulas es que nacen a partir de unas necesidades que no se demandan por ninguno de los gestores y si no es así no dejan de ser algo artificioso al contrato. Primero siempre surge la necesidad y las cláusulas del contrato es la forma de obligar al contratista para que satisfaga esa necesidad.»</w:t>
      </w:r>
    </w:p>
    <w:p>
      <w:pPr>
        <w:spacing w:after="140" w:line="276"/>
      </w:pPr>
      <w:r>
        <w:rPr>
          <w:rFonts w:ascii="Calibri" w:cs="Calibri" w:eastAsia="Calibri" w:hAnsi="Calibri"/>
          <w:sz w:val="21"/>
          <w:szCs w:val="21"/>
        </w:rPr>
        <w:t xml:space="preserve">Esa objeción no es de oportunidad: es, traducida al lenguaje de la ley, una objeción de art. 116.4.e) LCSP, que exige que la relación entre la necesidad y el objeto del contrato sea </w:t>
      </w:r>
      <w:r>
        <w:rPr>
          <w:rFonts w:ascii="Calibri" w:cs="Calibri" w:eastAsia="Calibri" w:hAnsi="Calibri"/>
          <w:i/>
          <w:iCs/>
          <w:sz w:val="21"/>
          <w:szCs w:val="21"/>
        </w:rPr>
        <w:t xml:space="preserve">«directa, clara y proporcional»</w:t>
      </w:r>
      <w:r>
        <w:rPr>
          <w:rFonts w:ascii="Calibri" w:cs="Calibri" w:eastAsia="Calibri" w:hAnsi="Calibri"/>
          <w:sz w:val="21"/>
          <w:szCs w:val="21"/>
        </w:rPr>
        <w:t xml:space="preserve">. Es también, exactamente, el motivo por el que un recurrente pediría la anulación de un pliego. Por eso se responde aquí, y se responde con instrumentos, no con retórica.</w:t>
      </w:r>
    </w:p>
    <w:p>
      <w:pPr>
        <w:spacing w:after="140" w:line="276"/>
      </w:pPr>
      <w:r>
        <w:rPr>
          <w:rFonts w:ascii="Calibri" w:cs="Calibri" w:eastAsia="Calibri" w:hAnsi="Calibri"/>
          <w:sz w:val="21"/>
          <w:szCs w:val="21"/>
        </w:rPr>
        <w:t xml:space="preserve">Ese texto </w:t>
      </w:r>
      <w:r>
        <w:rPr>
          <w:rFonts w:ascii="Calibri" w:cs="Calibri" w:eastAsia="Calibri" w:hAnsi="Calibri"/>
          <w:b/>
          <w:bCs/>
          <w:sz w:val="21"/>
          <w:szCs w:val="21"/>
        </w:rPr>
        <w:t xml:space="preserve">no es un informe</w:t>
      </w:r>
      <w:r>
        <w:rPr>
          <w:rFonts w:ascii="Calibri" w:cs="Calibri" w:eastAsia="Calibri" w:hAnsi="Calibri"/>
          <w:sz w:val="21"/>
          <w:szCs w:val="21"/>
        </w:rPr>
        <w:t xml:space="preserve">. Es un comentario incorporado al final de un documento de trabajo, y así se cita en todo el catálogo: entero, con su naturaleza expresada y con la parte que juega en contra, en el </w:t>
      </w:r>
      <w:r>
        <w:rPr>
          <w:rFonts w:ascii="Calibri" w:cs="Calibri" w:eastAsia="Calibri" w:hAnsi="Calibri"/>
          <w:b/>
          <w:bCs/>
          <w:sz w:val="21"/>
          <w:szCs w:val="21"/>
        </w:rPr>
        <w:t xml:space="preserve">§M1.5</w:t>
      </w:r>
      <w:r>
        <w:rPr>
          <w:rFonts w:ascii="Calibri" w:cs="Calibri" w:eastAsia="Calibri" w:hAnsi="Calibri"/>
          <w:sz w:val="21"/>
          <w:szCs w:val="21"/>
        </w:rPr>
        <w:t xml:space="preserve">, que es la única sede de su cita completa. Las demás partes remiten a ella.</w:t>
      </w:r>
    </w:p>
    <w:p>
      <w:pPr>
        <w:pStyle w:val="Heading3"/>
        <w:keepNext/>
        <w:spacing w:after="140" w:before="320"/>
      </w:pPr>
      <w:r>
        <w:rPr>
          <w:rFonts w:ascii="Georgia" w:cs="Georgia" w:eastAsia="Georgia" w:hAnsi="Georgia"/>
          <w:b/>
          <w:bCs/>
          <w:color w:val="2F5496"/>
          <w:sz w:val="22"/>
          <w:szCs w:val="22"/>
        </w:rPr>
        <w:t xml:space="preserve">M1.2 · La necesidad tiene tres orígenes posibles, y sólo uno es el gestor</w:t>
      </w:r>
    </w:p>
    <w:p>
      <w:pPr>
        <w:spacing w:after="140" w:line="276"/>
      </w:pPr>
      <w:r>
        <w:rPr>
          <w:rFonts w:ascii="Calibri" w:cs="Calibri" w:eastAsia="Calibri" w:hAnsi="Calibri"/>
          <w:sz w:val="21"/>
          <w:szCs w:val="21"/>
        </w:rPr>
        <w:t xml:space="preserve">La premisa «primero surge la necesidad [del gestor] y luego la cláusula» es correcta como regla general y </w:t>
      </w:r>
      <w:r>
        <w:rPr>
          <w:rFonts w:ascii="Calibri" w:cs="Calibri" w:eastAsia="Calibri" w:hAnsi="Calibri"/>
          <w:b/>
          <w:bCs/>
          <w:sz w:val="21"/>
          <w:szCs w:val="21"/>
        </w:rPr>
        <w:t xml:space="preserve">está desmentida por el ordenamiento vigente en una parte del catálogo</w:t>
      </w:r>
      <w:r>
        <w:rPr>
          <w:rFonts w:ascii="Calibri" w:cs="Calibri" w:eastAsia="Calibri" w:hAnsi="Calibri"/>
          <w:sz w:val="21"/>
          <w:szCs w:val="21"/>
        </w:rPr>
        <w:t xml:space="preserve">. Hay tres orígenes legítimos de necesidad, y el catálogo obliga a identificar cuál opera en cada cláusula y en cada expediente:</w:t>
      </w:r>
    </w:p>
    <w:p>
      <w:pPr>
        <w:spacing w:after="140" w:line="276"/>
      </w:pPr>
      <w:r>
        <w:rPr>
          <w:rFonts w:ascii="Calibri" w:cs="Calibri" w:eastAsia="Calibri" w:hAnsi="Calibri"/>
          <w:b/>
          <w:bCs/>
          <w:sz w:val="21"/>
          <w:szCs w:val="21"/>
        </w:rPr>
        <w:t xml:space="preserve">(a) Necesidad impuesta por una norma al Ayuntamiento en su conjunto.</w:t>
      </w:r>
      <w:r>
        <w:rPr>
          <w:rFonts w:ascii="Calibri" w:cs="Calibri" w:eastAsia="Calibri" w:hAnsi="Calibri"/>
          <w:sz w:val="21"/>
          <w:szCs w:val="21"/>
        </w:rPr>
        <w:t xml:space="preserve"> Ningún gestor la pedirá, porque no nace de su servicio. Ejemplos verificados en fuente:</w:t>
      </w:r>
    </w:p>
    <w:p>
      <w:pPr>
        <w:pStyle w:val="ListParagraph"/>
        <w:numPr>
          <w:ilvl w:val="0"/>
          <w:numId w:val="1"/>
        </w:numPr>
        <w:spacing w:after="70" w:line="268"/>
      </w:pPr>
      <w:r>
        <w:rPr>
          <w:rFonts w:ascii="Calibri" w:cs="Calibri" w:eastAsia="Calibri" w:hAnsi="Calibri"/>
          <w:b/>
          <w:bCs/>
          <w:sz w:val="21"/>
          <w:szCs w:val="21"/>
        </w:rPr>
        <w:t xml:space="preserve">Esquema Nacional de Seguridad.</w:t>
      </w:r>
      <w:r>
        <w:rPr>
          <w:rFonts w:ascii="Calibri" w:cs="Calibri" w:eastAsia="Calibri" w:hAnsi="Calibri"/>
          <w:sz w:val="21"/>
          <w:szCs w:val="21"/>
        </w:rPr>
        <w:t xml:space="preserve"> El art. 2.3, párrafos tercero y cuarto, del RD 311/2022 dice literalmente que los pliegos </w:t>
      </w:r>
      <w:r>
        <w:rPr>
          <w:rFonts w:ascii="Calibri" w:cs="Calibri" w:eastAsia="Calibri" w:hAnsi="Calibri"/>
          <w:i/>
          <w:iCs/>
          <w:sz w:val="21"/>
          <w:szCs w:val="21"/>
        </w:rPr>
        <w:t xml:space="preserve">«contemplarán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r>
        <w:rPr>
          <w:rFonts w:ascii="Calibri" w:cs="Calibri" w:eastAsia="Calibri" w:hAnsi="Calibri"/>
          <w:sz w:val="21"/>
          <w:szCs w:val="21"/>
        </w:rPr>
        <w:t xml:space="preserve">, y añade que </w:t>
      </w:r>
      <w:r>
        <w:rPr>
          <w:rFonts w:ascii="Calibri" w:cs="Calibri" w:eastAsia="Calibri" w:hAnsi="Calibri"/>
          <w:i/>
          <w:iCs/>
          <w:sz w:val="21"/>
          <w:szCs w:val="21"/>
        </w:rPr>
        <w:t xml:space="preserve">«Esta cautela se extenderá también a la cadena de suministro de dichos contratistas»</w:t>
      </w:r>
      <w:r>
        <w:rPr>
          <w:rFonts w:ascii="Calibri" w:cs="Calibri" w:eastAsia="Calibri" w:hAnsi="Calibri"/>
          <w:sz w:val="21"/>
          <w:szCs w:val="21"/>
        </w:rPr>
        <w:t xml:space="preserve">. La obligación de incluir la cláusula recae sobre el pliego, no sobre el gestor.</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El art. 202.1, párrafo tercero, LCSP impone establecer una condición especial de ejecución y advertir al contratista de que tiene carácter esencial, </w:t>
      </w:r>
      <w:r>
        <w:rPr>
          <w:rFonts w:ascii="Calibri" w:cs="Calibri" w:eastAsia="Calibri" w:hAnsi="Calibri"/>
          <w:b/>
          <w:bCs/>
          <w:sz w:val="21"/>
          <w:szCs w:val="21"/>
        </w:rPr>
        <w:t xml:space="preserve">en los contratos cuya ejecución implique cesión de datos</w:t>
      </w:r>
      <w:r>
        <w:rPr>
          <w:rFonts w:ascii="Calibri" w:cs="Calibri" w:eastAsia="Calibri" w:hAnsi="Calibri"/>
          <w:sz w:val="21"/>
          <w:szCs w:val="21"/>
        </w:rPr>
        <w:t xml:space="preserve">. Nadie la ha pedido; la ley la manda.</w:t>
      </w:r>
    </w:p>
    <w:p>
      <w:pPr>
        <w:pStyle w:val="ListParagraph"/>
        <w:numPr>
          <w:ilvl w:val="0"/>
          <w:numId w:val="1"/>
        </w:numPr>
        <w:spacing w:after="70" w:line="268"/>
      </w:pPr>
      <w:r>
        <w:rPr>
          <w:rFonts w:ascii="Calibri" w:cs="Calibri" w:eastAsia="Calibri" w:hAnsi="Calibri"/>
          <w:b/>
          <w:bCs/>
          <w:sz w:val="21"/>
          <w:szCs w:val="21"/>
        </w:rPr>
        <w:t xml:space="preserve">Ubicación de servidores y subcontratación.</w:t>
      </w:r>
      <w:r>
        <w:rPr>
          <w:rFonts w:ascii="Calibri" w:cs="Calibri" w:eastAsia="Calibri" w:hAnsi="Calibri"/>
          <w:sz w:val="21"/>
          <w:szCs w:val="21"/>
        </w:rPr>
        <w:t xml:space="preserve"> El art. 122.2 LCSP obliga a calificar esas obligaciones como esenciales </w:t>
      </w:r>
      <w:r>
        <w:rPr>
          <w:rFonts w:ascii="Calibri" w:cs="Calibri" w:eastAsia="Calibri" w:hAnsi="Calibri"/>
          <w:i/>
          <w:iCs/>
          <w:sz w:val="21"/>
          <w:szCs w:val="21"/>
        </w:rPr>
        <w:t xml:space="preserve">«en todo caso»</w:t>
      </w:r>
      <w:r>
        <w:rPr>
          <w:rFonts w:ascii="Calibri" w:cs="Calibri" w:eastAsia="Calibri" w:hAnsi="Calibri"/>
          <w:sz w:val="21"/>
          <w:szCs w:val="21"/>
        </w:rPr>
        <w:t xml:space="preserve">, </w:t>
      </w:r>
      <w:r>
        <w:rPr>
          <w:rFonts w:ascii="Calibri" w:cs="Calibri" w:eastAsia="Calibri" w:hAnsi="Calibri"/>
          <w:b/>
          <w:bCs/>
          <w:sz w:val="21"/>
          <w:szCs w:val="21"/>
        </w:rPr>
        <w:t xml:space="preserve">en los contratos cuya ejecución requiera el tratamiento por el contratista de datos personales por cuenta del responsable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Titularidad de derechos para poder ceder la aplicación a otra Administración.</w:t>
      </w:r>
      <w:r>
        <w:rPr>
          <w:rFonts w:ascii="Calibri" w:cs="Calibri" w:eastAsia="Calibri" w:hAnsi="Calibri"/>
          <w:sz w:val="21"/>
          <w:szCs w:val="21"/>
        </w:rPr>
        <w:t xml:space="preserve"> El art. 157.1 de la Ley 40/2015 sólo permite ceder aquellas aplicaciones de cuyos derechos se sea titular. Sin la cláusula de propiedad intelectual correctamente redactada, el Ayuntamiento no puede cumplir ese precepto años después.</w:t>
      </w:r>
    </w:p>
    <w:p>
      <w:pPr>
        <w:pStyle w:val="ListParagraph"/>
        <w:numPr>
          <w:ilvl w:val="0"/>
          <w:numId w:val="1"/>
        </w:numPr>
        <w:spacing w:after="70" w:line="268"/>
      </w:pPr>
      <w:r>
        <w:rPr>
          <w:rFonts w:ascii="Calibri" w:cs="Calibri" w:eastAsia="Calibri" w:hAnsi="Calibri"/>
          <w:b/>
          <w:bCs/>
          <w:sz w:val="21"/>
          <w:szCs w:val="21"/>
        </w:rPr>
        <w:t xml:space="preserve">Actuación administrativa automatizada.</w:t>
      </w:r>
      <w:r>
        <w:rPr>
          <w:rFonts w:ascii="Calibri" w:cs="Calibri" w:eastAsia="Calibri" w:hAnsi="Calibri"/>
          <w:sz w:val="21"/>
          <w:szCs w:val="21"/>
        </w:rPr>
        <w:t xml:space="preserve"> El art. 41.2 de la Ley 40/2015 exige establecer previamente los órganos competentes para la definición de especificaciones, programación, mantenimiento, supervisión, control de calidad y auditoría del sistema de información y de su código fuente.</w:t>
      </w:r>
    </w:p>
    <w:p>
      <w:pPr>
        <w:spacing w:after="140" w:line="276"/>
      </w:pPr>
      <w:r>
        <w:rPr>
          <w:rFonts w:ascii="Calibri" w:cs="Calibri" w:eastAsia="Calibri" w:hAnsi="Calibri"/>
          <w:b/>
          <w:bCs/>
          <w:sz w:val="21"/>
          <w:szCs w:val="21"/>
        </w:rPr>
        <w:t xml:space="preserve">(b) Necesidad funcional declarada por el gestor.</w:t>
      </w:r>
      <w:r>
        <w:rPr>
          <w:rFonts w:ascii="Calibri" w:cs="Calibri" w:eastAsia="Calibri" w:hAnsi="Calibri"/>
          <w:sz w:val="21"/>
          <w:szCs w:val="21"/>
        </w:rPr>
        <w:t xml:space="preserve"> Es el caso ordinario y el que el comentario de contratación describe bien. La firma la cabeza del servicio gestor en la Ficha de Aplicabilidad.</w:t>
      </w:r>
    </w:p>
    <w:p>
      <w:pPr>
        <w:spacing w:after="140" w:line="276"/>
      </w:pPr>
      <w:r>
        <w:rPr>
          <w:rFonts w:ascii="Calibri" w:cs="Calibri" w:eastAsia="Calibri" w:hAnsi="Calibri"/>
          <w:b/>
          <w:bCs/>
          <w:sz w:val="21"/>
          <w:szCs w:val="21"/>
        </w:rPr>
        <w:t xml:space="preserve">(c) Necesidad institucional aprobada por el órgano de gobierno.</w:t>
      </w:r>
      <w:r>
        <w:rPr>
          <w:rFonts w:ascii="Calibri" w:cs="Calibri" w:eastAsia="Calibri" w:hAnsi="Calibri"/>
          <w:sz w:val="21"/>
          <w:szCs w:val="21"/>
        </w:rPr>
        <w:t xml:space="preserve"> Es el eslabón que faltaba, y sin él el catálogo no se sostiene en su núcleo. Ninguna norma obliga hoy a un ayuntamiento a que su sistema de contabilidad exponga una interfaz de acceso programático para agentes de IA. Y el gestor de contabilidad no lo va a pedir. Si esa necesidad no está en la norma ni en el gestor, </w:t>
      </w:r>
      <w:r>
        <w:rPr>
          <w:rFonts w:ascii="Calibri" w:cs="Calibri" w:eastAsia="Calibri" w:hAnsi="Calibri"/>
          <w:b/>
          <w:bCs/>
          <w:sz w:val="21"/>
          <w:szCs w:val="21"/>
        </w:rPr>
        <w:t xml:space="preserve">tiene que estar en un acto del órgano de gobierno municipal con rango suficiente</w:t>
      </w:r>
      <w:r>
        <w:rPr>
          <w:rFonts w:ascii="Calibri" w:cs="Calibri" w:eastAsia="Calibri" w:hAnsi="Calibri"/>
          <w:sz w:val="21"/>
          <w:szCs w:val="21"/>
        </w:rPr>
        <w:t xml:space="preserve">: un plan o estrategia municipal de digitalización y automatización aprobado por el órgano de gobierno (en Pozuelo de Alarcón, la Junta de Gobierno Local, por su régimen de municipio de gran población del Título X de la Ley 7/1985; en el régimen común, el órgano que corresponda), que fije objetivos, alcance y calendario, y que apruebe el catálogo y su Anexo V anual.</w:t>
      </w:r>
    </w:p>
    <w:p>
      <w:pPr>
        <w:spacing w:after="140" w:line="276"/>
      </w:pPr>
      <w:r>
        <w:rPr>
          <w:rFonts w:ascii="Calibri" w:cs="Calibri" w:eastAsia="Calibri" w:hAnsi="Calibri"/>
          <w:sz w:val="21"/>
          <w:szCs w:val="21"/>
        </w:rPr>
        <w:t xml:space="preserve">Con ese acuerdo, el Informe de Necesidad de cada expediente no invoca un documento técnico de una concejalía: invoca una política municipal aprobada, y la relación con el objeto del contrato pasa a ser derivada de ella. </w:t>
      </w:r>
      <w:r>
        <w:rPr>
          <w:rFonts w:ascii="Calibri" w:cs="Calibri" w:eastAsia="Calibri" w:hAnsi="Calibri"/>
          <w:b/>
          <w:bCs/>
          <w:sz w:val="21"/>
          <w:szCs w:val="21"/>
        </w:rPr>
        <w:t xml:space="preserve">Sin ese acuerdo, el Anexo V describe lo que el mercado vende, no lo que el Ayuntamiento necesita</w:t>
      </w:r>
      <w:r>
        <w:rPr>
          <w:rFonts w:ascii="Calibri" w:cs="Calibri" w:eastAsia="Calibri" w:hAnsi="Calibri"/>
          <w:sz w:val="21"/>
          <w:szCs w:val="21"/>
        </w:rPr>
        <w:t xml:space="preserve">, y la ficha de cada expediente se acabará rellenando con el mismo párrafo, que es la definición de justificación estereotipada. El modelo de acuerdo figura en el </w:t>
      </w:r>
      <w:r>
        <w:rPr>
          <w:rFonts w:ascii="Calibri" w:cs="Calibri" w:eastAsia="Calibri" w:hAnsi="Calibri"/>
          <w:b/>
          <w:bCs/>
          <w:sz w:val="21"/>
          <w:szCs w:val="21"/>
        </w:rPr>
        <w:t xml:space="preserve">Anexo VIII</w:t>
      </w:r>
      <w:r>
        <w:rPr>
          <w:rFonts w:ascii="Calibri" w:cs="Calibri" w:eastAsia="Calibri" w:hAnsi="Calibri"/>
          <w:sz w:val="21"/>
          <w:szCs w:val="21"/>
        </w:rPr>
        <w:t xml:space="preserve">, y el modelo de resolución de aprobación anual del Anexo V del ejercicio, en el </w:t>
      </w:r>
      <w:r>
        <w:rPr>
          <w:rFonts w:ascii="Calibri" w:cs="Calibri" w:eastAsia="Calibri" w:hAnsi="Calibri"/>
          <w:b/>
          <w:bCs/>
          <w:sz w:val="21"/>
          <w:szCs w:val="21"/>
        </w:rPr>
        <w:t xml:space="preserve">Anexo XV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M1.3 · Doble vía de firma de la ficha</w:t>
      </w:r>
    </w:p>
    <w:p>
      <w:pPr>
        <w:spacing w:after="140" w:line="276"/>
      </w:pPr>
      <w:r>
        <w:rPr>
          <w:rFonts w:ascii="Calibri" w:cs="Calibri" w:eastAsia="Calibri" w:hAnsi="Calibri"/>
          <w:sz w:val="21"/>
          <w:szCs w:val="21"/>
        </w:rPr>
        <w:t xml:space="preserve">De lo anterior se sigue una regla operativa que resuelve una contradicción que el catálogo arrastraba: no se puede exigir que </w:t>
      </w:r>
      <w:r>
        <w:rPr>
          <w:rFonts w:ascii="Calibri" w:cs="Calibri" w:eastAsia="Calibri" w:hAnsi="Calibri"/>
          <w:b/>
          <w:bCs/>
          <w:sz w:val="21"/>
          <w:szCs w:val="21"/>
        </w:rPr>
        <w:t xml:space="preserve">el gestor</w:t>
      </w:r>
      <w:r>
        <w:rPr>
          <w:rFonts w:ascii="Calibri" w:cs="Calibri" w:eastAsia="Calibri" w:hAnsi="Calibri"/>
          <w:sz w:val="21"/>
          <w:szCs w:val="21"/>
        </w:rPr>
        <w:t xml:space="preserve"> firme fichas de necesidades que no son suyas.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respaldo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Funcional (la pide 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titular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Normativa (la impone una norma al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(ENS, interoperabilidad), delegado de protección de datos (RGPD), Intervención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con cita del 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Institucional (la fija una política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contratación, por remisión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y el catálogo</w:t>
            </w:r>
          </w:p>
        </w:tc>
      </w:tr>
    </w:tbl>
    <w:p>
      <w:pPr>
        <w:spacing w:after="200"/>
      </w:pPr>
    </w:p>
    <w:p>
      <w:pPr>
        <w:spacing w:after="140" w:line="276"/>
      </w:pPr>
      <w:r>
        <w:rPr>
          <w:rFonts w:ascii="Calibri" w:cs="Calibri" w:eastAsia="Calibri" w:hAnsi="Calibri"/>
          <w:sz w:val="21"/>
          <w:szCs w:val="21"/>
        </w:rPr>
        <w:t xml:space="preserve">Regla de cierre, sin excepciones: </w:t>
      </w:r>
      <w:r>
        <w:rPr>
          <w:rFonts w:ascii="Calibri" w:cs="Calibri" w:eastAsia="Calibri" w:hAnsi="Calibri"/>
          <w:b/>
          <w:bCs/>
          <w:sz w:val="21"/>
          <w:szCs w:val="21"/>
        </w:rPr>
        <w:t xml:space="preserve">cláusula sin ficha firmada por alguna de las tres vías, no se incorpora al pliego; se marca NO APLICA.</w:t>
      </w:r>
    </w:p>
    <w:p>
      <w:pPr>
        <w:pStyle w:val="Heading3"/>
        <w:keepNext/>
        <w:spacing w:after="140" w:before="320"/>
      </w:pPr>
      <w:r>
        <w:rPr>
          <w:rFonts w:ascii="Georgia" w:cs="Georgia" w:eastAsia="Georgia" w:hAnsi="Georgia"/>
          <w:b/>
          <w:bCs/>
          <w:color w:val="2F5496"/>
          <w:sz w:val="22"/>
          <w:szCs w:val="22"/>
        </w:rPr>
        <w:t xml:space="preserve">M1.4 · La cadena del control interno, eslabón a eslabón</w:t>
      </w:r>
    </w:p>
    <w:p>
      <w:pPr>
        <w:spacing w:after="140" w:line="276"/>
      </w:pPr>
      <w:r>
        <w:rPr>
          <w:rFonts w:ascii="Calibri" w:cs="Calibri" w:eastAsia="Calibri" w:hAnsi="Calibri"/>
          <w:sz w:val="21"/>
          <w:szCs w:val="21"/>
        </w:rPr>
        <w:t xml:space="preserve">Es el ejemplo trabajado de necesidad de origen normativo, y sostiene la cláusula ADM-12·v3. Se expone completo porque es el único caso del catálogo en que la necesidad la ha declarado por escrito un órgano municipal distinto del promotor.</w:t>
      </w:r>
    </w:p>
    <w:p>
      <w:pPr>
        <w:pStyle w:val="ListParagraph"/>
        <w:numPr>
          <w:ilvl w:val="0"/>
          <w:numId w:val="2"/>
        </w:numPr>
        <w:spacing w:after="70" w:line="268"/>
      </w:pPr>
      <w:r>
        <w:rPr>
          <w:rFonts w:ascii="Calibri" w:cs="Calibri" w:eastAsia="Calibri" w:hAnsi="Calibri"/>
          <w:b/>
          <w:bCs/>
          <w:sz w:val="21"/>
          <w:szCs w:val="21"/>
        </w:rPr>
        <w:t xml:space="preserve">La Intervención tiene por ley el deber de controlar eficacia y eficiencia, no sólo el gasto.</w:t>
      </w:r>
      <w:r>
        <w:rPr>
          <w:rFonts w:ascii="Calibri" w:cs="Calibri" w:eastAsia="Calibri" w:hAnsi="Calibri"/>
          <w:sz w:val="21"/>
          <w:szCs w:val="21"/>
        </w:rPr>
        <w:t xml:space="preserve"> Art. 220.2 TRLRHL: el control financiero </w:t>
      </w:r>
      <w:r>
        <w:rPr>
          <w:rFonts w:ascii="Calibri" w:cs="Calibri" w:eastAsia="Calibri" w:hAnsi="Calibri"/>
          <w:i/>
          <w:iCs/>
          <w:sz w:val="21"/>
          <w:szCs w:val="21"/>
        </w:rPr>
        <w:t xml:space="preserve">«tendrá por objeto informar acerca de la adecuada presentación de la información financiera, del cumplimiento de las normas y directrices que sean de aplicación y del grado de eficacia y eficiencia en la consecución de los objetivos previstos»</w:t>
      </w:r>
      <w:r>
        <w:rPr>
          <w:rFonts w:ascii="Calibri" w:cs="Calibri" w:eastAsia="Calibri" w:hAnsi="Calibri"/>
          <w:sz w:val="21"/>
          <w:szCs w:val="21"/>
        </w:rPr>
        <w:t xml:space="preserve">; art. 221 TRLRHL para el control de eficacia.</w:t>
      </w:r>
    </w:p>
    <w:p>
      <w:pPr>
        <w:pStyle w:val="ListParagraph"/>
        <w:numPr>
          <w:ilvl w:val="0"/>
          <w:numId w:val="2"/>
        </w:numPr>
        <w:spacing w:after="70" w:line="268"/>
      </w:pPr>
      <w:r>
        <w:rPr>
          <w:rFonts w:ascii="Calibri" w:cs="Calibri" w:eastAsia="Calibri" w:hAnsi="Calibri"/>
          <w:b/>
          <w:bCs/>
          <w:sz w:val="21"/>
          <w:szCs w:val="21"/>
        </w:rPr>
        <w:t xml:space="preserve">Ese deber tiene una magnitud cuantificada que hace inviable el control manual.</w:t>
      </w:r>
      <w:r>
        <w:rPr>
          <w:rFonts w:ascii="Calibri" w:cs="Calibri" w:eastAsia="Calibri" w:hAnsi="Calibri"/>
          <w:sz w:val="21"/>
          <w:szCs w:val="21"/>
        </w:rPr>
        <w:t xml:space="preserve"> Art. 4.3 RD 424/2017: </w:t>
      </w:r>
      <w:r>
        <w:rPr>
          <w:rFonts w:ascii="Calibri" w:cs="Calibri" w:eastAsia="Calibri" w:hAnsi="Calibri"/>
          <w:i/>
          <w:iCs/>
          <w:sz w:val="21"/>
          <w:szCs w:val="21"/>
        </w:rPr>
        <w:t xml:space="preserve">«el modelo asegurará […] el control efectivo de, al menos, el ochenta por ciento del presupuesto general consolidado del ejercicio […] En el transcurso de tres ejercicios consecutivos […] deberá haber alcanzado el cien por cien de dicho presupuesto.»</w:t>
      </w:r>
      <w:r>
        <w:rPr>
          <w:rFonts w:ascii="Calibri" w:cs="Calibri" w:eastAsia="Calibri" w:hAnsi="Calibri"/>
          <w:sz w:val="21"/>
          <w:szCs w:val="21"/>
        </w:rPr>
        <w:t xml:space="preserve"> Y art. 20.3: comprobación material obligatoria de toda inversión igual o superior a 50.000 € (IVA excluido).</w:t>
      </w:r>
    </w:p>
    <w:p>
      <w:pPr>
        <w:pStyle w:val="ListParagraph"/>
        <w:numPr>
          <w:ilvl w:val="0"/>
          <w:numId w:val="2"/>
        </w:numPr>
        <w:spacing w:after="70" w:line="268"/>
      </w:pPr>
      <w:r>
        <w:rPr>
          <w:rFonts w:ascii="Calibri" w:cs="Calibri" w:eastAsia="Calibri" w:hAnsi="Calibri"/>
          <w:b/>
          <w:bCs/>
          <w:sz w:val="21"/>
          <w:szCs w:val="21"/>
        </w:rPr>
        <w:t xml:space="preserve">La ley ya reconoce a la Intervención el acceso a los sistemas de información de la entidad controlada.</w:t>
      </w:r>
      <w:r>
        <w:rPr>
          <w:rFonts w:ascii="Calibri" w:cs="Calibri" w:eastAsia="Calibri" w:hAnsi="Calibri"/>
          <w:sz w:val="21"/>
          <w:szCs w:val="21"/>
        </w:rPr>
        <w:t xml:space="preserve"> Art. 6.7 RD 424/2017 (</w:t>
      </w:r>
      <w:r>
        <w:rPr>
          <w:rFonts w:ascii="Calibri" w:cs="Calibri" w:eastAsia="Calibri" w:hAnsi="Calibri"/>
          <w:i/>
          <w:iCs/>
          <w:sz w:val="21"/>
          <w:szCs w:val="21"/>
        </w:rPr>
        <w:t xml:space="preserve">«podrán revisar los sistemas informáticos de gestión que sean precisos»</w:t>
      </w:r>
      <w:r>
        <w:rPr>
          <w:rFonts w:ascii="Calibri" w:cs="Calibri" w:eastAsia="Calibri" w:hAnsi="Calibri"/>
          <w:sz w:val="21"/>
          <w:szCs w:val="21"/>
        </w:rPr>
        <w:t xml:space="preserve">), art. 6.4, arts. 30.1 y 30.3, art. 32.5.f) y art. 222 TRLRHL.</w:t>
      </w:r>
    </w:p>
    <w:p>
      <w:pPr>
        <w:pStyle w:val="ListParagraph"/>
        <w:numPr>
          <w:ilvl w:val="0"/>
          <w:numId w:val="2"/>
        </w:numPr>
        <w:spacing w:after="70" w:line="268"/>
      </w:pPr>
      <w:r>
        <w:rPr>
          <w:rFonts w:ascii="Calibri" w:cs="Calibri" w:eastAsia="Calibri" w:hAnsi="Calibri"/>
          <w:b/>
          <w:bCs/>
          <w:sz w:val="21"/>
          <w:szCs w:val="21"/>
        </w:rPr>
        <w:t xml:space="preserve">Frente al contratista, en cambio, hay obligaciones que sólo el contrato puede crear.</w:t>
      </w:r>
      <w:r>
        <w:rPr>
          <w:rFonts w:ascii="Calibri" w:cs="Calibri" w:eastAsia="Calibri" w:hAnsi="Calibri"/>
          <w:sz w:val="21"/>
          <w:szCs w:val="21"/>
        </w:rPr>
        <w:t xml:space="preserve"> Esta es la parte que hay que decir con precisión, porque el catálogo la ha exagerado antes y un letrado lo desmonta en la primera alegación: el art. 6.3 del RD 424/2017 obliga con carácter general a colaborar con la Intervención, y el acceso a los datos municipales lo resuelve el órgano gestor dando un usuario. Lo que </w:t>
      </w:r>
      <w:r>
        <w:rPr>
          <w:rFonts w:ascii="Calibri" w:cs="Calibri" w:eastAsia="Calibri" w:hAnsi="Calibri"/>
          <w:b/>
          <w:bCs/>
          <w:sz w:val="21"/>
          <w:szCs w:val="21"/>
        </w:rPr>
        <w:t xml:space="preserve">no</w:t>
      </w:r>
      <w:r>
        <w:rPr>
          <w:rFonts w:ascii="Calibri" w:cs="Calibri" w:eastAsia="Calibri" w:hAnsi="Calibri"/>
          <w:sz w:val="21"/>
          <w:szCs w:val="21"/>
        </w:rPr>
        <w:t xml:space="preserve"> existe sin cláusula son las obligaciones concretas que hacen ese acceso útil y sostenible en el tiempo: que no se tarifique, que exista diccionario de datos, que la extracción sea en formato abierto y documentado, que se mantenga durante las prórrogas y en la reversión, y —en el ámbito específico de la auditoría pública— la previsión expresa que el art. 33.4.d) del RD 424/2017 exige para solicitar de un tercero información sobre </w:t>
      </w:r>
      <w:r>
        <w:rPr>
          <w:rFonts w:ascii="Calibri" w:cs="Calibri" w:eastAsia="Calibri" w:hAnsi="Calibri"/>
          <w:i/>
          <w:iCs/>
          <w:sz w:val="21"/>
          <w:szCs w:val="21"/>
        </w:rPr>
        <w:t xml:space="preserve">«operaciones […], saldos contables […] y […] costes»</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Y sólo hay un momento para preverlo: el pliego.</w:t>
      </w:r>
      <w:r>
        <w:rPr>
          <w:rFonts w:ascii="Calibri" w:cs="Calibri" w:eastAsia="Calibri" w:hAnsi="Calibri"/>
          <w:sz w:val="21"/>
          <w:szCs w:val="21"/>
        </w:rPr>
        <w:t xml:space="preserve"> Después, el contrato está firmado y el contratista no tiene obligación de aceptar una condición nueva.</w:t>
      </w:r>
    </w:p>
    <w:p>
      <w:pPr>
        <w:spacing w:after="140" w:line="276"/>
      </w:pPr>
      <w:r>
        <w:rPr>
          <w:rFonts w:ascii="Calibri" w:cs="Calibri" w:eastAsia="Calibri" w:hAnsi="Calibri"/>
          <w:b/>
          <w:bCs/>
          <w:sz w:val="21"/>
          <w:szCs w:val="21"/>
        </w:rPr>
        <w:t xml:space="preserve">Advertencia de rigor, para que la cláusula no se caiga por exceso de fundamento:</w:t>
      </w:r>
      <w:r>
        <w:rPr>
          <w:rFonts w:ascii="Calibri" w:cs="Calibri" w:eastAsia="Calibri" w:hAnsi="Calibri"/>
          <w:sz w:val="21"/>
          <w:szCs w:val="21"/>
        </w:rPr>
        <w:t xml:space="preserve"> el art. 33.4.d) del RD 424/2017 regula la ejecución de actuaciones de </w:t>
      </w:r>
      <w:r>
        <w:rPr>
          <w:rFonts w:ascii="Calibri" w:cs="Calibri" w:eastAsia="Calibri" w:hAnsi="Calibri"/>
          <w:b/>
          <w:bCs/>
          <w:sz w:val="21"/>
          <w:szCs w:val="21"/>
        </w:rPr>
        <w:t xml:space="preserve">auditoría pública</w:t>
      </w:r>
      <w:r>
        <w:rPr>
          <w:rFonts w:ascii="Calibri" w:cs="Calibri" w:eastAsia="Calibri" w:hAnsi="Calibri"/>
          <w:sz w:val="21"/>
          <w:szCs w:val="21"/>
        </w:rPr>
        <w:t xml:space="preserve"> frente a </w:t>
      </w:r>
      <w:r>
        <w:rPr>
          <w:rFonts w:ascii="Calibri" w:cs="Calibri" w:eastAsia="Calibri" w:hAnsi="Calibri"/>
          <w:b/>
          <w:bCs/>
          <w:sz w:val="21"/>
          <w:szCs w:val="21"/>
        </w:rPr>
        <w:t xml:space="preserve">entidades auditadas</w:t>
      </w:r>
      <w:r>
        <w:rPr>
          <w:rFonts w:ascii="Calibri" w:cs="Calibri" w:eastAsia="Calibri" w:hAnsi="Calibri"/>
          <w:sz w:val="21"/>
          <w:szCs w:val="21"/>
        </w:rPr>
        <w:t xml:space="preserve"> y ampara información sobre operaciones, saldos y costes del tercero. No es, por sí solo, título para exigir acceso funcional permanente a la aplicación. Por eso ADM-12·v3 se ancla en el bloque de control interno (arts. 4.3, 6.3, 6.4, 6.7, 20.3, 30.1 y 30.3 del RD 424/2017, arts. 214 y 220 a 222 TRLRHL, y DA 3.ª.3 LCSP) y cita el art. 33.4.d) sólo para lo que ese precepto ampara.</w:t>
      </w:r>
    </w:p>
    <w:p>
      <w:pPr>
        <w:pStyle w:val="Heading3"/>
        <w:keepNext/>
        <w:spacing w:after="140" w:before="320"/>
      </w:pPr>
      <w:r>
        <w:rPr>
          <w:rFonts w:ascii="Georgia" w:cs="Georgia" w:eastAsia="Georgia" w:hAnsi="Georgia"/>
          <w:b/>
          <w:bCs/>
          <w:color w:val="2F5496"/>
          <w:sz w:val="22"/>
          <w:szCs w:val="22"/>
        </w:rPr>
        <w:t xml:space="preserve">M1.5 · El comentario del área de contratación de 18 de junio de 2026: qué es y cómo se cita</w:t>
      </w:r>
    </w:p>
    <w:p>
      <w:pPr>
        <w:spacing w:after="140" w:line="276"/>
      </w:pPr>
      <w:r>
        <w:rPr>
          <w:rFonts w:ascii="Calibri" w:cs="Calibri" w:eastAsia="Calibri" w:hAnsi="Calibri"/>
          <w:b/>
          <w:bCs/>
          <w:sz w:val="21"/>
          <w:szCs w:val="21"/>
        </w:rPr>
        <w:t xml:space="preserve">No es un informe.</w:t>
      </w:r>
      <w:r>
        <w:rPr>
          <w:rFonts w:ascii="Calibri" w:cs="Calibri" w:eastAsia="Calibri" w:hAnsi="Calibri"/>
          <w:sz w:val="21"/>
          <w:szCs w:val="21"/>
        </w:rPr>
        <w:t xml:space="preserve"> Es un comentario incorporado al final de un documento de trabajo. Este catálogo no puede citarlo como «informe de la Intervención» ni como «informe del área de contratación», ni atribuirlo a dos órganos distintos en dos apartados distintos. Se cita como lo que es, con su naturaleza expresada, y </w:t>
      </w:r>
      <w:r>
        <w:rPr>
          <w:rFonts w:ascii="Calibri" w:cs="Calibri" w:eastAsia="Calibri" w:hAnsi="Calibri"/>
          <w:b/>
          <w:bCs/>
          <w:sz w:val="21"/>
          <w:szCs w:val="21"/>
        </w:rPr>
        <w:t xml:space="preserve">entero</w:t>
      </w:r>
      <w:r>
        <w:rPr>
          <w:rFonts w:ascii="Calibri" w:cs="Calibri" w:eastAsia="Calibri" w:hAnsi="Calibri"/>
          <w:sz w:val="21"/>
          <w:szCs w:val="21"/>
        </w:rPr>
        <w:t xml:space="preserve">, incluida la parte que juega en contra:</w:t>
      </w:r>
    </w:p>
    <w:p>
      <w:pPr>
        <w:pBdr>
          <w:left w:val="single" w:color="BFBFBF" w:sz="12" w:space="8"/>
        </w:pBdr>
        <w:spacing w:after="140" w:line="264"/>
        <w:ind w:left="400"/>
      </w:pPr>
      <w:r>
        <w:rPr>
          <w:rFonts w:ascii="Georgia" w:cs="Georgia" w:eastAsia="Georgia" w:hAnsi="Georgia"/>
          <w:i/>
          <w:iCs/>
          <w:color w:val="595959"/>
          <w:sz w:val="20"/>
          <w:szCs w:val="20"/>
        </w:rPr>
        <w:t xml:space="preserve">«Son pocos los contratos en los que se haga un seguimiento real y este se basa exclusivamente en el control del gasto, ni eficiencia, ni eficacia. Siendo este seguimiento parte de las obligaciones de control de la Intervención </w:t>
      </w:r>
      <w:r>
        <w:rPr>
          <w:rFonts w:ascii="Georgia" w:cs="Georgia" w:eastAsia="Georgia" w:hAnsi="Georgia"/>
          <w:b/>
          <w:bCs/>
          <w:i/>
          <w:iCs/>
          <w:color w:val="595959"/>
          <w:sz w:val="20"/>
          <w:szCs w:val="20"/>
        </w:rPr>
        <w:t xml:space="preserve">no podemos pedir que se implementen estos instrumentos</w:t>
      </w:r>
      <w:r>
        <w:rPr>
          <w:rFonts w:ascii="Georgia" w:cs="Georgia" w:eastAsia="Georgia" w:hAnsi="Georgia"/>
          <w:i/>
          <w:iCs/>
          <w:color w:val="595959"/>
          <w:sz w:val="20"/>
          <w:szCs w:val="20"/>
        </w:rPr>
        <w:t xml:space="preserve">; lo que sí entraría dentro de nuestro ámbito sería la explotación de los datos al mismo rango que el gestor, al objeto de cumplir con nuestras obligaciones legales.»</w:t>
      </w:r>
    </w:p>
    <w:p>
      <w:pPr>
        <w:spacing w:after="140" w:line="276"/>
      </w:pPr>
      <w:r>
        <w:rPr>
          <w:rFonts w:ascii="Calibri" w:cs="Calibri" w:eastAsia="Calibri" w:hAnsi="Calibri"/>
          <w:sz w:val="21"/>
          <w:szCs w:val="21"/>
        </w:rPr>
        <w:t xml:space="preserve">Leído entero dice dos cosas, y las dos se han incorporado: que hay una necesidad real de explotación de datos por el órgano de control (de ahí ADM-12·v3) y que el propio comentarista duda de que corresponda al Ayuntamiento imponer al contratista los instrumentos de seguimiento (de ahí la regla de verificabilidad municipal del §M4.4 y la degradación de ADM-10·v3, que deja de ser fuente autónoma de obligaciones esenciales).</w:t>
      </w:r>
    </w:p>
    <w:p>
      <w:pPr>
        <w:spacing w:after="140" w:line="276"/>
      </w:pPr>
      <w:r>
        <w:rPr>
          <w:rFonts w:ascii="Calibri" w:cs="Calibri" w:eastAsia="Calibri" w:hAnsi="Calibri"/>
          <w:b/>
          <w:bCs/>
          <w:sz w:val="21"/>
          <w:szCs w:val="21"/>
        </w:rPr>
        <w:t xml:space="preserve">Recomendación vinculante para el expediente de aprobación:</w:t>
      </w:r>
      <w:r>
        <w:rPr>
          <w:rFonts w:ascii="Calibri" w:cs="Calibri" w:eastAsia="Calibri" w:hAnsi="Calibri"/>
          <w:sz w:val="21"/>
          <w:szCs w:val="21"/>
        </w:rPr>
        <w:t xml:space="preserve"> antes de publicar este catálogo, solicítese al área de contratación y a la Intervención un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y sustitúyase en esta memoria la cita del comentario por la cita del informe. Mientras no exista, la necesidad declarada por el órgano de control se apoya en un comentario de trabajo, y así debe constar.</w:t>
      </w:r>
    </w:p>
    <w:p>
      <w:pPr>
        <w:pStyle w:val="Heading3"/>
        <w:keepNext/>
        <w:spacing w:after="140" w:before="320"/>
      </w:pPr>
      <w:r>
        <w:rPr>
          <w:rFonts w:ascii="Georgia" w:cs="Georgia" w:eastAsia="Georgia" w:hAnsi="Georgia"/>
          <w:b/>
          <w:bCs/>
          <w:color w:val="2F5496"/>
          <w:sz w:val="22"/>
          <w:szCs w:val="22"/>
        </w:rPr>
        <w:t xml:space="preserve">M1.6 · Lo que el art. 28.1 LCSP obliga a hacer, y a quién</w:t>
      </w:r>
    </w:p>
    <w:p>
      <w:pPr>
        <w:spacing w:after="140" w:line="276"/>
      </w:pPr>
      <w:r>
        <w:rPr>
          <w:rFonts w:ascii="Calibri" w:cs="Calibri" w:eastAsia="Calibri" w:hAnsi="Calibri"/>
          <w:sz w:val="21"/>
          <w:szCs w:val="21"/>
        </w:rPr>
        <w:t xml:space="preserve">Art. 28.1 LCSP: </w:t>
      </w:r>
      <w:r>
        <w:rPr>
          <w:rFonts w:ascii="Calibri" w:cs="Calibri" w:eastAsia="Calibri" w:hAnsi="Calibri"/>
          <w:i/>
          <w:iCs/>
          <w:sz w:val="21"/>
          <w:szCs w:val="21"/>
        </w:rPr>
        <w:t xml:space="preserve">«la naturaleza y extensión de las necesidades que pretenden cubrirse mediante el contrato proyectado, así como la idoneidad de su objeto y contenido para satisfacerlas […] deben ser determinadas con precisión, dejando constancia de ello en la documentación preparatoria, antes de iniciar el procedimiento encaminado a su adjudicación.»</w:t>
      </w:r>
    </w:p>
    <w:p>
      <w:pPr>
        <w:spacing w:after="140" w:line="276"/>
      </w:pPr>
      <w:r>
        <w:rPr>
          <w:rFonts w:ascii="Calibri" w:cs="Calibri" w:eastAsia="Calibri" w:hAnsi="Calibri"/>
          <w:sz w:val="21"/>
          <w:szCs w:val="21"/>
        </w:rPr>
        <w:t xml:space="preserve">El precepto no dice que la necesidad la formule un gestor. Dice que el </w:t>
      </w: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la determine con precisión y deje constancia. Que ningún gestor haya demandado una necesidad de origen normativo no la hace artificiosa. Pero —y esto es lo que separa un argumento de un instrumento— </w:t>
      </w:r>
      <w:r>
        <w:rPr>
          <w:rFonts w:ascii="Calibri" w:cs="Calibri" w:eastAsia="Calibri" w:hAnsi="Calibri"/>
          <w:b/>
          <w:bCs/>
          <w:sz w:val="21"/>
          <w:szCs w:val="21"/>
        </w:rPr>
        <w:t xml:space="preserve">la frase anterior no sustituye a la ficha, ni al informe de necesidad, ni al acuerdo del órgano de gobierno</w:t>
      </w:r>
      <w:r>
        <w:rPr>
          <w:rFonts w:ascii="Calibri" w:cs="Calibri" w:eastAsia="Calibri" w:hAnsi="Calibri"/>
          <w:sz w:val="21"/>
          <w:szCs w:val="21"/>
        </w:rPr>
        <w:t xml:space="preserve">. Es una regla de interpretación; la prueba la aporta el expediente.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M2 · Encaje legal, cláusula por cláusula</w:t>
      </w:r>
    </w:p>
    <w:p>
      <w:pPr>
        <w:spacing w:after="140" w:line="276"/>
      </w:pPr>
      <w:r>
        <w:rPr>
          <w:rFonts w:ascii="Calibri" w:cs="Calibri" w:eastAsia="Calibri" w:hAnsi="Calibri"/>
          <w:sz w:val="21"/>
          <w:szCs w:val="21"/>
        </w:rPr>
        <w:t xml:space="preserve">El cuadro identifica, para cada cláusula del catálogo, el </w:t>
      </w:r>
      <w:r>
        <w:rPr>
          <w:rFonts w:ascii="Calibri" w:cs="Calibri" w:eastAsia="Calibri" w:hAnsi="Calibri"/>
          <w:b/>
          <w:bCs/>
          <w:sz w:val="21"/>
          <w:szCs w:val="21"/>
        </w:rPr>
        <w:t xml:space="preserve">instrumento contractual</w:t>
      </w:r>
      <w:r>
        <w:rPr>
          <w:rFonts w:ascii="Calibri" w:cs="Calibri" w:eastAsia="Calibri" w:hAnsi="Calibri"/>
          <w:sz w:val="21"/>
          <w:szCs w:val="21"/>
        </w:rPr>
        <w:t xml:space="preserve"> por el que se articula (y sólo uno: ninguna exigencia puede computarse dos veces, según el Cuadro Maestro del Anexo I), el </w:t>
      </w:r>
      <w:r>
        <w:rPr>
          <w:rFonts w:ascii="Calibri" w:cs="Calibri" w:eastAsia="Calibri" w:hAnsi="Calibri"/>
          <w:b/>
          <w:bCs/>
          <w:sz w:val="21"/>
          <w:szCs w:val="21"/>
        </w:rPr>
        <w:t xml:space="preserve">fundamento normativo con precepto concreto</w:t>
      </w:r>
      <w:r>
        <w:rPr>
          <w:rFonts w:ascii="Calibri" w:cs="Calibri" w:eastAsia="Calibri" w:hAnsi="Calibri"/>
          <w:sz w:val="21"/>
          <w:szCs w:val="21"/>
        </w:rPr>
        <w:t xml:space="preserve"> y la </w:t>
      </w:r>
      <w:r>
        <w:rPr>
          <w:rFonts w:ascii="Calibri" w:cs="Calibri" w:eastAsia="Calibri" w:hAnsi="Calibri"/>
          <w:b/>
          <w:bCs/>
          <w:sz w:val="21"/>
          <w:szCs w:val="21"/>
        </w:rPr>
        <w:t xml:space="preserve">salvaguarda de concurrencia</w:t>
      </w:r>
      <w:r>
        <w:rPr>
          <w:rFonts w:ascii="Calibri" w:cs="Calibri" w:eastAsia="Calibri" w:hAnsi="Calibri"/>
          <w:sz w:val="21"/>
          <w:szCs w:val="21"/>
        </w:rPr>
        <w:t xml:space="preserve"> que la acompaña. No sustituye a la motivación de cada cláusula en el expediente: cada fila remite a la cláusula, donde constan sus siete epígrafes.</w:t>
      </w:r>
    </w:p>
    <w:p>
      <w:pPr>
        <w:pStyle w:val="Heading3"/>
        <w:keepNext/>
        <w:spacing w:after="140" w:before="320"/>
      </w:pPr>
      <w:r>
        <w:rPr>
          <w:rFonts w:ascii="Georgia" w:cs="Georgia" w:eastAsia="Georgia" w:hAnsi="Georgia"/>
          <w:b/>
          <w:bCs/>
          <w:color w:val="2F5496"/>
          <w:sz w:val="22"/>
          <w:szCs w:val="22"/>
        </w:rPr>
        <w:t xml:space="preserve">M2.1 · Cláusulas técnicas (PPT)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126.5.a) y b), 126.6, 126.7 y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en sí misma la salvaguarda del catálogo: define la equivalencia con parámetros comprobables, obliga a probarla en la oferta, obliga a motivar por escrito el rechazo y prohíbe la exigencia nominativa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Incorporación de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Reglamento (UE) 2024/1689, en su redacción vigente, arts. 4, 13, 26 y 27 (exigibilidad diferida: ver Anexo XI); art. 41.2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no se exige modelo, proveedor, arquitectura ni marco de agentes determinados. El reparto de papeles impide trasladar al licitador obligaciones que la norma impone al responsable del despliegue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126.2 y 126.5.a) LCSP; arts. 16 y 17 RD 4/2010 (ENI); normativa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nominar una red concreta y de configurar la pertenencia a ella como requisito, solvencia o puntuación (art. 132.2 LCSP; Guía de la CNMC ref. G-2023-01, de 22 de mayo de 2025, sobre captura tecnológica: §M3.2.c)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126.2 LCSP (ciclo de vida); RD 311/2022, art. 2.3 y marco de medidas; guías CCN-STIC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 prelación del art. 126.5.b): normas europeas e internacionales y guías CCN-STIC primero. Las normas federales estadounidenses quedan fuera del articulado, como referencia ilustrativa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y 126.5.a) LCSP; arts. 41.2 Ley 40/2015 y normas de procedimiento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numerada de procesos publicada en el PPT, sobre la que el licitador se compromete. Se elimina del articulado todo vocabulario sin definición normalizada, por inverificable en procedimiento contradictorio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16 y 17 RD 4/2010 (ENI); RD 203/2021; Ley 39/2015; 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Distingue lo obligatorio de lo ilustrativo: los servicios comunes de obligada utilización quedan </w:t>
            </w:r>
            <w:r>
              <w:rPr>
                <w:rFonts w:ascii="Calibri" w:cs="Calibri" w:eastAsia="Calibri" w:hAnsi="Calibri"/>
                <w:b/>
                <w:bCs/>
                <w:sz w:val="18"/>
                <w:szCs w:val="18"/>
              </w:rPr>
              <w:t xml:space="preserve">excepcionados</w:t>
            </w:r>
            <w:r>
              <w:rPr>
                <w:rFonts w:ascii="Calibri" w:cs="Calibri" w:eastAsia="Calibri" w:hAnsi="Calibri"/>
                <w:b w:val="false"/>
                <w:bCs w:val="false"/>
                <w:sz w:val="18"/>
                <w:szCs w:val="18"/>
              </w:rPr>
              <w:t xml:space="preserve"> del «o equivalente» (DT-0.6), porque admitir sustitutivos ahí debilita la exigencia en lugar de abrir el mercado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(y, en su caso, solvencia)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RD 311/2022</w:t>
            </w:r>
            <w:r>
              <w:rPr>
                <w:rFonts w:ascii="Calibri" w:cs="Calibri" w:eastAsia="Calibri" w:hAnsi="Calibri"/>
                <w:b w:val="false"/>
                <w:bCs w:val="false"/>
                <w:sz w:val="18"/>
                <w:szCs w:val="18"/>
              </w:rPr>
              <w:t xml:space="preserve"> (literal); arts. 38.1 y 40 y Anexo I del mismo RD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la elige el pliego: resulta del Anexo I del RD 311/2022 y se consigna en el expediente </w:t>
            </w:r>
            <w:r>
              <w:rPr>
                <w:rFonts w:ascii="Calibri" w:cs="Calibri" w:eastAsia="Calibri" w:hAnsi="Calibri"/>
                <w:b/>
                <w:bCs/>
                <w:sz w:val="18"/>
                <w:szCs w:val="18"/>
              </w:rPr>
              <w:t xml:space="preserve">antes</w:t>
            </w:r>
            <w:r>
              <w:rPr>
                <w:rFonts w:ascii="Calibri" w:cs="Calibri" w:eastAsia="Calibri" w:hAnsi="Calibri"/>
                <w:b w:val="false"/>
                <w:bCs w:val="false"/>
                <w:sz w:val="18"/>
                <w:szCs w:val="18"/>
              </w:rPr>
              <w:t xml:space="preserve"> de aprobarlo. Certificación sólo en categorías MEDIA y ALTA; declaración por autoevaluación en BÁSICA. </w:t>
            </w:r>
            <w:r>
              <w:rPr>
                <w:rFonts w:ascii="Calibri" w:cs="Calibri" w:eastAsia="Calibri" w:hAnsi="Calibri"/>
                <w:b/>
                <w:bCs/>
                <w:sz w:val="18"/>
                <w:szCs w:val="18"/>
              </w:rPr>
              <w:t xml:space="preserve">Es la cláusula del supuesto de la Resolución 383/2024: sin justificación de la categoría en la memoria del expediente, el pliego cae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art. 16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se define por lo que la interfaz debe hacer, no por el protocolo que use; el protocolo concreto se cita fuera del articulado, como referencia técnica no normativa. Ámbito modulado a los módulos, funciones mínimas y funciones adicionales ofertables relacionados en 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que es su </w:t>
            </w:r>
            <w:r>
              <w:rPr>
                <w:rFonts w:ascii="Calibri" w:cs="Calibri" w:eastAsia="Calibri" w:hAnsi="Calibri"/>
                <w:b/>
                <w:bCs/>
                <w:sz w:val="18"/>
                <w:szCs w:val="18"/>
              </w:rPr>
              <w:t xml:space="preserve">sede única</w:t>
            </w:r>
            <w:r>
              <w:rPr>
                <w:rFonts w:ascii="Calibri" w:cs="Calibri" w:eastAsia="Calibri" w:hAnsi="Calibri"/>
                <w:b w:val="false"/>
                <w:bCs w:val="false"/>
                <w:sz w:val="18"/>
                <w:szCs w:val="18"/>
              </w:rPr>
              <w:t xml:space="preserve"> en el pliego (art. 116.4.e; Anexo XXV). No se puntúa la tenencia previa: lo que se valora es el alcance comprometido, se entregue de origen o mediante desarrollo en plazo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obligación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111.1 y 126.2 LCSP; art. 28.3.g) RGPD; arts. 16 y 17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cláusula intrínsecamente pro-competitiva: elimina la dependencia tecnológica y entrega al siguiente procedimiento un Dossier depurado que reduce la ventaja del contratista saliente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transcrita físicamente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122.4 y 126.2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de la evolución exigible está determinado y fechado antes de licitar, de modo que el licitador puede presupuestarlo. La invariabilidad durante la vigencia impide la remisión a versiones futuras del Anexo</w:t>
            </w:r>
          </w:p>
        </w:tc>
      </w:tr>
    </w:tbl>
    <w:p>
      <w:pPr>
        <w:spacing w:after="200"/>
      </w:pPr>
    </w:p>
    <w:p>
      <w:pPr>
        <w:pStyle w:val="Heading3"/>
        <w:keepNext/>
        <w:spacing w:after="140" w:before="320"/>
      </w:pPr>
      <w:r>
        <w:rPr>
          <w:rFonts w:ascii="Georgia" w:cs="Georgia" w:eastAsia="Georgia" w:hAnsi="Georgia"/>
          <w:b/>
          <w:bCs/>
          <w:color w:val="2F5496"/>
          <w:sz w:val="22"/>
          <w:szCs w:val="22"/>
        </w:rPr>
        <w:t xml:space="preserve">M2.2 · Cláusulas administrativas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(contratos SARA) o condición especial de ejecución (resto)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93.1 y 93.2 LCSP; art. 202 LCSP para la modalidad de compromiso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admisión de </w:t>
            </w:r>
            <w:r>
              <w:rPr>
                <w:rFonts w:ascii="Calibri" w:cs="Calibri" w:eastAsia="Calibri" w:hAnsi="Calibri"/>
                <w:b w:val="false"/>
                <w:bCs w:val="false"/>
                <w:i/>
                <w:iCs/>
                <w:sz w:val="18"/>
                <w:szCs w:val="18"/>
              </w:rPr>
              <w:t xml:space="preserve">otras pruebas de medidas equivalentes</w:t>
            </w:r>
            <w:r>
              <w:rPr>
                <w:rFonts w:ascii="Calibri" w:cs="Calibri" w:eastAsia="Calibri" w:hAnsi="Calibri"/>
                <w:b w:val="false"/>
                <w:bCs w:val="false"/>
                <w:sz w:val="18"/>
                <w:szCs w:val="18"/>
              </w:rPr>
              <w:t xml:space="preserve">. La certificación no se puntúa nunca como criterio de adjudicación. La obligación se ancla al sistema de gestión aplicado a la solución contratada, no a la empresa en abstracto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CEE esencial: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Arts. 202.1 y 202.2 LCSP</w:t>
            </w:r>
            <w:r>
              <w:rPr>
                <w:rFonts w:ascii="Calibri" w:cs="Calibri" w:eastAsia="Calibri" w:hAnsi="Calibri"/>
                <w:b w:val="false"/>
                <w:bCs w:val="false"/>
                <w:sz w:val="18"/>
                <w:szCs w:val="18"/>
              </w:rPr>
              <w:t xml:space="preserve"> (la innovación es materia expresa de CEE); art. 145.6 LCSP (vinculación por ciclo de vida); art. 126.2 LCSP; art. 70 Directiva 2014/24/UE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Alcance cerrado al Anexo V (regla de agotamiento); hechos desencadenantes objetivamente verificables, redactados con el molde del art. 204.1.b) LCSP; medios de acreditación tasados; plazo uniforme sin plazos inferiores </w:t>
            </w:r>
            <w:r>
              <w:rPr>
                <w:rFonts w:ascii="Calibri" w:cs="Calibri" w:eastAsia="Calibri" w:hAnsi="Calibri"/>
                <w:b w:val="false"/>
                <w:bCs w:val="false"/>
                <w:i/>
                <w:iCs/>
                <w:sz w:val="18"/>
                <w:szCs w:val="18"/>
              </w:rPr>
              <w:t xml:space="preserve">ad hoc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de adaptación,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ejecución + 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 </w:t>
            </w:r>
            <w:r>
              <w:rPr>
                <w:rFonts w:ascii="Calibri" w:cs="Calibri" w:eastAsia="Calibri" w:hAnsi="Calibri"/>
                <w:b/>
                <w:bCs/>
                <w:sz w:val="18"/>
                <w:szCs w:val="18"/>
              </w:rPr>
              <w:t xml:space="preserve">art. 308.3 LCSP</w:t>
            </w:r>
            <w:r>
              <w:rPr>
                <w:rFonts w:ascii="Calibri" w:cs="Calibri" w:eastAsia="Calibri" w:hAnsi="Calibri"/>
                <w:b w:val="false"/>
                <w:bCs w:val="false"/>
                <w:sz w:val="18"/>
                <w:szCs w:val="18"/>
              </w:rPr>
              <w:t xml:space="preserve"> (definición por componentes de prestación y precio por unidades de actividad, con concreción de funcionalidades por la Administración durante la ejecución en los términos previstos en el PCAP), con la cautela del </w:t>
            </w:r>
            <w:r>
              <w:rPr>
                <w:rFonts w:ascii="Calibri" w:cs="Calibri" w:eastAsia="Calibri" w:hAnsi="Calibri"/>
                <w:b/>
                <w:bCs/>
                <w:sz w:val="18"/>
                <w:szCs w:val="18"/>
              </w:rPr>
              <w:t xml:space="preserve">art. 308.2</w:t>
            </w:r>
            <w:r>
              <w:rPr>
                <w:rFonts w:ascii="Calibri" w:cs="Calibri" w:eastAsia="Calibri" w:hAnsi="Calibri"/>
                <w:b w:val="false"/>
                <w:bCs w:val="false"/>
                <w:sz w:val="18"/>
                <w:szCs w:val="18"/>
              </w:rPr>
              <w:t xml:space="preserve">; arts. 100.2 y 101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precios unitarios los oferta el propio licitador (Anexo X.3). El régimen de las peticiones de servicio y el límite del art. 308.2 LCSP se exponen en el §M6.5. Sólo cabe en contratos de desarrollo o mantenimiento de aplicaciones informáticas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Comisión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Organización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62 LCSP; arts. 4.3 y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impone al contratista medios adicionales más allá de la asistencia a un número tasado de sesiones al año, fijado en el pliego. Las actas tienen valor probatorio tasado, lo que reduce la discrecionalidad del órgano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192.1 LCSP</w:t>
            </w:r>
            <w:r>
              <w:rPr>
                <w:rFonts w:ascii="Calibri" w:cs="Calibri" w:eastAsia="Calibri" w:hAnsi="Calibri"/>
                <w:b w:val="false"/>
                <w:bCs w:val="false"/>
                <w:sz w:val="18"/>
                <w:szCs w:val="18"/>
              </w:rPr>
              <w:t xml:space="preserve"> (10 % por penalidad y 50 % del total, IVA excluido); art. 202.3 LCSP; art. 194.1 LCSP (imposición por acuerdo del órgano de contratación, a propuesta del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Tipificación por hechos verificables y no por conceptos; graduación en leves, graves y muy graves; requerimiento de subsanación previo y audiencia antes de la imposición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Causa de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211.1.f) LCSP</w:t>
            </w:r>
            <w:r>
              <w:rPr>
                <w:rFonts w:ascii="Calibri" w:cs="Calibri" w:eastAsia="Calibri" w:hAnsi="Calibri"/>
                <w:b w:val="false"/>
                <w:bCs w:val="false"/>
                <w:sz w:val="18"/>
                <w:szCs w:val="18"/>
              </w:rPr>
              <w:t xml:space="preserve"> con sus dos requisitos acumulativos (art. 34.1 y enumeración </w:t>
            </w:r>
            <w:r>
              <w:rPr>
                <w:rFonts w:ascii="Calibri" w:cs="Calibri" w:eastAsia="Calibri" w:hAnsi="Calibri"/>
                <w:b w:val="false"/>
                <w:bCs w:val="false"/>
                <w:i/>
                <w:iCs/>
                <w:sz w:val="18"/>
                <w:szCs w:val="18"/>
              </w:rPr>
              <w:t xml:space="preserve">«precisa, clara e inequívoca […] no siendo admisibles cláusulas de tipo general»</w:t>
            </w:r>
            <w:r>
              <w:rPr>
                <w:rFonts w:ascii="Calibri" w:cs="Calibri" w:eastAsia="Calibri" w:hAnsi="Calibri"/>
                <w:b w:val="false"/>
                <w:bCs w:val="false"/>
                <w:sz w:val="18"/>
                <w:szCs w:val="18"/>
              </w:rPr>
              <w:t xml:space="preserve">);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art. 202.1 párr. 3.º (sólo si hay cesión de datos) y art. 122.2 (sólo si hay tratamiento por cuenta del responsable); art. 212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de incumplimientos tasados, con cláusula de cierre. Requerimiento de subsanación y juicio comparativo de perjuicios antes de resolver. Las obligaciones que no figuren en la lista sólo generan penalidad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145.4, 145.5, 145.6 y 145.7 LCSP; arts. 146.2 y 146.2.a) LCSP; arts. 159.1.b) y 159.6 LCSP; </w:t>
            </w:r>
            <w:r>
              <w:rPr>
                <w:rFonts w:ascii="Calibri" w:cs="Calibri" w:eastAsia="Calibri" w:hAnsi="Calibri"/>
                <w:b/>
                <w:bCs/>
                <w:sz w:val="18"/>
                <w:szCs w:val="18"/>
              </w:rPr>
              <w:t xml:space="preserve">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triple (nada puede ser a la vez solvencia y criterio, ni prescripción obligatoria y criterio, ni criterio y condición especial de ejecución); preponderancia de los criterios por fórmula; no se puntúa tenencia previa, certificaciones ni experiencia; ficha de verificabilidad por criterio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propiedad y derechos de uso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308.1 LCSP</w:t>
            </w:r>
            <w:r>
              <w:rPr>
                <w:rFonts w:ascii="Calibri" w:cs="Calibri" w:eastAsia="Calibri" w:hAnsi="Calibri"/>
                <w:b w:val="false"/>
                <w:bCs w:val="false"/>
                <w:sz w:val="18"/>
                <w:szCs w:val="18"/>
              </w:rPr>
              <w:t xml:space="preserve">; arts. 43.1 y 43.2, 97.4, 99 y 100 TRLPI; arts. 157 y 158 Ley 40/2015; arts. 16 y 17 RD 4/2010; art. 34.1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titularidad se limita al desarrollo específico realizado para el Ayuntamiento: </w:t>
            </w:r>
            <w:r>
              <w:rPr>
                <w:rFonts w:ascii="Calibri" w:cs="Calibri" w:eastAsia="Calibri" w:hAnsi="Calibri"/>
                <w:b/>
                <w:bCs/>
                <w:sz w:val="18"/>
                <w:szCs w:val="18"/>
              </w:rPr>
              <w:t xml:space="preserve">no se exige el código fuente del producto base</w:t>
            </w:r>
            <w:r>
              <w:rPr>
                <w:rFonts w:ascii="Calibri" w:cs="Calibri" w:eastAsia="Calibri" w:hAnsi="Calibri"/>
                <w:b w:val="false"/>
                <w:bCs w:val="false"/>
                <w:sz w:val="18"/>
                <w:szCs w:val="18"/>
              </w:rPr>
              <w:t xml:space="preserve">, que es lo que expulsaría del procedimiento a los fabricantes de producto. Licencia mínima supletoria y reserva de derechos morales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145.5.c) y 146.2 LCSP; arts. 26, 27.2 y 30.2 RD 817/2009; </w:t>
            </w:r>
            <w:r>
              <w:rPr>
                <w:rFonts w:ascii="Calibri" w:cs="Calibri" w:eastAsia="Calibri" w:hAnsi="Calibri"/>
                <w:b/>
                <w:bCs/>
                <w:sz w:val="18"/>
                <w:szCs w:val="18"/>
              </w:rPr>
              <w:t xml:space="preserve">DA 15.ª.2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Caso de uso único, predefinido e idéntico para todos, sobre datos ficticios o anonimizados; relación cerrada y numerada de elementos verificables publicada en el pliego, conforme al modelo del Anexo XX; momento procedimental imperativo; </w:t>
            </w:r>
            <w:r>
              <w:rPr>
                <w:rFonts w:ascii="Calibri" w:cs="Calibri" w:eastAsia="Calibri" w:hAnsi="Calibri"/>
                <w:b/>
                <w:bCs/>
                <w:sz w:val="18"/>
                <w:szCs w:val="18"/>
              </w:rPr>
              <w:t xml:space="preserve">no constituye criterio de adjudicación y no atribuye puntuación alguna</w:t>
            </w:r>
            <w:r>
              <w:rPr>
                <w:rFonts w:ascii="Calibri" w:cs="Calibri" w:eastAsia="Calibri" w:hAnsi="Calibri"/>
                <w:b w:val="false"/>
                <w:bCs w:val="false"/>
                <w:sz w:val="18"/>
                <w:szCs w:val="18"/>
              </w:rPr>
              <w:t xml:space="preserve">: sólo confirma o retira la puntuación ya asignada a lo declarado por escrito en la oferta; no acredita solvencia y no funda por sí sola la exclusión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Instrumento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62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Deja de ser fuente autónoma de obligaciones esenciales: sólo los hitos expresamente aprobados por el órgano de contratación y con fecha cierta en acta pueden tener ese carácter. El formato del Plan es el del Anexo XIV</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100.2 y 202 LCSP; art. 211.1.b) LCSP (concurso); art. 99 TRLPI (la entrega del soporte no confiere derecho de reproducción); RD 311/2022, Anexo II, medida [op.cont.4] «Medios alternativos», </w:t>
            </w:r>
            <w:r>
              <w:rPr>
                <w:rFonts w:ascii="Calibri" w:cs="Calibri" w:eastAsia="Calibri" w:hAnsi="Calibri"/>
                <w:b/>
                <w:bCs/>
                <w:sz w:val="18"/>
                <w:szCs w:val="18"/>
              </w:rPr>
              <w:t xml:space="preserve">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Disparadores objetivos de servicio, no la mera declaración de concurso; ámbito acotado por umbrales; </w:t>
            </w:r>
            <w:r>
              <w:rPr>
                <w:rFonts w:ascii="Calibri" w:cs="Calibri" w:eastAsia="Calibri" w:hAnsi="Calibri"/>
                <w:b/>
                <w:bCs/>
                <w:sz w:val="18"/>
                <w:szCs w:val="18"/>
              </w:rPr>
              <w:t xml:space="preserve">acuerdo tripartito</w:t>
            </w:r>
            <w:r>
              <w:rPr>
                <w:rFonts w:ascii="Calibri" w:cs="Calibri" w:eastAsia="Calibri" w:hAnsi="Calibri"/>
                <w:b w:val="false"/>
                <w:bCs w:val="false"/>
                <w:sz w:val="18"/>
                <w:szCs w:val="18"/>
              </w:rPr>
              <w:t xml:space="preserve"> cuando el adjudicatario sea integrador, para no excluir de hecho a quien no es titular del producto; licencia condicionada con finalidad tasada y sin explotación comercial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4.3, 6.3, 6.4, 6.7, 20.3, 30.1 y 30.3 RD 424/2017; arts. 214 y 220 a 222 TRLRHL; DA 3.ª.3 LCSP; art. 33.4.d) RD 424/2017 </w:t>
            </w:r>
            <w:r>
              <w:rPr>
                <w:rFonts w:ascii="Calibri" w:cs="Calibri" w:eastAsia="Calibri" w:hAnsi="Calibri"/>
                <w:b/>
                <w:bCs/>
                <w:sz w:val="18"/>
                <w:szCs w:val="18"/>
              </w:rPr>
              <w:t xml:space="preserve">para operaciones, saldos y costes en auditoría pública</w:t>
            </w:r>
            <w:r>
              <w:rPr>
                <w:rFonts w:ascii="Calibri" w:cs="Calibri" w:eastAsia="Calibri" w:hAnsi="Calibri"/>
                <w:b w:val="false"/>
                <w:bCs w:val="false"/>
                <w:sz w:val="18"/>
                <w:szCs w:val="18"/>
              </w:rPr>
              <w:t xml:space="preserve">; art. 28.3.h)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fija en el pliego un </w:t>
            </w:r>
            <w:r>
              <w:rPr>
                <w:rFonts w:ascii="Calibri" w:cs="Calibri" w:eastAsia="Calibri" w:hAnsi="Calibri"/>
                <w:b/>
                <w:bCs/>
                <w:sz w:val="18"/>
                <w:szCs w:val="18"/>
              </w:rPr>
              <w:t xml:space="preserve">número de accesos de control incluido en el precio</w:t>
            </w:r>
            <w:r>
              <w:rPr>
                <w:rFonts w:ascii="Calibri" w:cs="Calibri" w:eastAsia="Calibri" w:hAnsi="Calibri"/>
                <w:b w:val="false"/>
                <w:bCs w:val="false"/>
                <w:sz w:val="18"/>
                <w:szCs w:val="18"/>
              </w:rPr>
              <w:t xml:space="preserve">, en lugar de prohibir el licenciamiento por usuario —prohibición que excluiría de facto los modelos SaaS del mercado—. Deber de sigilo del art. 5.1 RD 424/2017. Diccionario de datos y exportación en formato abierto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202.1 LCSP; art. 28 RGPD, y art. 122.2 LCSP cuando exista encargo de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versa sobre el tratamiento de </w:t>
            </w:r>
            <w:r>
              <w:rPr>
                <w:rFonts w:ascii="Calibri" w:cs="Calibri" w:eastAsia="Calibri" w:hAnsi="Calibri"/>
                <w:b/>
                <w:bCs/>
                <w:sz w:val="18"/>
                <w:szCs w:val="18"/>
              </w:rPr>
              <w:t xml:space="preserve">información municipal en la ejecución del contrato</w:t>
            </w:r>
            <w:r>
              <w:rPr>
                <w:rFonts w:ascii="Calibri" w:cs="Calibri" w:eastAsia="Calibri" w:hAnsi="Calibri"/>
                <w:b w:val="false"/>
                <w:bCs w:val="false"/>
                <w:sz w:val="18"/>
                <w:szCs w:val="18"/>
              </w:rPr>
              <w:t xml:space="preserve">, no sobre las herramientas internas del contratista ajenas a ella. La autorización de altas no puede denegarse sin motivación ni en plazo indefinido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(art. 204)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modificación prevista + cláusula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203, 204.1.a) y b), 206,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cuantificada; disparadores anclados a hechos publicados y datables; Cuadro de Precios Unitarios como único sistema de fijación del precio; mención obligatoria de que la modificación no puede suponer nuevos precios unitarios; </w:t>
            </w:r>
            <w:r>
              <w:rPr>
                <w:rFonts w:ascii="Calibri" w:cs="Calibri" w:eastAsia="Calibri" w:hAnsi="Calibri"/>
                <w:b/>
                <w:bCs/>
                <w:sz w:val="18"/>
                <w:szCs w:val="18"/>
              </w:rPr>
              <w:t xml:space="preserve">por defecto no se incorpora</w:t>
            </w:r>
          </w:p>
        </w:tc>
      </w:tr>
    </w:tbl>
    <w:p>
      <w:pPr>
        <w:spacing w:after="200"/>
      </w:pPr>
    </w:p>
    <w:p>
      <w:pPr>
        <w:pStyle w:val="Heading3"/>
        <w:keepNext/>
        <w:spacing w:after="140" w:before="320"/>
      </w:pPr>
      <w:r>
        <w:rPr>
          <w:rFonts w:ascii="Georgia" w:cs="Georgia" w:eastAsia="Georgia" w:hAnsi="Georgia"/>
          <w:b/>
          <w:bCs/>
          <w:color w:val="2F5496"/>
          <w:sz w:val="22"/>
          <w:szCs w:val="22"/>
        </w:rPr>
        <w:t xml:space="preserve">M2.3 · Dos filas que se han eliminado, y por qué</w:t>
      </w:r>
    </w:p>
    <w:p>
      <w:pPr>
        <w:spacing w:after="140" w:line="276"/>
      </w:pPr>
      <w:r>
        <w:rPr>
          <w:rFonts w:ascii="Calibri" w:cs="Calibri" w:eastAsia="Calibri" w:hAnsi="Calibri"/>
          <w:sz w:val="21"/>
          <w:szCs w:val="21"/>
        </w:rPr>
        <w:t xml:space="preserve">Se hace constar expresamente, porque quien compare este catálogo con el clausulado de junio de 2026 lo notará:</w:t>
      </w:r>
    </w:p>
    <w:p>
      <w:pPr>
        <w:pStyle w:val="ListParagraph"/>
        <w:numPr>
          <w:ilvl w:val="0"/>
          <w:numId w:val="1"/>
        </w:numPr>
        <w:spacing w:after="70" w:line="268"/>
      </w:pPr>
      <w:r>
        <w:rPr>
          <w:rFonts w:ascii="Calibri" w:cs="Calibri" w:eastAsia="Calibri" w:hAnsi="Calibri"/>
          <w:b/>
          <w:bCs/>
          <w:sz w:val="21"/>
          <w:szCs w:val="21"/>
        </w:rPr>
        <w:t xml:space="preserve">«DT-1 a DT-7 · fundamento: […] estándar MCP»</w:t>
      </w:r>
      <w:r>
        <w:rPr>
          <w:rFonts w:ascii="Calibri" w:cs="Calibri" w:eastAsia="Calibri" w:hAnsi="Calibri"/>
          <w:sz w:val="21"/>
          <w:szCs w:val="21"/>
        </w:rPr>
        <w:t xml:space="preserve">. Un protocolo de agentes no es norma en el sentido del art. 125 LCSP ni especificación técnica de las del art. 126.5.b), y </w:t>
      </w:r>
      <w:r>
        <w:rPr>
          <w:rFonts w:ascii="Calibri" w:cs="Calibri" w:eastAsia="Calibri" w:hAnsi="Calibri"/>
          <w:b/>
          <w:bCs/>
          <w:sz w:val="21"/>
          <w:szCs w:val="21"/>
        </w:rPr>
        <w:t xml:space="preserve">tampoco puede operar como medio de presunción de conformidad del art. 126.5.c)</w:t>
      </w:r>
      <w:r>
        <w:rPr>
          <w:rFonts w:ascii="Calibri" w:cs="Calibri" w:eastAsia="Calibri" w:hAnsi="Calibri"/>
          <w:sz w:val="21"/>
          <w:szCs w:val="21"/>
        </w:rPr>
        <w:t xml:space="preserve">, porque ese efecto lo reserva la ley a las especificaciones de la letra b). Se ha sustituido por formulación funcional (art. 126.5.a), con el protocolo citado fuera del articulado. El mismo tratamiento se aplica a las normas federales estadounidenses de criptografía post-cuántica.</w:t>
      </w:r>
    </w:p>
    <w:p>
      <w:pPr>
        <w:pStyle w:val="ListParagraph"/>
        <w:numPr>
          <w:ilvl w:val="0"/>
          <w:numId w:val="1"/>
        </w:numPr>
        <w:spacing w:after="70" w:line="268"/>
      </w:pPr>
      <w:r>
        <w:rPr>
          <w:rFonts w:ascii="Calibri" w:cs="Calibri" w:eastAsia="Calibri" w:hAnsi="Calibri"/>
          <w:b/>
          <w:bCs/>
          <w:sz w:val="21"/>
          <w:szCs w:val="21"/>
        </w:rPr>
        <w:t xml:space="preserve">«ADM-8 · fundamento: Pliegos y normativa de propiedad intelectual»</w:t>
      </w:r>
      <w:r>
        <w:rPr>
          <w:rFonts w:ascii="Calibri" w:cs="Calibri" w:eastAsia="Calibri" w:hAnsi="Calibri"/>
          <w:sz w:val="21"/>
          <w:szCs w:val="21"/>
        </w:rPr>
        <w:t xml:space="preserve">. No es un fundamento: es una remisión en blanco. Sustituida por los preceptos del cuadro anterior.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M3 · Neutralidad tecnológica y libre concurrencia</w:t>
      </w:r>
    </w:p>
    <w:p>
      <w:pPr>
        <w:pStyle w:val="Heading3"/>
        <w:keepNext/>
        <w:spacing w:after="140" w:before="320"/>
      </w:pPr>
      <w:r>
        <w:rPr>
          <w:rFonts w:ascii="Georgia" w:cs="Georgia" w:eastAsia="Georgia" w:hAnsi="Georgia"/>
          <w:b/>
          <w:bCs/>
          <w:color w:val="2F5496"/>
          <w:sz w:val="22"/>
          <w:szCs w:val="22"/>
        </w:rPr>
        <w:t xml:space="preserve">M3.1 · Lo que hoy hay, dicho con exactitud</w:t>
      </w:r>
    </w:p>
    <w:p>
      <w:pPr>
        <w:spacing w:after="140" w:line="276"/>
      </w:pPr>
      <w:r>
        <w:rPr>
          <w:rFonts w:ascii="Calibri" w:cs="Calibri" w:eastAsia="Calibri" w:hAnsi="Calibri"/>
          <w:sz w:val="21"/>
          <w:szCs w:val="21"/>
        </w:rPr>
        <w:t xml:space="preserve">El clausulado de junio de 2026 </w:t>
      </w:r>
      <w:r>
        <w:rPr>
          <w:rFonts w:ascii="Calibri" w:cs="Calibri" w:eastAsia="Calibri" w:hAnsi="Calibri"/>
          <w:b/>
          <w:bCs/>
          <w:sz w:val="21"/>
          <w:szCs w:val="21"/>
        </w:rPr>
        <w:t xml:space="preserve">afirma</w:t>
      </w:r>
      <w:r>
        <w:rPr>
          <w:rFonts w:ascii="Calibri" w:cs="Calibri" w:eastAsia="Calibri" w:hAnsi="Calibri"/>
          <w:sz w:val="21"/>
          <w:szCs w:val="21"/>
        </w:rPr>
        <w:t xml:space="preserve"> la neutralidad tecnológica: enumera salvaguardas de redacción y concluye que el texto la respeta. Eso es una declaración de intenciones, no una prueba, y ante una alegación de restricción de la concurrencia no vale nada. </w:t>
      </w:r>
      <w:r>
        <w:rPr>
          <w:rFonts w:ascii="Calibri" w:cs="Calibri" w:eastAsia="Calibri" w:hAnsi="Calibri"/>
          <w:b/>
          <w:bCs/>
          <w:sz w:val="21"/>
          <w:szCs w:val="21"/>
        </w:rPr>
        <w:t xml:space="preserve">A la fecha de esta memoria, la neutralidad de este catálogo está diseñada pero no acreditada.</w:t>
      </w:r>
      <w:r>
        <w:rPr>
          <w:rFonts w:ascii="Calibri" w:cs="Calibri" w:eastAsia="Calibri" w:hAnsi="Calibri"/>
          <w:sz w:val="21"/>
          <w:szCs w:val="21"/>
        </w:rPr>
        <w:t xml:space="preserve"> Se dice aquí, antes de que lo diga un recurrente, y se dice con el remedio al lado.</w:t>
      </w:r>
    </w:p>
    <w:p>
      <w:pPr>
        <w:spacing w:after="140" w:line="276"/>
      </w:pPr>
      <w:r>
        <w:rPr>
          <w:rFonts w:ascii="Calibri" w:cs="Calibri" w:eastAsia="Calibri" w:hAnsi="Calibri"/>
          <w:sz w:val="21"/>
          <w:szCs w:val="21"/>
        </w:rPr>
        <w:t xml:space="preserve">Las salvaguardas de redacción son reales y están en el articulado —formulación funcional, régimen de equivalencia con parámetros y prueba en la oferta, supresión de toda mención nominativa operativa, prohibición de puntuar la tenencia previa, excepción expresa de los servicios comunes—. Pero prueban que el texto no discrimina </w:t>
      </w:r>
      <w:r>
        <w:rPr>
          <w:rFonts w:ascii="Calibri" w:cs="Calibri" w:eastAsia="Calibri" w:hAnsi="Calibri"/>
          <w:i/>
          <w:iCs/>
          <w:sz w:val="21"/>
          <w:szCs w:val="21"/>
        </w:rPr>
        <w:t xml:space="preserve">sobre el papel</w:t>
      </w:r>
      <w:r>
        <w:rPr>
          <w:rFonts w:ascii="Calibri" w:cs="Calibri" w:eastAsia="Calibri" w:hAnsi="Calibri"/>
          <w:sz w:val="21"/>
          <w:szCs w:val="21"/>
        </w:rPr>
        <w:t xml:space="preserve">. No prueban que exista mercado capaz de cumplirlo, que es la pregunta que hará el Tribunal.</w:t>
      </w:r>
    </w:p>
    <w:p>
      <w:pPr>
        <w:pStyle w:val="Heading3"/>
        <w:keepNext/>
        <w:spacing w:after="140" w:before="320"/>
      </w:pPr>
      <w:r>
        <w:rPr>
          <w:rFonts w:ascii="Georgia" w:cs="Georgia" w:eastAsia="Georgia" w:hAnsi="Georgia"/>
          <w:b/>
          <w:bCs/>
          <w:color w:val="2F5496"/>
          <w:sz w:val="22"/>
          <w:szCs w:val="22"/>
        </w:rPr>
        <w:t xml:space="preserve">M3.2 · Cómo se prueba: consulta preliminar del mercado y contraste documentado</w:t>
      </w:r>
    </w:p>
    <w:p>
      <w:pPr>
        <w:spacing w:after="140" w:line="276"/>
      </w:pPr>
      <w:r>
        <w:rPr>
          <w:rFonts w:ascii="Calibri" w:cs="Calibri" w:eastAsia="Calibri" w:hAnsi="Calibri"/>
          <w:sz w:val="21"/>
          <w:szCs w:val="21"/>
        </w:rPr>
        <w:t xml:space="preserve">La neutralidad se acredita con dos piezas, ambas de expediente y ambas reproducibles:</w:t>
      </w:r>
    </w:p>
    <w:p>
      <w:pPr>
        <w:spacing w:after="140" w:line="276"/>
      </w:pPr>
      <w:r>
        <w:rPr>
          <w:rFonts w:ascii="Calibri" w:cs="Calibri" w:eastAsia="Calibri" w:hAnsi="Calibri"/>
          <w:b/>
          <w:bCs/>
          <w:sz w:val="21"/>
          <w:szCs w:val="21"/>
        </w:rPr>
        <w:t xml:space="preserve">(a) Consulta preliminar del mercado (art. 115 LCSP).</w:t>
      </w:r>
      <w:r>
        <w:rPr>
          <w:rFonts w:ascii="Calibri" w:cs="Calibri" w:eastAsia="Calibri" w:hAnsi="Calibri"/>
          <w:sz w:val="21"/>
          <w:szCs w:val="21"/>
        </w:rPr>
        <w:t xml:space="preserve"> Se publica el anuncio de la consulta en el perfil de contratante, abierto a cualquier operador, con el borrador del Anexo V del ejercicio y las preguntas concretas: si cada exigencia es alcanzable, en qué plazo, con qué coste de orden de magnitud, y qué exigencias son excluyentes en la práctica aunque no lo sean en el texto. El resultado —participantes, aportaciones y conclusiones— se recoge en informe que se incorpora al expediente y se publica. </w:t>
      </w:r>
      <w:r>
        <w:rPr>
          <w:rFonts w:ascii="Calibri" w:cs="Calibri" w:eastAsia="Calibri" w:hAnsi="Calibri"/>
          <w:b/>
          <w:bCs/>
          <w:sz w:val="21"/>
          <w:szCs w:val="21"/>
        </w:rPr>
        <w:t xml:space="preserve">El circuito y los plazos de esta consulta están en el §V.4.13, que es su sede operativa, y los modelos de anuncio y de informe, en el Anexo XXII; aquí sólo se explica por qué la consulta es lo que prueba la neutralidad.</w:t>
      </w:r>
      <w:r>
        <w:rPr>
          <w:rFonts w:ascii="Calibri" w:cs="Calibri" w:eastAsia="Calibri" w:hAnsi="Calibri"/>
          <w:sz w:val="21"/>
          <w:szCs w:val="21"/>
        </w:rPr>
        <w:t xml:space="preserve"> El art. 115 impone además dos cautelas que hay que cumplir sin excepción: la consulta no puede tener por efecto falsear la competencia ni otorgar ventaja a quien participe, y la participación en la preparación se rige por el art. 70 LCSP (§M7).</w:t>
      </w:r>
    </w:p>
    <w:p>
      <w:pPr>
        <w:spacing w:after="140" w:line="276"/>
      </w:pPr>
      <w:r>
        <w:rPr>
          <w:rFonts w:ascii="Calibri" w:cs="Calibri" w:eastAsia="Calibri" w:hAnsi="Calibri"/>
          <w:b/>
          <w:bCs/>
          <w:sz w:val="21"/>
          <w:szCs w:val="21"/>
        </w:rPr>
        <w:t xml:space="preserve">(b) Contraste de mercado documentado del Anexo V.</w:t>
      </w:r>
      <w:r>
        <w:rPr>
          <w:rFonts w:ascii="Calibri" w:cs="Calibri" w:eastAsia="Calibri" w:hAnsi="Calibri"/>
          <w:sz w:val="21"/>
          <w:szCs w:val="21"/>
        </w:rPr>
        <w:t xml:space="preserve"> Para cada exigencia del Anexo (ET-1, ET-2, ET-3): número de operadores identificados que acreditan poder cumplirla, fuente de la comprobación, fecha, y —cuando la exigencia se refiera a interoperabilidad con una infraestructura— censo de entidades integradas o integrables. Si una exigencia no supera el contraste, </w:t>
      </w:r>
      <w:r>
        <w:rPr>
          <w:rFonts w:ascii="Calibri" w:cs="Calibri" w:eastAsia="Calibri" w:hAnsi="Calibri"/>
          <w:b/>
          <w:bCs/>
          <w:sz w:val="21"/>
          <w:szCs w:val="21"/>
        </w:rPr>
        <w:t xml:space="preserve">no entra en el Anexo V</w:t>
      </w:r>
      <w:r>
        <w:rPr>
          <w:rFonts w:ascii="Calibri" w:cs="Calibri" w:eastAsia="Calibri" w:hAnsi="Calibri"/>
          <w:sz w:val="21"/>
          <w:szCs w:val="21"/>
        </w:rPr>
        <w:t xml:space="preserve">: se aplaza al ejercicio siguiente. Ésta es la diferencia material entre un catálogo de necesidades y una lista de deseos.</w:t>
      </w:r>
    </w:p>
    <w:p>
      <w:pPr>
        <w:spacing w:after="140" w:line="276"/>
      </w:pPr>
      <w:r>
        <w:rPr>
          <w:rFonts w:ascii="Calibri" w:cs="Calibri" w:eastAsia="Calibri" w:hAnsi="Calibri"/>
          <w:b/>
          <w:bCs/>
          <w:sz w:val="21"/>
          <w:szCs w:val="21"/>
        </w:rPr>
        <w:t xml:space="preserve">(c) Documento de apoyo.</w:t>
      </w:r>
      <w:r>
        <w:rPr>
          <w:rFonts w:ascii="Calibri" w:cs="Calibri" w:eastAsia="Calibri" w:hAnsi="Calibri"/>
          <w:sz w:val="21"/>
          <w:szCs w:val="21"/>
        </w:rPr>
        <w:t xml:space="preserve"> La Guía de la Comisión Nacional de los Mercados y la Competencia </w:t>
      </w:r>
      <w:r>
        <w:rPr>
          <w:rFonts w:ascii="Calibri" w:cs="Calibri" w:eastAsia="Calibri" w:hAnsi="Calibri"/>
          <w:b/>
          <w:bCs/>
          <w:sz w:val="21"/>
          <w:szCs w:val="21"/>
        </w:rPr>
        <w:t xml:space="preserve">sobre la preparación y el diseño de las licitaciones públicas</w:t>
      </w:r>
      <w:r>
        <w:rPr>
          <w:rFonts w:ascii="Calibri" w:cs="Calibri" w:eastAsia="Calibri" w:hAnsi="Calibri"/>
          <w:sz w:val="21"/>
          <w:szCs w:val="21"/>
        </w:rPr>
        <w:t xml:space="preserve"> (ref. G-2023-01, aprobada el 22 de mayo de 2025) incluye orientaciones sobre cómo evitar la dependencia excesiva de un proveedor en mercados tecnológicos. Es el documento que un licitador citará contra un pliego de esta naturaleza; incorporarlo al expediente y acreditar que se han seguido sus pautas es más barato que discutirlo después. Enlace: &lt;https://www.cnmc.es/expedientes/g-2023-01&gt;.</w:t>
      </w:r>
    </w:p>
    <w:p>
      <w:pPr>
        <w:pStyle w:val="Heading3"/>
        <w:keepNext/>
        <w:spacing w:after="140" w:before="320"/>
      </w:pPr>
      <w:r>
        <w:rPr>
          <w:rFonts w:ascii="Georgia" w:cs="Georgia" w:eastAsia="Georgia" w:hAnsi="Georgia"/>
          <w:b/>
          <w:bCs/>
          <w:color w:val="2F5496"/>
          <w:sz w:val="22"/>
          <w:szCs w:val="22"/>
        </w:rPr>
        <w:t xml:space="preserve">M3.3 · Periodicidad: una vez al año, no por expediente</w:t>
      </w:r>
    </w:p>
    <w:p>
      <w:pPr>
        <w:spacing w:after="140" w:line="276"/>
      </w:pPr>
      <w:r>
        <w:rPr>
          <w:rFonts w:ascii="Calibri" w:cs="Calibri" w:eastAsia="Calibri" w:hAnsi="Calibri"/>
          <w:b/>
          <w:bCs/>
          <w:sz w:val="21"/>
          <w:szCs w:val="21"/>
        </w:rPr>
        <w:t xml:space="preserve">La consulta preliminar y el contraste de mercado se hacen una sola vez al año, de forma centralizada, al aprobar el catálogo y su Anexo V</w:t>
      </w:r>
      <w:r>
        <w:rPr>
          <w:rFonts w:ascii="Calibri" w:cs="Calibri" w:eastAsia="Calibri" w:hAnsi="Calibri"/>
          <w:sz w:val="21"/>
          <w:szCs w:val="21"/>
        </w:rPr>
        <w:t xml:space="preserve">, y su resultado se reutiliza en todos los expedientes del ejercicio por incorporación del informe.</w:t>
      </w:r>
    </w:p>
    <w:p>
      <w:pPr>
        <w:spacing w:after="140" w:line="276"/>
      </w:pPr>
      <w:r>
        <w:rPr>
          <w:rFonts w:ascii="Calibri" w:cs="Calibri" w:eastAsia="Calibri" w:hAnsi="Calibri"/>
          <w:sz w:val="21"/>
          <w:szCs w:val="21"/>
        </w:rPr>
        <w:t xml:space="preserve">Hacerlo por expediente sería inasumible y no se haría: ningún área de contratación municipal puede realizar un estudio de mercado de protocolos de agentes cada vez que redacta un pliego, y exigirlo garantizaría que el trámite se cumplimente con un párrafo vacío. Centralizarlo tiene además una ventaja de defensa: cuando el recurrente alegue restricción, el expediente no responde con la opinión del redactor, sino con un informe de consulta pública anterior a la licitación, abierto a todo el mercado y publicado.</w:t>
      </w:r>
    </w:p>
    <w:p>
      <w:pPr>
        <w:spacing w:after="140" w:line="276"/>
      </w:pPr>
      <w:r>
        <w:rPr>
          <w:rFonts w:ascii="Calibri" w:cs="Calibri" w:eastAsia="Calibri" w:hAnsi="Calibri"/>
          <w:b/>
          <w:bCs/>
          <w:sz w:val="21"/>
          <w:szCs w:val="21"/>
        </w:rPr>
        <w:t xml:space="preserve">Efecto sobre la aprobación.</w:t>
      </w:r>
      <w:r>
        <w:rPr>
          <w:rFonts w:ascii="Calibri" w:cs="Calibri" w:eastAsia="Calibri" w:hAnsi="Calibri"/>
          <w:sz w:val="21"/>
          <w:szCs w:val="21"/>
        </w:rPr>
        <w:t xml:space="preserve"> Mientras la consulta del art. 115 y el contraste del Anexo V no consten en el expediente, este apartado M3 sigue afirmando la neutralidad sin probarla, y así debe hacerse constar en el informe jurídico y en la nota de fiscalización. Es una de las tres condiciones suspensivas del §M11.</w:t>
      </w:r>
    </w:p>
    <w:p>
      <w:pPr>
        <w:pStyle w:val="Heading3"/>
        <w:keepNext/>
        <w:spacing w:after="140" w:before="320"/>
      </w:pPr>
      <w:r>
        <w:rPr>
          <w:rFonts w:ascii="Georgia" w:cs="Georgia" w:eastAsia="Georgia" w:hAnsi="Georgia"/>
          <w:b/>
          <w:bCs/>
          <w:color w:val="2F5496"/>
          <w:sz w:val="22"/>
          <w:szCs w:val="22"/>
        </w:rPr>
        <w:t xml:space="preserve">M3.4 · La salvaguarda estructural: separabilidad</w:t>
      </w:r>
    </w:p>
    <w:p>
      <w:pPr>
        <w:spacing w:after="140" w:line="276"/>
      </w:pPr>
      <w:r>
        <w:rPr>
          <w:rFonts w:ascii="Calibri" w:cs="Calibri" w:eastAsia="Calibri" w:hAnsi="Calibri"/>
          <w:sz w:val="21"/>
          <w:szCs w:val="21"/>
        </w:rPr>
        <w:t xml:space="preserve">Ninguna cláusula del catálogo condiciona la validez de otra. La nulidad o anulación de una cláusula o de un criterio no afecta a la validez de las restantes. Cosa distinta del contenido: hay cláusulas que presuponen otras, y esas relaciones de presupuesto necesario están identificadas una a una en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Esta previsión no vincula a ningún tribunal —conviene decirlo—, pero sí obliga al redactor a construir el pliego de manera que la caída de una pieza no obligue a retrotraer todo el procedimiento; y advierte de que el reescalado de ponderaciones de criterios </w:t>
      </w:r>
      <w:r>
        <w:rPr>
          <w:rFonts w:ascii="Calibri" w:cs="Calibri" w:eastAsia="Calibri" w:hAnsi="Calibri"/>
          <w:b/>
          <w:bCs/>
          <w:sz w:val="21"/>
          <w:szCs w:val="21"/>
        </w:rPr>
        <w:t xml:space="preserve">no</w:t>
      </w:r>
      <w:r>
        <w:rPr>
          <w:rFonts w:ascii="Calibri" w:cs="Calibri" w:eastAsia="Calibri" w:hAnsi="Calibri"/>
          <w:sz w:val="21"/>
          <w:szCs w:val="21"/>
        </w:rPr>
        <w:t xml:space="preserve"> es una operación que pueda hacerse una vez conocidas las ofertas (art. 146.3 LCSP: el PCAP precisa la ponderación relativa atribuida a cada criterio). Por eso la separabilidad se aplica sin reservas a cláusulas y obligaciones, y en materia de criterios de adjudicación exige informe jurídico expreso antes de incorporarla al PCAP.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M4 · Proporcionalidad y aplicación graduada</w:t>
      </w:r>
    </w:p>
    <w:p>
      <w:pPr>
        <w:pStyle w:val="Heading3"/>
        <w:keepNext/>
        <w:spacing w:after="140" w:before="320"/>
      </w:pPr>
      <w:r>
        <w:rPr>
          <w:rFonts w:ascii="Georgia" w:cs="Georgia" w:eastAsia="Georgia" w:hAnsi="Georgia"/>
          <w:b/>
          <w:bCs/>
          <w:color w:val="2F5496"/>
          <w:sz w:val="22"/>
          <w:szCs w:val="22"/>
        </w:rPr>
        <w:t xml:space="preserve">M4.1 · La regla general</w:t>
      </w:r>
    </w:p>
    <w:p>
      <w:pPr>
        <w:spacing w:after="140" w:line="276"/>
      </w:pPr>
      <w:r>
        <w:rPr>
          <w:rFonts w:ascii="Calibri" w:cs="Calibri" w:eastAsia="Calibri" w:hAnsi="Calibri"/>
          <w:sz w:val="21"/>
          <w:szCs w:val="21"/>
        </w:rPr>
        <w:t xml:space="preserve">Ninguna cláusula de este catálogo se aplica automáticamente. La proporcionalidad se articula en tres niveles: </w:t>
      </w:r>
      <w:r>
        <w:rPr>
          <w:rFonts w:ascii="Calibri" w:cs="Calibri" w:eastAsia="Calibri" w:hAnsi="Calibri"/>
          <w:b/>
          <w:bCs/>
          <w:sz w:val="21"/>
          <w:szCs w:val="21"/>
        </w:rPr>
        <w:t xml:space="preserve">umbral de activación</w:t>
      </w:r>
      <w:r>
        <w:rPr>
          <w:rFonts w:ascii="Calibri" w:cs="Calibri" w:eastAsia="Calibri" w:hAnsi="Calibri"/>
          <w:sz w:val="21"/>
          <w:szCs w:val="21"/>
        </w:rPr>
        <w:t xml:space="preserve"> (a partir de qué tipo, cuantía o duración de contrato tiene sentido la exigencia), </w:t>
      </w:r>
      <w:r>
        <w:rPr>
          <w:rFonts w:ascii="Calibri" w:cs="Calibri" w:eastAsia="Calibri" w:hAnsi="Calibri"/>
          <w:b/>
          <w:bCs/>
          <w:sz w:val="21"/>
          <w:szCs w:val="21"/>
        </w:rPr>
        <w:t xml:space="preserve">intensidad</w:t>
      </w:r>
      <w:r>
        <w:rPr>
          <w:rFonts w:ascii="Calibri" w:cs="Calibri" w:eastAsia="Calibri" w:hAnsi="Calibri"/>
          <w:sz w:val="21"/>
          <w:szCs w:val="21"/>
        </w:rPr>
        <w:t xml:space="preserve"> (qué versión de la cláusula se aplica) y </w:t>
      </w:r>
      <w:r>
        <w:rPr>
          <w:rFonts w:ascii="Calibri" w:cs="Calibri" w:eastAsia="Calibri" w:hAnsi="Calibri"/>
          <w:b/>
          <w:bCs/>
          <w:sz w:val="21"/>
          <w:szCs w:val="21"/>
        </w:rPr>
        <w:t xml:space="preserve">verificabilidad</w:t>
      </w:r>
      <w:r>
        <w:rPr>
          <w:rFonts w:ascii="Calibri" w:cs="Calibri" w:eastAsia="Calibri" w:hAnsi="Calibri"/>
          <w:sz w:val="21"/>
          <w:szCs w:val="21"/>
        </w:rPr>
        <w:t xml:space="preserve"> (si el Ayuntamiento puede realmente comprobarla). Un catálogo que crea obligaciones esenciales que nadie verifica es peor que no tener catálogo: la Intervención lo hará constar, y con razón.</w:t>
      </w:r>
    </w:p>
    <w:p>
      <w:pPr>
        <w:pStyle w:val="Heading3"/>
        <w:keepNext/>
        <w:spacing w:after="140" w:before="320"/>
      </w:pPr>
      <w:r>
        <w:rPr>
          <w:rFonts w:ascii="Georgia" w:cs="Georgia" w:eastAsia="Georgia" w:hAnsi="Georgia"/>
          <w:b/>
          <w:bCs/>
          <w:color w:val="2F5496"/>
          <w:sz w:val="22"/>
          <w:szCs w:val="22"/>
        </w:rPr>
        <w:t xml:space="preserve">M4.2 · Umbrales de activación y valores por defecto</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w:t>
      </w:r>
      <w:r>
        <w:rPr>
          <w:rFonts w:ascii="Calibri" w:cs="Calibri" w:eastAsia="Calibri" w:hAnsi="Calibri"/>
          <w:b/>
          <w:bCs/>
          <w:sz w:val="21"/>
          <w:szCs w:val="21"/>
        </w:rPr>
        <w:t xml:space="preserve">En caso de discrepancia entre un valor de este cuadro y el de la cláusula correspondiente, prevalece el de la cláusula.</w:t>
      </w:r>
      <w:r>
        <w:rPr>
          <w:rFonts w:ascii="Calibri" w:cs="Calibri" w:eastAsia="Calibri" w:hAnsi="Calibri"/>
          <w:sz w:val="21"/>
          <w:szCs w:val="21"/>
        </w:rPr>
        <w:t xml:space="preserve"> Si se detecta una discrepancia, se corrige el cuadro, nunca la cláusula. La misma regla rige entre este cuadro y el Anexo X.</w:t>
      </w:r>
    </w:p>
    <w:p>
      <w:pPr>
        <w:spacing w:after="140" w:line="276"/>
      </w:pPr>
      <w:r>
        <w:rPr>
          <w:rFonts w:ascii="Calibri" w:cs="Calibri" w:eastAsia="Calibri" w:hAnsi="Calibri"/>
          <w:sz w:val="21"/>
          <w:szCs w:val="21"/>
        </w:rPr>
        <w:t xml:space="preserve">Los valores que siguen son </w:t>
      </w:r>
      <w:r>
        <w:rPr>
          <w:rFonts w:ascii="Calibri" w:cs="Calibri" w:eastAsia="Calibri" w:hAnsi="Calibri"/>
          <w:b/>
          <w:bCs/>
          <w:sz w:val="21"/>
          <w:szCs w:val="21"/>
        </w:rPr>
        <w:t xml:space="preserve">recomendados</w:t>
      </w:r>
      <w:r>
        <w:rPr>
          <w:rFonts w:ascii="Calibri" w:cs="Calibri" w:eastAsia="Calibri" w:hAnsi="Calibri"/>
          <w:sz w:val="21"/>
          <w:szCs w:val="21"/>
        </w:rPr>
        <w:t xml:space="preserve">. El órgano de contratación puede apartarse de ellos motivadamente en el expediente; lo que no puede es dejarlos en blanco. Los importes se refieren al </w:t>
      </w:r>
      <w:r>
        <w:rPr>
          <w:rFonts w:ascii="Calibri" w:cs="Calibri" w:eastAsia="Calibri" w:hAnsi="Calibri"/>
          <w:b/>
          <w:bCs/>
          <w:sz w:val="21"/>
          <w:szCs w:val="21"/>
        </w:rPr>
        <w:t xml:space="preserve">valor estimado, IVA excluido</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de activación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el PPT cite una norma, un producto, una red o un protocolo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 la baja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objeto incluye un sistema de IA, o su despliegue 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necesidad acreditada de prueba de integridad frente a terceros o de credenciales verificables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necesidad declarada por el servicio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datos con conservación superior a [X; se recomienda 5] años o categorías especiales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padrón histórico, expedientes de larga conservación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PPT publica una lista cerrada y numerada de 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si el objeto es intensivo en tramitación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interopera con servicios comunes o intercambia datos con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(art. 2.3 RD 311/2022), en la </w:t>
            </w:r>
            <w:r>
              <w:rPr>
                <w:rFonts w:ascii="Calibri" w:cs="Calibri" w:eastAsia="Calibri" w:hAnsi="Calibri"/>
                <w:b/>
                <w:bCs/>
                <w:sz w:val="18"/>
                <w:szCs w:val="18"/>
              </w:rPr>
              <w:t xml:space="preserve">categoría resultante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es opcional ni elegible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Módulos identificados en el apartado 1 del Apéndice técnico 2 · Exigencias tecnológicas determinadas del PPT, que transcribe recortado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si el contrato es de desarrollo del propio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dato municipal o desarrollo específico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y duración suficientes para que la evolución tenga sentido económico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acuerdo del órgano de gobierno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sistema de gestión de IA como </w:t>
            </w:r>
            <w:r>
              <w:rPr>
                <w:rFonts w:ascii="Calibri" w:cs="Calibri" w:eastAsia="Calibri" w:hAnsi="Calibri"/>
                <w:b/>
                <w:bCs/>
                <w:sz w:val="18"/>
                <w:szCs w:val="18"/>
              </w:rPr>
              <w:t xml:space="preserve">solvencia</w:t>
            </w:r>
            <w:r>
              <w:rPr>
                <w:rFonts w:ascii="Calibri" w:cs="Calibri" w:eastAsia="Calibri" w:hAnsi="Calibri"/>
                <w:b w:val="false"/>
                <w:bCs w:val="false"/>
                <w:sz w:val="18"/>
                <w:szCs w:val="18"/>
              </w:rPr>
              <w:t xml:space="preserve"> sólo en contratos sujetos a regulación armonizada; en el resto, compromiso de obtención como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sólo por encima del umbral de regulación armonizada vigente en la fecha de la licitación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como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aplica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Vinculado a DT-9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contratos de </w:t>
            </w:r>
            <w:r>
              <w:rPr>
                <w:rFonts w:ascii="Calibri" w:cs="Calibri" w:eastAsia="Calibri" w:hAnsi="Calibri"/>
                <w:b/>
                <w:bCs/>
                <w:sz w:val="18"/>
                <w:szCs w:val="18"/>
              </w:rPr>
              <w:t xml:space="preserve">desarrollo o mantenimiento de aplicaciones</w:t>
            </w:r>
            <w:r>
              <w:rPr>
                <w:rFonts w:ascii="Calibri" w:cs="Calibri" w:eastAsia="Calibri" w:hAnsi="Calibri"/>
                <w:b w:val="false"/>
                <w:bCs w:val="false"/>
                <w:sz w:val="18"/>
                <w:szCs w:val="18"/>
              </w:rPr>
              <w:t xml:space="preserve">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bolsa [X; se recomienda 5] % del presupuesto base de licitación correspondiente a la duración inicial,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sólo con Cuadro de Precios Unitarios ofertado, y </w:t>
            </w:r>
            <w:r>
              <w:rPr>
                <w:rFonts w:ascii="Calibri" w:cs="Calibri" w:eastAsia="Calibri" w:hAnsi="Calibri"/>
                <w:b/>
                <w:bCs/>
                <w:sz w:val="18"/>
                <w:szCs w:val="18"/>
              </w:rPr>
              <w:t xml:space="preserve">nunca por encima del 10 % de esa misma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siempre (art. 62). Comisión de seguimiento: contratos de cierta entidad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si VE ≥ [X; se recomienda 60.000] €; [X; se recomienda 2] sesiones/año, [X; se recomienda 4] en el primer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en contratos con Anexo V exigente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Máximos legales: 10 % por penalidad, 50 % acumulado,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al alza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 su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ampliar por analogía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bloque tenga peso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innovación [X; se recomienda 25] % del total de criterios del contrato; </w:t>
            </w:r>
            <w:r>
              <w:rPr>
                <w:rFonts w:ascii="Calibri" w:cs="Calibri" w:eastAsia="Calibri" w:hAnsi="Calibri"/>
                <w:b/>
                <w:bCs/>
                <w:sz w:val="18"/>
                <w:szCs w:val="18"/>
              </w:rPr>
              <w:t xml:space="preserve">el 40 % es límite absoluto y no es superable</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hasta el 40 % con motivación reforzada; por encima del 40 %,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desarrollo específico o parametrización sustantiva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aplicable a suministro de software estándar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de cierta entidad, nunca en tramitación abreviada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200.000] €; prohibida en art. 159.6; en simplificado sólo dentro de los topes del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informe jurídico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y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w:t>
            </w:r>
            <w:r>
              <w:rPr>
                <w:rFonts w:ascii="Calibri" w:cs="Calibri" w:eastAsia="Calibri" w:hAnsi="Calibri"/>
                <w:b/>
                <w:bCs/>
                <w:sz w:val="18"/>
                <w:szCs w:val="18"/>
              </w:rPr>
              <w:t xml:space="preserve">cuatro</w:t>
            </w:r>
            <w:r>
              <w:rPr>
                <w:rFonts w:ascii="Calibri" w:cs="Calibri" w:eastAsia="Calibri" w:hAnsi="Calibri"/>
                <w:b w:val="false"/>
                <w:bCs w:val="false"/>
                <w:sz w:val="18"/>
                <w:szCs w:val="18"/>
              </w:rPr>
              <w:t xml:space="preserve"> circunstancias del apartado 1 de ADM-11·v3, que son </w:t>
            </w:r>
            <w:r>
              <w:rPr>
                <w:rFonts w:ascii="Calibri" w:cs="Calibri" w:eastAsia="Calibri" w:hAnsi="Calibri"/>
                <w:b/>
                <w:bCs/>
                <w:sz w:val="18"/>
                <w:szCs w:val="18"/>
              </w:rPr>
              <w:t xml:space="preserve">acumulativas y no alternativas</w:t>
            </w:r>
            <w:r>
              <w:rPr>
                <w:rFonts w:ascii="Calibri" w:cs="Calibri" w:eastAsia="Calibri" w:hAnsi="Calibri"/>
                <w:b w:val="false"/>
                <w:bCs w:val="false"/>
                <w:sz w:val="18"/>
                <w:szCs w:val="18"/>
              </w:rPr>
              <w:t xml:space="preserve">: categoría ENS ALTA en la dimensión de disponibilidad; umbral económico; servicio de la lista tasada (padrón, tributos, recaudación, contabilidad, gestión de expedientes, sede); y estudio de mercado que acredite que no hay alternativa sustituible en el plazo previsto. En defecto de cualquiera de ellas, </w:t>
            </w: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&gt; [X; se recomienda 300.000]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por reinterpretación de las circunstancias: sólo motivando en la memoria la rebaja de la circunstancia concreta y haciéndolo constar en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soporta información con reflejo presupuestario, contable o patrimonial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según tamaño de la Intervención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contratista trata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VE &gt; [X; se recomienda 500.000] € </w:t>
            </w:r>
            <w:r>
              <w:rPr>
                <w:rFonts w:ascii="Calibri" w:cs="Calibri" w:eastAsia="Calibri" w:hAnsi="Calibri"/>
                <w:b/>
                <w:bCs/>
                <w:sz w:val="18"/>
                <w:szCs w:val="18"/>
              </w:rPr>
              <w:t xml:space="preserve">o</w:t>
            </w:r>
            <w:r>
              <w:rPr>
                <w:rFonts w:ascii="Calibri" w:cs="Calibri" w:eastAsia="Calibri" w:hAnsi="Calibri"/>
                <w:b w:val="false"/>
                <w:bCs w:val="false"/>
                <w:sz w:val="18"/>
                <w:szCs w:val="18"/>
              </w:rPr>
              <w:t xml:space="preserve"> duración total &gt; [X; se recomienda 4] años, y existe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si el VE resultante cruza un umbral que el expediente no asume</w:t>
            </w:r>
          </w:p>
        </w:tc>
      </w:tr>
    </w:tbl>
    <w:p>
      <w:pPr>
        <w:spacing w:after="200"/>
      </w:pPr>
    </w:p>
    <w:p>
      <w:pPr>
        <w:pStyle w:val="Heading3"/>
        <w:keepNext/>
        <w:spacing w:after="140" w:before="320"/>
      </w:pPr>
      <w:r>
        <w:rPr>
          <w:rFonts w:ascii="Georgia" w:cs="Georgia" w:eastAsia="Georgia" w:hAnsi="Georgia"/>
          <w:b/>
          <w:bCs/>
          <w:color w:val="2F5496"/>
          <w:sz w:val="22"/>
          <w:szCs w:val="22"/>
        </w:rPr>
        <w:t xml:space="preserve">M4.3 · Modulación por tipo de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expediente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puede aplicar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lista cerrada del </w:t>
            </w:r>
            <w:r>
              <w:rPr>
                <w:rFonts w:ascii="Calibri" w:cs="Calibri" w:eastAsia="Calibri" w:hAnsi="Calibri"/>
                <w:b/>
                <w:bCs/>
                <w:sz w:val="18"/>
                <w:szCs w:val="18"/>
              </w:rPr>
              <w:t xml:space="preserve">§V.7.1</w:t>
            </w:r>
            <w:r>
              <w:rPr>
                <w:rFonts w:ascii="Calibri" w:cs="Calibri" w:eastAsia="Calibri" w:hAnsi="Calibri"/>
                <w:b w:val="false"/>
                <w:bCs w:val="false"/>
                <w:sz w:val="18"/>
                <w:szCs w:val="18"/>
              </w:rPr>
              <w:t xml:space="preserve">, que es la fuente única del catálogo para este supuesto: a) conformidad con el ENS en la categoría que corresponda al sistema (art. 2.3 RD 311/2022); b) encargo del tratamiento del art. 28 RGPD, cuando el contratista trate datos personales por cuenta del Ayuntamiento; c) indicación de la ubicación de los servidores, en ese mismo supuesto; d) entrega de los datos y de su diccionario en formato abierto al finalizar, sin coste por la extracción; e) mención «o equivalente» y trámite de prueba de DT-0·v3 si el encargo cita un producto, protocolo o norma; f) consulta previa al directorio general de aplicaciones (art. 157.3 Ley 40/2015). </w:t>
            </w:r>
            <w:r>
              <w:rPr>
                <w:rFonts w:ascii="Calibri" w:cs="Calibri" w:eastAsia="Calibri" w:hAnsi="Calibri"/>
                <w:b/>
                <w:bCs/>
                <w:sz w:val="18"/>
                <w:szCs w:val="18"/>
              </w:rPr>
              <w:t xml:space="preserve">Nada más</w:t>
            </w:r>
            <w:r>
              <w:rPr>
                <w:rFonts w:ascii="Calibri" w:cs="Calibri" w:eastAsia="Calibri" w:hAnsi="Calibri"/>
                <w:b w:val="false"/>
                <w:bCs w:val="false"/>
                <w:sz w:val="18"/>
                <w:szCs w:val="18"/>
              </w:rPr>
              <w:t xml:space="preserve">: no caben condiciones especiales de ejecución, penalidades tipificadas, obligaciones esenciales con efecto resolutorio ni criterios de adjudicación, porque todos ellos presuponen pliegos. </w:t>
            </w:r>
            <w:r>
              <w:rPr>
                <w:rFonts w:ascii="Calibri" w:cs="Calibri" w:eastAsia="Calibri" w:hAnsi="Calibri"/>
                <w:b/>
                <w:bCs/>
                <w:sz w:val="18"/>
                <w:szCs w:val="18"/>
              </w:rPr>
              <w:t xml:space="preserve">ADM-13·v3 no se incorpora al contrato menor</w:t>
            </w:r>
            <w:r>
              <w:rPr>
                <w:rFonts w:ascii="Calibri" w:cs="Calibri" w:eastAsia="Calibri" w:hAnsi="Calibri"/>
                <w:b w:val="false"/>
                <w:bCs w:val="false"/>
                <w:sz w:val="18"/>
                <w:szCs w:val="18"/>
              </w:rPr>
              <w:t xml:space="preserve">, conforme a su propio epígrafe 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basado en acuerdo marco o adhesión a central de compras</w:t>
            </w:r>
            <w:r>
              <w:rPr>
                <w:rFonts w:ascii="Calibri" w:cs="Calibri" w:eastAsia="Calibri" w:hAnsi="Calibri"/>
                <w:b w:val="false"/>
                <w:bCs w:val="false"/>
                <w:sz w:val="18"/>
                <w:szCs w:val="18"/>
              </w:rPr>
              <w:t xml:space="preserve"> (circuito en el §V.7)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que el acuerdo marco o el sistema de adquisición permitan añadir. Si no permite añadir cláusulas, se marcan todas NO APLICA y se hace constar en la ficha. </w:t>
            </w:r>
            <w:r>
              <w:rPr>
                <w:rFonts w:ascii="Calibri" w:cs="Calibri" w:eastAsia="Calibri" w:hAnsi="Calibri"/>
                <w:b/>
                <w:bCs/>
                <w:sz w:val="18"/>
                <w:szCs w:val="18"/>
              </w:rPr>
              <w:t xml:space="preserve">No se altera un pliego rector ajeno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Prórroga de contrato vigente</w:t>
            </w:r>
            <w:r>
              <w:rPr>
                <w:rFonts w:ascii="Calibri" w:cs="Calibri" w:eastAsia="Calibri" w:hAnsi="Calibri"/>
                <w:b w:val="false"/>
                <w:bCs w:val="false"/>
                <w:sz w:val="18"/>
                <w:szCs w:val="18"/>
              </w:rPr>
              <w:t xml:space="preserve"> (circuito en el §V.7.3)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introducen obligaciones nuevas. La prórroga no es cauce para incorporar cláusulas que no estaban en el pliego. Lo que proceda se lleva a la licitación siguiente, con el Dossier de Reversibilidad de DT-8·v3 en la mano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Suministro de software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ADM-8·v3 en su modalidad de titularidad: la adquisición de software estándar es contrato de suministro y el art. 308.1 LCSP no ampara ahí exigencias de titularidad. Sí procede la licencia mínima supletoria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con componente tecnológico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exclusivamente lo que tenga relación directa, clara y proporcional con el objeto (art. 116.4.e). En la práctica: DT-6·v3 y ADM-13·v3, y poco más</w:t>
            </w:r>
          </w:p>
        </w:tc>
      </w:tr>
    </w:tbl>
    <w:p>
      <w:pPr>
        <w:spacing w:after="200"/>
      </w:pPr>
    </w:p>
    <w:p>
      <w:pPr>
        <w:pStyle w:val="Heading3"/>
        <w:keepNext/>
        <w:spacing w:after="140" w:before="320"/>
      </w:pPr>
      <w:r>
        <w:rPr>
          <w:rFonts w:ascii="Georgia" w:cs="Georgia" w:eastAsia="Georgia" w:hAnsi="Georgia"/>
          <w:b/>
          <w:bCs/>
          <w:color w:val="2F5496"/>
          <w:sz w:val="22"/>
          <w:szCs w:val="22"/>
        </w:rPr>
        <w:t xml:space="preserve">M4.4 · Regla de verificabilidad municipal</w:t>
      </w:r>
    </w:p>
    <w:p>
      <w:pPr>
        <w:spacing w:after="140" w:line="276"/>
      </w:pPr>
      <w:r>
        <w:rPr>
          <w:rFonts w:ascii="Calibri" w:cs="Calibri" w:eastAsia="Calibri" w:hAnsi="Calibri"/>
          <w:sz w:val="21"/>
          <w:szCs w:val="21"/>
        </w:rPr>
        <w:t xml:space="preserve">El tercer nivel de la proporcionalidad es la regla de verificabilidad municipal. </w:t>
      </w:r>
      <w:r>
        <w:rPr>
          <w:rFonts w:ascii="Calibri" w:cs="Calibri" w:eastAsia="Calibri" w:hAnsi="Calibri"/>
          <w:b/>
          <w:bCs/>
          <w:sz w:val="21"/>
          <w:szCs w:val="21"/>
        </w:rPr>
        <w:t xml:space="preserve">Su enunciado está en la Parte I, §7.9, y su cuantificación en el epígrafe 5 de ADM-4·v3.</w:t>
      </w:r>
      <w:r>
        <w:rPr>
          <w:rFonts w:ascii="Calibri" w:cs="Calibri" w:eastAsia="Calibri" w:hAnsi="Calibri"/>
          <w:sz w:val="21"/>
          <w:szCs w:val="21"/>
        </w:rPr>
        <w:t xml:space="preserve"> Esta memoria no la reformula ni la estima por separado: remite a esas dos sedes, que son las únicas.</w:t>
      </w:r>
    </w:p>
    <w:p>
      <w:pPr>
        <w:spacing w:after="140" w:line="276"/>
      </w:pPr>
      <w:r>
        <w:rPr>
          <w:rFonts w:ascii="Calibri" w:cs="Calibri" w:eastAsia="Calibri" w:hAnsi="Calibri"/>
          <w:sz w:val="21"/>
          <w:szCs w:val="21"/>
        </w:rPr>
        <w:t xml:space="preserve">Lo que sí corresponde a esta memoria es su justificación. La regla tiene un efecto incómodo y buscado: obliga a renunciar a exigencias que suenan bien y que nadie va a comprobar. Una obligación esencial que no se verifica no protege al Ayuntamiento; sólo le expone, porque llegado el incumplimiento no habrá prueba con la que resolver.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M5 · Régimen de penalidades y resolución: garantías</w:t>
      </w:r>
    </w:p>
    <w:p>
      <w:pPr>
        <w:pStyle w:val="Heading3"/>
        <w:keepNext/>
        <w:spacing w:after="140" w:before="320"/>
      </w:pPr>
      <w:r>
        <w:rPr>
          <w:rFonts w:ascii="Georgia" w:cs="Georgia" w:eastAsia="Georgia" w:hAnsi="Georgia"/>
          <w:b/>
          <w:bCs/>
          <w:color w:val="2F5496"/>
          <w:sz w:val="22"/>
          <w:szCs w:val="22"/>
        </w:rPr>
        <w:t xml:space="preserve">M5.1 · Penalidades</w:t>
      </w:r>
    </w:p>
    <w:p>
      <w:pPr>
        <w:spacing w:after="140" w:line="276"/>
      </w:pPr>
      <w:r>
        <w:rPr>
          <w:rFonts w:ascii="Calibri" w:cs="Calibri" w:eastAsia="Calibri" w:hAnsi="Calibri"/>
          <w:sz w:val="21"/>
          <w:szCs w:val="21"/>
        </w:rPr>
        <w:t xml:space="preserve">Los límites del art. 192.1 LCSP se respetan sin margen: </w:t>
      </w:r>
      <w:r>
        <w:rPr>
          <w:rFonts w:ascii="Calibri" w:cs="Calibri" w:eastAsia="Calibri" w:hAnsi="Calibri"/>
          <w:i/>
          <w:iCs/>
          <w:sz w:val="21"/>
          <w:szCs w:val="21"/>
        </w:rPr>
        <w:t xml:space="preserve">«las cuantías de cada una de ellas no podrán ser superiores al 10 por ciento del precio del contrato, IVA excluido, ni el total de las mismas superar el 50 por cien del precio del contrato»</w:t>
      </w:r>
      <w:r>
        <w:rPr>
          <w:rFonts w:ascii="Calibri" w:cs="Calibri" w:eastAsia="Calibri" w:hAnsi="Calibri"/>
          <w:sz w:val="21"/>
          <w:szCs w:val="21"/>
        </w:rPr>
        <w:t xml:space="preserve">. El cuadro de penalidades de ADM-5·v3 se tipifica </w:t>
      </w:r>
      <w:r>
        <w:rPr>
          <w:rFonts w:ascii="Calibri" w:cs="Calibri" w:eastAsia="Calibri" w:hAnsi="Calibri"/>
          <w:b/>
          <w:bCs/>
          <w:sz w:val="21"/>
          <w:szCs w:val="21"/>
        </w:rPr>
        <w:t xml:space="preserve">por hechos verificables</w:t>
      </w:r>
      <w:r>
        <w:rPr>
          <w:rFonts w:ascii="Calibri" w:cs="Calibri" w:eastAsia="Calibri" w:hAnsi="Calibri"/>
          <w:sz w:val="21"/>
          <w:szCs w:val="21"/>
        </w:rPr>
        <w:t xml:space="preserve"> —no por conceptos— y se gradúa en leves, graves y muy graves, con requerimiento previo de subsanación y procedimiento contradictorio.</w:t>
      </w:r>
    </w:p>
    <w:p>
      <w:pPr>
        <w:spacing w:after="140" w:line="276"/>
      </w:pPr>
      <w:r>
        <w:rPr>
          <w:rFonts w:ascii="Calibri" w:cs="Calibri" w:eastAsia="Calibri" w:hAnsi="Calibri"/>
          <w:sz w:val="21"/>
          <w:szCs w:val="21"/>
        </w:rPr>
        <w:t xml:space="preserve">Se ha suprimido del cuadro la penalidad por «falta de la demostración exigida»: la demostración funcional es un trámite de la fase de licitación, no una obligación de ejecución del contrato, y su único efecto posible es la puntuación de cero en el criterio correspondiente.</w:t>
      </w:r>
    </w:p>
    <w:p>
      <w:pPr>
        <w:pStyle w:val="Heading3"/>
        <w:keepNext/>
        <w:spacing w:after="140" w:before="320"/>
      </w:pPr>
      <w:r>
        <w:rPr>
          <w:rFonts w:ascii="Georgia" w:cs="Georgia" w:eastAsia="Georgia" w:hAnsi="Georgia"/>
          <w:b/>
          <w:bCs/>
          <w:color w:val="2F5496"/>
          <w:sz w:val="22"/>
          <w:szCs w:val="22"/>
        </w:rPr>
        <w:t xml:space="preserve">M5.2 · Compatibilidad de penalidad, resolución e indemnización</w:t>
      </w:r>
    </w:p>
    <w:p>
      <w:pPr>
        <w:spacing w:after="140" w:line="276"/>
      </w:pPr>
      <w:r>
        <w:rPr>
          <w:rFonts w:ascii="Calibri" w:cs="Calibri" w:eastAsia="Calibri" w:hAnsi="Calibri"/>
          <w:sz w:val="21"/>
          <w:szCs w:val="21"/>
        </w:rPr>
        <w:t xml:space="preserve">Es la primera pregunta que hace un letrado del contratista cuando ve un mismo hecho configurado a la vez como condición especial de ejecución penalizada y como causa de resolución. La respuesta está resuelta por doctrina, y conviene incorporarla al expediente por adelantado:</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Central de Recursos Contractuales, Resolución 1111/2022 (Pleno), de 27 de septiembre de 2022, recurso 842/2022</w:t>
      </w:r>
      <w:r>
        <w:rPr>
          <w:rFonts w:ascii="Georgia" w:cs="Georgia" w:eastAsia="Georgia" w:hAnsi="Georgia"/>
          <w:i/>
          <w:iCs/>
          <w:color w:val="595959"/>
          <w:sz w:val="20"/>
          <w:szCs w:val="20"/>
        </w:rPr>
        <w:t xml:space="preserve">, Fundamento de Derecho Octavo. Enlace: &lt;https://www.hacienda.gob.es/TACRC/Documentos/RESOLUCIONES%20DE%20PLENO%202022/Resoluci%C3%B3n%20Recurso%20842-2022%20(Res%201111)%2027-09-2022.pdf&gt;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p>
    <w:p>
      <w:pPr>
        <w:spacing w:after="140" w:line="276"/>
      </w:pPr>
      <w:r>
        <w:rPr>
          <w:rFonts w:ascii="Calibri" w:cs="Calibri" w:eastAsia="Calibri" w:hAnsi="Calibri"/>
          <w:sz w:val="21"/>
          <w:szCs w:val="21"/>
        </w:rPr>
        <w:t xml:space="preserve">El Tribunal funda esa conclusión en los arts. 71.2.c), 192.1, 193.4, 194.1 y 213 LCSP. </w:t>
      </w:r>
      <w:r>
        <w:rPr>
          <w:rFonts w:ascii="Calibri" w:cs="Calibri" w:eastAsia="Calibri" w:hAnsi="Calibri"/>
          <w:b/>
          <w:bCs/>
          <w:sz w:val="21"/>
          <w:szCs w:val="21"/>
        </w:rPr>
        <w:t xml:space="preserve">Se cita como doctrina general trasladada por analogía</w:t>
      </w:r>
      <w:r>
        <w:rPr>
          <w:rFonts w:ascii="Calibri" w:cs="Calibri" w:eastAsia="Calibri" w:hAnsi="Calibri"/>
          <w:sz w:val="21"/>
          <w:szCs w:val="21"/>
        </w:rPr>
        <w:t xml:space="preserve">: las condiciones especiales de ejecución impugnadas eran de contenido </w:t>
      </w:r>
      <w:r>
        <w:rPr>
          <w:rFonts w:ascii="Calibri" w:cs="Calibri" w:eastAsia="Calibri" w:hAnsi="Calibri"/>
          <w:b/>
          <w:bCs/>
          <w:sz w:val="21"/>
          <w:szCs w:val="21"/>
        </w:rPr>
        <w:t xml:space="preserve">no tecnológico</w:t>
      </w:r>
      <w:r>
        <w:rPr>
          <w:rFonts w:ascii="Calibri" w:cs="Calibri" w:eastAsia="Calibri" w:hAnsi="Calibri"/>
          <w:sz w:val="21"/>
          <w:szCs w:val="21"/>
        </w:rPr>
        <w:t xml:space="preserve"> —mantenerse en situación de no incurso en prohibición de contratar, e integridad y lucha contra el fraude en la ejecución—, y no cláusulas tecnológicas. Lo que se traslada es el criterio sobre la acumulación de consecuencias, que es de aplicación general.</w:t>
      </w:r>
    </w:p>
    <w:p>
      <w:pPr>
        <w:spacing w:after="140" w:line="276"/>
      </w:pPr>
      <w:r>
        <w:rPr>
          <w:rFonts w:ascii="Calibri" w:cs="Calibri" w:eastAsia="Calibri" w:hAnsi="Calibri"/>
          <w:sz w:val="21"/>
          <w:szCs w:val="21"/>
        </w:rPr>
        <w:t xml:space="preserve">De la misma resolución, y de las Resoluciones 1071/2018, 1113/2022 y 1287/2022 del mismo Tribunal, se toma el estándar que </w:t>
      </w:r>
      <w:r>
        <w:rPr>
          <w:rFonts w:ascii="Calibri" w:cs="Calibri" w:eastAsia="Calibri" w:hAnsi="Calibri"/>
          <w:b/>
          <w:bCs/>
          <w:sz w:val="21"/>
          <w:szCs w:val="21"/>
        </w:rPr>
        <w:t xml:space="preserve">sí</w:t>
      </w:r>
      <w:r>
        <w:rPr>
          <w:rFonts w:ascii="Calibri" w:cs="Calibri" w:eastAsia="Calibri" w:hAnsi="Calibri"/>
          <w:sz w:val="21"/>
          <w:szCs w:val="21"/>
        </w:rPr>
        <w:t xml:space="preserve"> amenaza a este catálogo y que ha determinado la reescritura de ADM-2·v3 y ADM-6·v3: una condición especial de ejecución </w:t>
      </w:r>
      <w:r>
        <w:rPr>
          <w:rFonts w:ascii="Calibri" w:cs="Calibri" w:eastAsia="Calibri" w:hAnsi="Calibri"/>
          <w:i/>
          <w:iCs/>
          <w:sz w:val="21"/>
          <w:szCs w:val="21"/>
        </w:rPr>
        <w:t xml:space="preserve">«demasiado amplia y genérica»</w:t>
      </w:r>
      <w:r>
        <w:rPr>
          <w:rFonts w:ascii="Calibri" w:cs="Calibri" w:eastAsia="Calibri" w:hAnsi="Calibri"/>
          <w:sz w:val="21"/>
          <w:szCs w:val="21"/>
        </w:rPr>
        <w:t xml:space="preserve"> equivale a no haber establecido condición alguna, y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w:t>
      </w:r>
      <w:r>
        <w:rPr>
          <w:rFonts w:ascii="Calibri" w:cs="Calibri" w:eastAsia="Calibri" w:hAnsi="Calibri"/>
          <w:sz w:val="21"/>
          <w:szCs w:val="21"/>
        </w:rPr>
        <w:t xml:space="preserve"> (Res. 1113/2022, FD Séptimo). También aquí la traslación es por analogía y, en el caso de la Res. 1113/2022,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se dicta en una reclamación en sectores excluidos resuelta bajo el Real Decreto-ley 3/2020, y el propio Tribunal advierte que la cláusula impugnada no remitía al art. 211 LCSP sino a las causas generales del Derecho privado.</w:t>
      </w:r>
    </w:p>
    <w:p>
      <w:pPr>
        <w:pStyle w:val="Heading3"/>
        <w:keepNext/>
        <w:spacing w:after="140" w:before="320"/>
      </w:pPr>
      <w:r>
        <w:rPr>
          <w:rFonts w:ascii="Georgia" w:cs="Georgia" w:eastAsia="Georgia" w:hAnsi="Georgia"/>
          <w:b/>
          <w:bCs/>
          <w:color w:val="2F5496"/>
          <w:sz w:val="22"/>
          <w:szCs w:val="22"/>
        </w:rPr>
        <w:t xml:space="preserve">M5.3 · Las tres cautelas que el pliego debe conservar</w:t>
      </w:r>
    </w:p>
    <w:p>
      <w:pPr>
        <w:pStyle w:val="ListParagraph"/>
        <w:numPr>
          <w:ilvl w:val="0"/>
          <w:numId w:val="2"/>
        </w:numPr>
        <w:spacing w:after="70" w:line="268"/>
      </w:pPr>
      <w:r>
        <w:rPr>
          <w:rFonts w:ascii="Calibri" w:cs="Calibri" w:eastAsia="Calibri" w:hAnsi="Calibri"/>
          <w:b/>
          <w:bCs/>
          <w:sz w:val="21"/>
          <w:szCs w:val="21"/>
        </w:rPr>
        <w:t xml:space="preserve">Esencialidad tasada y condicionada.</w:t>
      </w:r>
      <w:r>
        <w:rPr>
          <w:rFonts w:ascii="Calibri" w:cs="Calibri" w:eastAsia="Calibri" w:hAnsi="Calibri"/>
          <w:sz w:val="21"/>
          <w:szCs w:val="21"/>
        </w:rPr>
        <w:t xml:space="preserve"> El bloque de obligaciones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sólo existe cuando concurre su presupuesto: la condición especial de ejecución de protección de datos, cuando la ejecución implique </w:t>
      </w:r>
      <w:r>
        <w:rPr>
          <w:rFonts w:ascii="Calibri" w:cs="Calibri" w:eastAsia="Calibri" w:hAnsi="Calibri"/>
          <w:b/>
          <w:bCs/>
          <w:sz w:val="21"/>
          <w:szCs w:val="21"/>
        </w:rPr>
        <w:t xml:space="preserve">cesión de datos</w:t>
      </w:r>
      <w:r>
        <w:rPr>
          <w:rFonts w:ascii="Calibri" w:cs="Calibri" w:eastAsia="Calibri" w:hAnsi="Calibri"/>
          <w:sz w:val="21"/>
          <w:szCs w:val="21"/>
        </w:rPr>
        <w:t xml:space="preserve"> (art. 202.1, párr. 3.º); las obligaciones sobre ubicación de servidores y su subcontratación, cuando la ejecución requiera </w:t>
      </w:r>
      <w:r>
        <w:rPr>
          <w:rFonts w:ascii="Calibri" w:cs="Calibri" w:eastAsia="Calibri" w:hAnsi="Calibri"/>
          <w:b/>
          <w:bCs/>
          <w:sz w:val="21"/>
          <w:szCs w:val="21"/>
        </w:rPr>
        <w:t xml:space="preserve">tratamiento de datos personales por cuenta del responsable</w:t>
      </w:r>
      <w:r>
        <w:rPr>
          <w:rFonts w:ascii="Calibri" w:cs="Calibri" w:eastAsia="Calibri" w:hAnsi="Calibri"/>
          <w:sz w:val="21"/>
          <w:szCs w:val="21"/>
        </w:rPr>
        <w:t xml:space="preserve"> (art. 122.2). En un contrato sin encargo de tratamiento, ese bloque no existe y no puede figurar en el PCAP. Declarar esenciales obligaciones improcedentes es precisamente lo que sanciona el art. 211.1.f).2.º.</w:t>
      </w:r>
    </w:p>
    <w:p>
      <w:pPr>
        <w:pStyle w:val="ListParagraph"/>
        <w:numPr>
          <w:ilvl w:val="0"/>
          <w:numId w:val="2"/>
        </w:numPr>
        <w:spacing w:after="70" w:line="268"/>
      </w:pPr>
      <w:r>
        <w:rPr>
          <w:rFonts w:ascii="Calibri" w:cs="Calibri" w:eastAsia="Calibri" w:hAnsi="Calibri"/>
          <w:b/>
          <w:bCs/>
          <w:sz w:val="21"/>
          <w:szCs w:val="21"/>
        </w:rPr>
        <w:t xml:space="preserve">Cláusula de cierre bien redactada.</w:t>
      </w:r>
      <w:r>
        <w:rPr>
          <w:rFonts w:ascii="Calibri" w:cs="Calibri" w:eastAsia="Calibri" w:hAnsi="Calibri"/>
          <w:sz w:val="21"/>
          <w:szCs w:val="21"/>
        </w:rPr>
        <w:t xml:space="preserve"> La fórmula que se copia al PCAP debe decir </w:t>
      </w:r>
      <w:r>
        <w:rPr>
          <w:rFonts w:ascii="Calibri" w:cs="Calibri" w:eastAsia="Calibri" w:hAnsi="Calibri"/>
          <w:i/>
          <w:iCs/>
          <w:sz w:val="21"/>
          <w:szCs w:val="21"/>
        </w:rPr>
        <w:t xml:space="preserve">«ninguna otra de las obligaciones incorporadas en virtud del catálogo [denominación y versión] tendrá carácter esencial»</w:t>
      </w:r>
      <w:r>
        <w:rPr>
          <w:rFonts w:ascii="Calibri" w:cs="Calibri" w:eastAsia="Calibri" w:hAnsi="Calibri"/>
          <w:sz w:val="21"/>
          <w:szCs w:val="21"/>
        </w:rPr>
        <w:t xml:space="preserve">, y no «ninguna otra obligación de este clausulado». Un PCAP tiene otras obligaciones esenciales propias —adscripción de medios, condiciones salariales— y una cláusula de cierre mal escrita las desactivaría.</w:t>
      </w:r>
    </w:p>
    <w:p>
      <w:pPr>
        <w:pStyle w:val="ListParagraph"/>
        <w:numPr>
          <w:ilvl w:val="0"/>
          <w:numId w:val="2"/>
        </w:numPr>
        <w:spacing w:after="70" w:line="268"/>
      </w:pPr>
      <w:r>
        <w:rPr>
          <w:rFonts w:ascii="Calibri" w:cs="Calibri" w:eastAsia="Calibri" w:hAnsi="Calibri"/>
          <w:b/>
          <w:bCs/>
          <w:sz w:val="21"/>
          <w:szCs w:val="21"/>
        </w:rPr>
        <w:t xml:space="preserve">Juicio comparativo de perjuicios.</w:t>
      </w:r>
      <w:r>
        <w:rPr>
          <w:rFonts w:ascii="Calibri" w:cs="Calibri" w:eastAsia="Calibri" w:hAnsi="Calibri"/>
          <w:sz w:val="21"/>
          <w:szCs w:val="21"/>
        </w:rPr>
        <w:t xml:space="preserve"> La resolución se acuerda sólo cuando el perjuicio derivado de ella no sea superior al del mantenimiento del contrato, previa audiencia y requerimiento de subsanación (art. 212 LCSP). Es una cautela de proporcionalidad que conviene escribir en el pliego, porque anticipa la alegación de desproporción.</w:t>
      </w:r>
    </w:p>
    <w:p>
      <w:pPr>
        <w:pStyle w:val="Heading3"/>
        <w:keepNext/>
        <w:spacing w:after="140" w:before="320"/>
      </w:pPr>
      <w:r>
        <w:rPr>
          <w:rFonts w:ascii="Georgia" w:cs="Georgia" w:eastAsia="Georgia" w:hAnsi="Georgia"/>
          <w:b/>
          <w:bCs/>
          <w:color w:val="2F5496"/>
          <w:sz w:val="22"/>
          <w:szCs w:val="22"/>
        </w:rPr>
        <w:t xml:space="preserve">M5.4 · Plazo de garantía y reversión: advertencia de redacción</w:t>
      </w:r>
    </w:p>
    <w:p>
      <w:pPr>
        <w:spacing w:after="140" w:line="276"/>
      </w:pPr>
      <w:r>
        <w:rPr>
          <w:rFonts w:ascii="Calibri" w:cs="Calibri" w:eastAsia="Calibri" w:hAnsi="Calibri"/>
          <w:sz w:val="21"/>
          <w:szCs w:val="21"/>
        </w:rPr>
        <w:t xml:space="preserve">Vincular el plazo de garantía a un acto del Ayuntamiento que puede no producirse nunca —una certificación municipal de la reversión— </w:t>
      </w:r>
      <w:r>
        <w:rPr>
          <w:rFonts w:ascii="Calibri" w:cs="Calibri" w:eastAsia="Calibri" w:hAnsi="Calibri"/>
          <w:b/>
          <w:bCs/>
          <w:sz w:val="21"/>
          <w:szCs w:val="21"/>
        </w:rPr>
        <w:t xml:space="preserve">no produce un plazo</w:t>
      </w:r>
      <w:r>
        <w:rPr>
          <w:rFonts w:ascii="Calibri" w:cs="Calibri" w:eastAsia="Calibri" w:hAnsi="Calibri"/>
          <w:sz w:val="21"/>
          <w:szCs w:val="21"/>
        </w:rPr>
        <w:t xml:space="preserve">. Por eso el catálogo abandonó esa redacción. El mecanismo vigente es el del </w:t>
      </w:r>
      <w:r>
        <w:rPr>
          <w:rFonts w:ascii="Calibri" w:cs="Calibri" w:eastAsia="Calibri" w:hAnsi="Calibri"/>
          <w:b/>
          <w:bCs/>
          <w:sz w:val="21"/>
          <w:szCs w:val="21"/>
        </w:rPr>
        <w:t xml:space="preserve">apartado 8 de DT-8·v3</w:t>
      </w:r>
      <w:r>
        <w:rPr>
          <w:rFonts w:ascii="Calibri" w:cs="Calibri" w:eastAsia="Calibri" w:hAnsi="Calibri"/>
          <w:sz w:val="21"/>
          <w:szCs w:val="21"/>
        </w:rPr>
        <w:t xml:space="preserve">: acta de reversión levantada en un plazo cierto, con silencio a favor del contratista si no se levanta, de modo que el día inicial del plazo de garantía es determinable en todo caso.</w:t>
      </w:r>
    </w:p>
    <w:p>
      <w:pPr>
        <w:spacing w:after="140" w:line="276"/>
      </w:pPr>
      <w:r>
        <w:rPr>
          <w:rFonts w:ascii="Calibri" w:cs="Calibri" w:eastAsia="Calibri" w:hAnsi="Calibri"/>
          <w:sz w:val="21"/>
          <w:szCs w:val="21"/>
        </w:rPr>
        <w:t xml:space="preserve">Lo que esta memoria pide al órgano que informe jurídicamente es que verifique expresamente dos extremos: que el PCAP fija un plazo de garantía con día inicial determinable conforme a ese apartado, y que la devolución de la garantía respeta el régimen del art. 111 LCSP. Ninguna cláusula de este catálogo configura la reversión como prórroga indefinida de la garantía; un pliego que lo hiciera se habría apartado del modelo.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M6 · Coste, crédito y estabilidad presupuestaria</w:t>
      </w:r>
    </w:p>
    <w:p>
      <w:pPr>
        <w:pStyle w:val="Heading3"/>
        <w:keepNext/>
        <w:spacing w:after="140" w:before="320"/>
      </w:pPr>
      <w:r>
        <w:rPr>
          <w:rFonts w:ascii="Georgia" w:cs="Georgia" w:eastAsia="Georgia" w:hAnsi="Georgia"/>
          <w:b/>
          <w:bCs/>
          <w:color w:val="2F5496"/>
          <w:sz w:val="22"/>
          <w:szCs w:val="22"/>
        </w:rPr>
        <w:t xml:space="preserve">M6.1 · Por qué este apartado existe</w:t>
      </w:r>
    </w:p>
    <w:p>
      <w:pPr>
        <w:spacing w:after="140" w:line="276"/>
      </w:pPr>
      <w:r>
        <w:rPr>
          <w:rFonts w:ascii="Calibri" w:cs="Calibri" w:eastAsia="Calibri" w:hAnsi="Calibri"/>
          <w:sz w:val="21"/>
          <w:szCs w:val="21"/>
        </w:rPr>
        <w:t xml:space="preserve">Este catálogo genera gasto real. Depósito de código, bolsa de servicios evolutivos, entorno de pruebas, desarrollo de la interfaz cuando no forma parte del producto, horas de comisión de seguimiento y horas de verificación. Un expediente que incorpore estas cláusulas y no lleve ni una cifra se devuelve, y con motivo.</w:t>
      </w:r>
    </w:p>
    <w:p>
      <w:pPr>
        <w:spacing w:after="140" w:line="276"/>
      </w:pPr>
      <w:r>
        <w:rPr>
          <w:rFonts w:ascii="Calibri" w:cs="Calibri" w:eastAsia="Calibri" w:hAnsi="Calibri"/>
          <w:b/>
          <w:bCs/>
          <w:sz w:val="21"/>
          <w:szCs w:val="21"/>
        </w:rPr>
        <w:t xml:space="preserve">Advertencia sobre las cifras que siguen.</w:t>
      </w:r>
      <w:r>
        <w:rPr>
          <w:rFonts w:ascii="Calibri" w:cs="Calibri" w:eastAsia="Calibri" w:hAnsi="Calibri"/>
          <w:sz w:val="21"/>
          <w:szCs w:val="21"/>
        </w:rPr>
        <w:t xml:space="preserve"> Son </w:t>
      </w:r>
      <w:r>
        <w:rPr>
          <w:rFonts w:ascii="Calibri" w:cs="Calibri" w:eastAsia="Calibri" w:hAnsi="Calibri"/>
          <w:b/>
          <w:bCs/>
          <w:sz w:val="21"/>
          <w:szCs w:val="21"/>
        </w:rPr>
        <w:t xml:space="preserve">órdenes de magnitud para dimensionar</w:t>
      </w:r>
      <w:r>
        <w:rPr>
          <w:rFonts w:ascii="Calibri" w:cs="Calibri" w:eastAsia="Calibri" w:hAnsi="Calibri"/>
          <w:sz w:val="21"/>
          <w:szCs w:val="21"/>
        </w:rPr>
        <w:t xml:space="preserve">, no precios de mercado. No proceden de una consulta de mercado ni de una oferta, y </w:t>
      </w:r>
      <w:r>
        <w:rPr>
          <w:rFonts w:ascii="Calibri" w:cs="Calibri" w:eastAsia="Calibri" w:hAnsi="Calibri"/>
          <w:b/>
          <w:bCs/>
          <w:sz w:val="21"/>
          <w:szCs w:val="21"/>
        </w:rPr>
        <w:t xml:space="preserve">no pueden emplearse para fijar el presupuesto base de licitación de ningún expediente</w:t>
      </w:r>
      <w:r>
        <w:rPr>
          <w:rFonts w:ascii="Calibri" w:cs="Calibri" w:eastAsia="Calibri" w:hAnsi="Calibri"/>
          <w:sz w:val="21"/>
          <w:szCs w:val="21"/>
        </w:rPr>
        <w:t xml:space="preserve">. Su única función es permitir a la Intervención y al órgano gestor saber si están hablando de cientos, de miles o de decenas de miles de euros antes de pedir los datos reales. Cada expediente obtiene sus propias cifras por presupuesto solicitado, por consulta preliminar del mercado (art. 115 LCSP) o por precios de contratos análogos, y </w:t>
      </w:r>
      <w:r>
        <w:rPr>
          <w:rFonts w:ascii="Calibri" w:cs="Calibri" w:eastAsia="Calibri" w:hAnsi="Calibri"/>
          <w:b/>
          <w:bCs/>
          <w:sz w:val="21"/>
          <w:szCs w:val="21"/>
        </w:rPr>
        <w:t xml:space="preserve">desglosa el presupuesto base de licitación en costes directos, indirectos y otros eventuales gastos conforme al art. 100.2 LCSP</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M6.2 · Coste directo, por concepto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con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soporta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 de magnitud (no es precio)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 y valor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Constitución del depósito de código</w:t>
            </w:r>
            <w:r>
              <w:rPr>
                <w:rFonts w:ascii="Calibri" w:cs="Calibri" w:eastAsia="Calibri" w:hAnsi="Calibri"/>
                <w:b w:val="false"/>
                <w:bCs w:val="false"/>
                <w:sz w:val="18"/>
                <w:szCs w:val="18"/>
              </w:rPr>
              <w:t xml:space="preserve"> (notaría o entidad depositaria especializada)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(art. 100.2)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Unidad de millar: [1.500–3.000] €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Custodia anual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[1.200–3.000] € por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técnica de cada depósito</w:t>
            </w:r>
            <w:r>
              <w:rPr>
                <w:rFonts w:ascii="Calibri" w:cs="Calibri" w:eastAsia="Calibri" w:hAnsi="Calibri"/>
                <w:b w:val="false"/>
                <w:bCs w:val="false"/>
                <w:sz w:val="18"/>
                <w:szCs w:val="18"/>
              </w:rPr>
              <w:t xml:space="preserve"> (certificado de que compila y despliega)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[800–2.500] € por verificación · [X; se recomienda 1] depósito inicial y [1] actualización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si hay versiones mayores frecuentes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200] horas/año al precio unitario ofertado. Con precios unitarios de mercado del orden de decenas de euros por hora, la magnitud es de </w:t>
            </w:r>
            <w:r>
              <w:rPr>
                <w:rFonts w:ascii="Calibri" w:cs="Calibri" w:eastAsia="Calibri" w:hAnsi="Calibri"/>
                <w:b/>
                <w:bCs/>
                <w:sz w:val="18"/>
                <w:szCs w:val="18"/>
              </w:rPr>
              <w:t xml:space="preserve">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[X; se recomienda 5] % del presupuesto base de licitación de la duración inicial, sin IVA; nunca superior al 10 % de esa misma base (§M4.2)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Entorno de pruebas / preproducción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w:t>
            </w:r>
            <w:r>
              <w:rPr>
                <w:rFonts w:ascii="Calibri" w:cs="Calibri" w:eastAsia="Calibri" w:hAnsi="Calibri"/>
                <w:b/>
                <w:bCs/>
                <w:sz w:val="18"/>
                <w:szCs w:val="18"/>
              </w:rPr>
              <w:t xml:space="preserve">incluido en el precio</w:t>
            </w:r>
            <w:r>
              <w:rPr>
                <w:rFonts w:ascii="Calibri" w:cs="Calibri" w:eastAsia="Calibri" w:hAnsi="Calibri"/>
                <w:b w:val="false"/>
                <w:bCs w:val="false"/>
                <w:sz w:val="18"/>
                <w:szCs w:val="18"/>
              </w:rPr>
              <w:t xml:space="preserve">; si el mercado lo tarifica aparte, incremento del orden del [5–15] % sobre el servicio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Exigirlo incluido es la opción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Interfaz normalizada de acceso programático</w:t>
            </w:r>
            <w:r>
              <w:rPr>
                <w:rFonts w:ascii="Calibri" w:cs="Calibri" w:eastAsia="Calibri" w:hAnsi="Calibri"/>
                <w:b w:val="false"/>
                <w:bCs w:val="false"/>
                <w:sz w:val="18"/>
                <w:szCs w:val="18"/>
              </w:rPr>
              <w:t xml:space="preserve">, cuando no forma parte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del [3–8] % del PBL del contrato, o cifra de cinco cifras por plataforma si es desarrollo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supera el [X; se recomienda 10] % del PBL, replantear el alcance o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Conformidad y certificación ENS de la solución</w:t>
            </w:r>
            <w:r>
              <w:rPr>
                <w:rFonts w:ascii="Calibri" w:cs="Calibri" w:eastAsia="Calibri" w:hAnsi="Calibri"/>
                <w:b w:val="false"/>
                <w:bCs w:val="false"/>
                <w:sz w:val="18"/>
                <w:szCs w:val="18"/>
              </w:rPr>
              <w:t xml:space="preserve"> en categorías MEDIA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del contratista, repercutido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Cuatro a cinco cifras por ciclo de certificación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opcional: resulta del Anexo I del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y contraste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centralizado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del servicio promotor,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[80–120] horas internas o asistencia técnica de 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hace una vez al año para todos los expedientes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Horas municipales de preparación y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personal (coste de oportunidad, no crédito nuevo)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única del epígrafe 5 de ADM-4·v3; lectura económica en el §M6.3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verificabilidad municipal (Parte I, §7.9)</w:t>
            </w:r>
          </w:p>
        </w:tc>
      </w:tr>
    </w:tbl>
    <w:p>
      <w:pPr>
        <w:spacing w:after="200"/>
      </w:pPr>
    </w:p>
    <w:p>
      <w:pPr>
        <w:spacing w:after="140" w:line="276"/>
      </w:pPr>
      <w:r>
        <w:rPr>
          <w:rFonts w:ascii="Calibri" w:cs="Calibri" w:eastAsia="Calibri" w:hAnsi="Calibri"/>
          <w:b/>
          <w:bCs/>
          <w:sz w:val="21"/>
          <w:szCs w:val="21"/>
        </w:rPr>
        <w:t xml:space="preserve">Efecto agregado.</w:t>
      </w:r>
      <w:r>
        <w:rPr>
          <w:rFonts w:ascii="Calibri" w:cs="Calibri" w:eastAsia="Calibri" w:hAnsi="Calibri"/>
          <w:sz w:val="21"/>
          <w:szCs w:val="21"/>
        </w:rPr>
        <w:t xml:space="preserve"> Para un contrato de servicios de aplicaciones de tamaño medio con el catálogo aplicado en intensidad alta, el conjunto de conceptos 1 a 6 se sitúa, como orden de magnitud, entre el </w:t>
      </w:r>
      <w:r>
        <w:rPr>
          <w:rFonts w:ascii="Calibri" w:cs="Calibri" w:eastAsia="Calibri" w:hAnsi="Calibri"/>
          <w:b/>
          <w:bCs/>
          <w:sz w:val="21"/>
          <w:szCs w:val="21"/>
        </w:rPr>
        <w:t xml:space="preserve">[4] % y el [12] % del presupuesto base de licitación</w:t>
      </w:r>
      <w:r>
        <w:rPr>
          <w:rFonts w:ascii="Calibri" w:cs="Calibri" w:eastAsia="Calibri" w:hAnsi="Calibri"/>
          <w:sz w:val="21"/>
          <w:szCs w:val="21"/>
        </w:rPr>
        <w:t xml:space="preserve">. Criterio de prudencia que se propone al órgano de contratación —no es una regla legal—: </w:t>
      </w:r>
      <w:r>
        <w:rPr>
          <w:rFonts w:ascii="Calibri" w:cs="Calibri" w:eastAsia="Calibri" w:hAnsi="Calibri"/>
          <w:b/>
          <w:bCs/>
          <w:sz w:val="21"/>
          <w:szCs w:val="21"/>
        </w:rPr>
        <w:t xml:space="preserve">si el conjunto de las exigencias de este catálogo supera el [X; se recomienda 15] % del PBL, la proporcionalidad del art. 116.4.e) LCSP deja de ser defendible sin motivación reforzada</w:t>
      </w:r>
      <w:r>
        <w:rPr>
          <w:rFonts w:ascii="Calibri" w:cs="Calibri" w:eastAsia="Calibri" w:hAnsi="Calibri"/>
          <w:sz w:val="21"/>
          <w:szCs w:val="21"/>
        </w:rPr>
        <w:t xml:space="preserve">, y procede reducir el alcance del Anexo V o elevar el umbral de activación en lugar de justificar más.</w:t>
      </w:r>
    </w:p>
    <w:p>
      <w:pPr>
        <w:pStyle w:val="Heading3"/>
        <w:keepNext/>
        <w:spacing w:after="140" w:before="320"/>
      </w:pPr>
      <w:r>
        <w:rPr>
          <w:rFonts w:ascii="Georgia" w:cs="Georgia" w:eastAsia="Georgia" w:hAnsi="Georgia"/>
          <w:b/>
          <w:bCs/>
          <w:color w:val="2F5496"/>
          <w:sz w:val="22"/>
          <w:szCs w:val="22"/>
        </w:rPr>
        <w:t xml:space="preserve">M6.3 · Carga de trabajo municipal, dimensionada</w:t>
      </w:r>
    </w:p>
    <w:p>
      <w:pPr>
        <w:spacing w:after="140" w:line="276"/>
      </w:pPr>
      <w:r>
        <w:rPr>
          <w:rFonts w:ascii="Calibri" w:cs="Calibri" w:eastAsia="Calibri" w:hAnsi="Calibri"/>
          <w:sz w:val="21"/>
          <w:szCs w:val="21"/>
        </w:rPr>
        <w:t xml:space="preserve">Es la respuesta al corolario del área de contratación («son pocos los contratos en los que se haga un seguimiento real»). No se resuelve declarando que ahora sí se hará: se resuelve contando las horas y asignándolas.</w:t>
      </w:r>
    </w:p>
    <w:p>
      <w:pPr>
        <w:spacing w:after="140" w:line="276"/>
      </w:pPr>
      <w:r>
        <w:rPr>
          <w:rFonts w:ascii="Calibri" w:cs="Calibri" w:eastAsia="Calibri" w:hAnsi="Calibri"/>
          <w:b/>
          <w:bCs/>
          <w:sz w:val="21"/>
          <w:szCs w:val="21"/>
        </w:rPr>
        <w:t xml:space="preserve">El recuento no se hace aquí.</w:t>
      </w:r>
      <w:r>
        <w:rPr>
          <w:rFonts w:ascii="Calibri" w:cs="Calibri" w:eastAsia="Calibri" w:hAnsi="Calibri"/>
          <w:sz w:val="21"/>
          <w:szCs w:val="21"/>
        </w:rPr>
        <w:t xml:space="preserve"> La tabla única de carga de verificación del catálogo —construida por suma de los epígrafes «Cómo se verifica» de cada cláusula, con las filas de la Parte II y de la Parte III separadas, un total de preparación por expediente y un total recurrente por contrato y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Esta memoria no estima por su cuenta y no reproduce cifras propias: rige la misma regla de precedencia del §M4.2, y cualquier discrepancia se resuelve a favor de aquella tabla. El desglose por actor, documento y horas por acto está allí, y allí es donde debe consultarlo el órgano de contratación al dimensionar un expediente.</w:t>
      </w:r>
    </w:p>
    <w:p>
      <w:pPr>
        <w:spacing w:after="140" w:line="276"/>
      </w:pPr>
      <w:r>
        <w:rPr>
          <w:rFonts w:ascii="Calibri" w:cs="Calibri" w:eastAsia="Calibri" w:hAnsi="Calibri"/>
          <w:sz w:val="21"/>
          <w:szCs w:val="21"/>
        </w:rPr>
        <w:t xml:space="preserve">Lo que sí corresponde a esta memoria es la lectura económica de ese total, y es doble. </w:t>
      </w:r>
      <w:r>
        <w:rPr>
          <w:rFonts w:ascii="Calibri" w:cs="Calibri" w:eastAsia="Calibri" w:hAnsi="Calibri"/>
          <w:b/>
          <w:bCs/>
          <w:sz w:val="21"/>
          <w:szCs w:val="21"/>
        </w:rPr>
        <w:t xml:space="preserve">Primera:</w:t>
      </w:r>
      <w:r>
        <w:rPr>
          <w:rFonts w:ascii="Calibri" w:cs="Calibri" w:eastAsia="Calibri" w:hAnsi="Calibri"/>
          <w:sz w:val="21"/>
          <w:szCs w:val="21"/>
        </w:rPr>
        <w:t xml:space="preserve"> traducido a coste interno con un coste horario de personal técnico municipal del orden de las decenas de euros, la carga recurrente por contrato equivale a una magnitud de </w:t>
      </w:r>
      <w:r>
        <w:rPr>
          <w:rFonts w:ascii="Calibri" w:cs="Calibri" w:eastAsia="Calibri" w:hAnsi="Calibri"/>
          <w:b/>
          <w:bCs/>
          <w:sz w:val="21"/>
          <w:szCs w:val="21"/>
        </w:rPr>
        <w:t xml:space="preserve">cuatro cifras al año</w:t>
      </w:r>
      <w:r>
        <w:rPr>
          <w:rFonts w:ascii="Calibri" w:cs="Calibri" w:eastAsia="Calibri" w:hAnsi="Calibri"/>
          <w:sz w:val="21"/>
          <w:szCs w:val="21"/>
        </w:rPr>
        <w:t xml:space="preserve">. No consume crédito nuevo, pero sí capacidad, y la capacidad es finita y no se amplía por acuerdo. </w:t>
      </w:r>
      <w:r>
        <w:rPr>
          <w:rFonts w:ascii="Calibri" w:cs="Calibri" w:eastAsia="Calibri" w:hAnsi="Calibri"/>
          <w:b/>
          <w:bCs/>
          <w:sz w:val="21"/>
          <w:szCs w:val="21"/>
        </w:rPr>
        <w:t xml:space="preserve">Segunda, y es la que debe constar en el expediente: si el Ayuntamiento no puede asignar esas horas, la respuesta correcta no es aprobar el catálogo y no verificarlo, sino reducir su intensidad</w:t>
      </w:r>
      <w:r>
        <w:rPr>
          <w:rFonts w:ascii="Calibri" w:cs="Calibri" w:eastAsia="Calibri" w:hAnsi="Calibri"/>
          <w:sz w:val="21"/>
          <w:szCs w:val="21"/>
        </w:rPr>
        <w:t xml:space="preserve"> subiendo los umbrales del §M4.2.</w:t>
      </w:r>
    </w:p>
    <w:p>
      <w:pPr>
        <w:pStyle w:val="Heading3"/>
        <w:keepNext/>
        <w:spacing w:after="140" w:before="320"/>
      </w:pPr>
      <w:r>
        <w:rPr>
          <w:rFonts w:ascii="Georgia" w:cs="Georgia" w:eastAsia="Georgia" w:hAnsi="Georgia"/>
          <w:b/>
          <w:bCs/>
          <w:color w:val="2F5496"/>
          <w:sz w:val="22"/>
          <w:szCs w:val="22"/>
        </w:rPr>
        <w:t xml:space="preserve">M6.4 · Crédito y estabilidad presupuestaria: lo que cada expediente debe incorporar</w:t>
      </w:r>
    </w:p>
    <w:p>
      <w:pPr>
        <w:spacing w:after="140" w:line="276"/>
      </w:pPr>
      <w:r>
        <w:rPr>
          <w:rFonts w:ascii="Calibri" w:cs="Calibri" w:eastAsia="Calibri" w:hAnsi="Calibri"/>
          <w:sz w:val="21"/>
          <w:szCs w:val="21"/>
        </w:rPr>
        <w:t xml:space="preserve">Se hace constar expresamente, para que no se dé por supuesto:</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(art. 116.3 LCSP), por el importe del presupuesto base de licitación </w:t>
      </w:r>
      <w:r>
        <w:rPr>
          <w:rFonts w:ascii="Calibri" w:cs="Calibri" w:eastAsia="Calibri" w:hAnsi="Calibri"/>
          <w:b/>
          <w:bCs/>
          <w:sz w:val="21"/>
          <w:szCs w:val="21"/>
        </w:rPr>
        <w:t xml:space="preserve">incluidos</w:t>
      </w:r>
      <w:r>
        <w:rPr>
          <w:rFonts w:ascii="Calibri" w:cs="Calibri" w:eastAsia="Calibri" w:hAnsi="Calibri"/>
          <w:sz w:val="21"/>
          <w:szCs w:val="21"/>
        </w:rPr>
        <w:t xml:space="preserve"> los conceptos del §M6.2 que se incorporen. Si el depósito de código o la bolsa de evolutivos están en el PBL, están en el certificado.</w:t>
      </w:r>
    </w:p>
    <w:p>
      <w:pPr>
        <w:pStyle w:val="ListParagraph"/>
        <w:numPr>
          <w:ilvl w:val="0"/>
          <w:numId w:val="2"/>
        </w:numPr>
        <w:spacing w:after="70" w:line="268"/>
      </w:pP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(art. 116.3 LCSP y RD 424/2017).</w:t>
      </w:r>
    </w:p>
    <w:p>
      <w:pPr>
        <w:pStyle w:val="ListParagraph"/>
        <w:numPr>
          <w:ilvl w:val="0"/>
          <w:numId w:val="2"/>
        </w:numPr>
        <w:spacing w:after="70" w:line="268"/>
      </w:pPr>
      <w:r>
        <w:rPr>
          <w:rFonts w:ascii="Calibri" w:cs="Calibri" w:eastAsia="Calibri" w:hAnsi="Calibri"/>
          <w:b/>
          <w:bCs/>
          <w:sz w:val="21"/>
          <w:szCs w:val="21"/>
        </w:rPr>
        <w:t xml:space="preserve">Informe sobre las repercusiones del contrato en el cumplimiento de los principios de estabilidad presupuestaria y sostenibilidad financiera</w:t>
      </w:r>
      <w:r>
        <w:rPr>
          <w:rFonts w:ascii="Calibri" w:cs="Calibri" w:eastAsia="Calibri" w:hAnsi="Calibri"/>
          <w:sz w:val="21"/>
          <w:szCs w:val="21"/>
        </w:rPr>
        <w:t xml:space="preserve">, conforme a la </w:t>
      </w:r>
      <w:r>
        <w:rPr>
          <w:rFonts w:ascii="Calibri" w:cs="Calibri" w:eastAsia="Calibri" w:hAnsi="Calibri"/>
          <w:b/>
          <w:bCs/>
          <w:sz w:val="21"/>
          <w:szCs w:val="21"/>
        </w:rPr>
        <w:t xml:space="preserve">DA 3.ª.3 LCSP</w:t>
      </w:r>
      <w:r>
        <w:rPr>
          <w:rFonts w:ascii="Calibri" w:cs="Calibri" w:eastAsia="Calibri" w:hAnsi="Calibri"/>
          <w:sz w:val="21"/>
          <w:szCs w:val="21"/>
        </w:rPr>
        <w:t xml:space="preserve"> en relación con el art. 7.3 de la Ley Orgánica 2/2012. Es un documento distinto del certificado de crédito y su ausencia es motivo de devolución por sí sola.</w:t>
      </w:r>
    </w:p>
    <w:p>
      <w:pPr>
        <w:pStyle w:val="ListParagraph"/>
        <w:numPr>
          <w:ilvl w:val="0"/>
          <w:numId w:val="2"/>
        </w:numPr>
        <w:spacing w:after="70" w:line="268"/>
      </w:pPr>
      <w:r>
        <w:rPr>
          <w:rFonts w:ascii="Calibri" w:cs="Calibri" w:eastAsia="Calibri" w:hAnsi="Calibri"/>
          <w:b/>
          <w:bCs/>
          <w:sz w:val="21"/>
          <w:szCs w:val="21"/>
        </w:rPr>
        <w:t xml:space="preserve">Compromisos de gasto de carácter plurianual</w:t>
      </w:r>
      <w:r>
        <w:rPr>
          <w:rFonts w:ascii="Calibri" w:cs="Calibri" w:eastAsia="Calibri" w:hAnsi="Calibri"/>
          <w:sz w:val="21"/>
          <w:szCs w:val="21"/>
        </w:rPr>
        <w:t xml:space="preserve">, cuando la duración exceda del ejercicio, conforme al régimen de la legislación reguladora de las haciendas locales. Un contrato de cuatro años con bolsa de evolutivos anual y custodia de depósito anual es gasto plurianual, no gasto del ejercicio.</w:t>
      </w:r>
    </w:p>
    <w:p>
      <w:pPr>
        <w:pStyle w:val="ListParagraph"/>
        <w:numPr>
          <w:ilvl w:val="0"/>
          <w:numId w:val="2"/>
        </w:numPr>
        <w:spacing w:after="70" w:line="268"/>
      </w:pPr>
      <w:r>
        <w:rPr>
          <w:rFonts w:ascii="Calibri" w:cs="Calibri" w:eastAsia="Calibri" w:hAnsi="Calibri"/>
          <w:b/>
          <w:bCs/>
          <w:sz w:val="21"/>
          <w:szCs w:val="21"/>
        </w:rPr>
        <w:t xml:space="preserve">Valor estimado calculado y con su método expreso en el PCAP</w:t>
      </w:r>
      <w:r>
        <w:rPr>
          <w:rFonts w:ascii="Calibri" w:cs="Calibri" w:eastAsia="Calibri" w:hAnsi="Calibri"/>
          <w:sz w:val="21"/>
          <w:szCs w:val="21"/>
        </w:rPr>
        <w:t xml:space="preserve"> (arts. 101.2.c y 101.5 LCSP). Dos advertencias aritméticas que cuestan dinero y umbrales:</w:t>
      </w:r>
    </w:p>
    <w:p>
      <w:pPr>
        <w:pStyle w:val="ListParagraph"/>
        <w:numPr>
          <w:ilvl w:val="1"/>
          <w:numId w:val="1"/>
        </w:numPr>
        <w:spacing w:after="70" w:line="268"/>
      </w:pPr>
      <w:r>
        <w:rPr>
          <w:rFonts w:ascii="Calibri" w:cs="Calibri" w:eastAsia="Calibri" w:hAnsi="Calibri"/>
          <w:sz w:val="21"/>
          <w:szCs w:val="21"/>
        </w:rPr>
        <w:t xml:space="preserve">La bolsa de servicios evolutivos y cualquier reserva de modificación </w:t>
      </w:r>
      <w:r>
        <w:rPr>
          <w:rFonts w:ascii="Calibri" w:cs="Calibri" w:eastAsia="Calibri" w:hAnsi="Calibri"/>
          <w:b/>
          <w:bCs/>
          <w:sz w:val="21"/>
          <w:szCs w:val="21"/>
        </w:rPr>
        <w:t xml:space="preserve">computan en el valor estimado</w:t>
      </w:r>
      <w:r>
        <w:rPr>
          <w:rFonts w:ascii="Calibri" w:cs="Calibri" w:eastAsia="Calibri" w:hAnsi="Calibri"/>
          <w:sz w:val="21"/>
          <w:szCs w:val="21"/>
        </w:rPr>
        <w:t xml:space="preserve">. Está prohibido escribir en un expediente que no lo inflan. El efecto sobre los umbrales —cruce del umbral del recurso especial del art. 44.1.a) LCSP y pérdida del procedimiento abierto simplificado— está trabajado con números en la Parte 0, §0.2, y en ADM-14·v3, y no se repite aquí.</w:t>
      </w:r>
    </w:p>
    <w:p>
      <w:pPr>
        <w:pStyle w:val="ListParagraph"/>
        <w:numPr>
          <w:ilvl w:val="1"/>
          <w:numId w:val="1"/>
        </w:numPr>
        <w:spacing w:after="70" w:line="268"/>
      </w:pPr>
      <w:r>
        <w:rPr>
          <w:rFonts w:ascii="Calibri" w:cs="Calibri" w:eastAsia="Calibri" w:hAnsi="Calibri"/>
          <w:sz w:val="21"/>
          <w:szCs w:val="21"/>
        </w:rPr>
        <w:t xml:space="preserve">El porcentaje no se calcula sobre la misma base en preparación y en ejecución: para el valor estimado se aplica sobre el presupuesto base de licitación; en ejecución, sobre el precio de adjudicación. Una baja del 15 % reduce en un 15 % el dinero realmente disponible.</w:t>
      </w:r>
    </w:p>
    <w:p>
      <w:pPr>
        <w:pStyle w:val="ListParagraph"/>
        <w:numPr>
          <w:ilvl w:val="0"/>
          <w:numId w:val="2"/>
        </w:numPr>
        <w:spacing w:after="70" w:line="268"/>
      </w:pPr>
      <w:r>
        <w:rPr>
          <w:rFonts w:ascii="Calibri" w:cs="Calibri" w:eastAsia="Calibri" w:hAnsi="Calibri"/>
          <w:b/>
          <w:bCs/>
          <w:sz w:val="21"/>
          <w:szCs w:val="21"/>
        </w:rPr>
        <w:t xml:space="preserve">Consulta previa al directorio general de aplicaciones</w:t>
      </w:r>
      <w:r>
        <w:rPr>
          <w:rFonts w:ascii="Calibri" w:cs="Calibri" w:eastAsia="Calibri" w:hAnsi="Calibri"/>
          <w:sz w:val="21"/>
          <w:szCs w:val="21"/>
        </w:rPr>
        <w:t xml:space="preserve"> antes de adquirir, desarrollar o mantener una aplicación, y justificación en términos de eficiencia cuando no se reutilice una existente (</w:t>
      </w:r>
      <w:r>
        <w:rPr>
          <w:rFonts w:ascii="Calibri" w:cs="Calibri" w:eastAsia="Calibri" w:hAnsi="Calibri"/>
          <w:b/>
          <w:bCs/>
          <w:sz w:val="21"/>
          <w:szCs w:val="21"/>
        </w:rPr>
        <w:t xml:space="preserve">art. 157.3 Ley 40/2015</w:t>
      </w:r>
      <w:r>
        <w:rPr>
          <w:rFonts w:ascii="Calibri" w:cs="Calibri" w:eastAsia="Calibri" w:hAnsi="Calibri"/>
          <w:sz w:val="21"/>
          <w:szCs w:val="21"/>
        </w:rPr>
        <w:t xml:space="preserve">). Es preceptiva y opera antes que todo lo anterior.</w:t>
      </w:r>
    </w:p>
    <w:p>
      <w:pPr>
        <w:pStyle w:val="Heading3"/>
        <w:keepNext/>
        <w:spacing w:after="140" w:before="320"/>
      </w:pPr>
      <w:r>
        <w:rPr>
          <w:rFonts w:ascii="Georgia" w:cs="Georgia" w:eastAsia="Georgia" w:hAnsi="Georgia"/>
          <w:b/>
          <w:bCs/>
          <w:color w:val="2F5496"/>
          <w:sz w:val="22"/>
          <w:szCs w:val="22"/>
        </w:rPr>
        <w:t xml:space="preserve">M6.5 · La bolsa de servicios evolutivos: cómo se fiscaliza</w:t>
      </w:r>
    </w:p>
    <w:p>
      <w:pPr>
        <w:spacing w:after="140" w:line="276"/>
      </w:pPr>
      <w:r>
        <w:rPr>
          <w:rFonts w:ascii="Calibri" w:cs="Calibri" w:eastAsia="Calibri" w:hAnsi="Calibri"/>
          <w:sz w:val="21"/>
          <w:szCs w:val="21"/>
        </w:rPr>
        <w:t xml:space="preserve">Es el concepto que más preguntas genera y merece respuesta expresa, porque de ella depende que se apruebe o se suprima.</w:t>
      </w:r>
    </w:p>
    <w:p>
      <w:pPr>
        <w:pStyle w:val="ListParagraph"/>
        <w:numPr>
          <w:ilvl w:val="0"/>
          <w:numId w:val="1"/>
        </w:numPr>
        <w:spacing w:after="70" w:line="268"/>
      </w:pPr>
      <w:r>
        <w:rPr>
          <w:rFonts w:ascii="Calibri" w:cs="Calibri" w:eastAsia="Calibri" w:hAnsi="Calibri"/>
          <w:b/>
          <w:bCs/>
          <w:sz w:val="21"/>
          <w:szCs w:val="21"/>
        </w:rPr>
        <w:t xml:space="preserve">Fundamento.</w:t>
      </w:r>
      <w:r>
        <w:rPr>
          <w:rFonts w:ascii="Calibri" w:cs="Calibri" w:eastAsia="Calibri" w:hAnsi="Calibri"/>
          <w:sz w:val="21"/>
          <w:szCs w:val="21"/>
        </w:rPr>
        <w:t xml:space="preserve"> Art. 308.3 LCSP: en los contratos de servicios que impliquen desarrollo o mantenimiento de aplicaciones informáticas, el objeto puede definirse por componentes de prestación, con precio referido a unidades de actividad definidas en términos de categorías profesionales o coste, </w:t>
      </w:r>
      <w:r>
        <w:rPr>
          <w:rFonts w:ascii="Calibri" w:cs="Calibri" w:eastAsia="Calibri" w:hAnsi="Calibri"/>
          <w:i/>
          <w:iCs/>
          <w:sz w:val="21"/>
          <w:szCs w:val="21"/>
        </w:rPr>
        <w:t xml:space="preserve">«sin perjuicio de que puedan concretarse dichas funcionalidades por la Administración atendiendo a consideraciones técnicas, económicas o necesidades del usuario durante el período de ejecución, en los términos en que se prevean en el pliego de cláusulas administrativas particulares»</w:t>
      </w:r>
      <w:r>
        <w:rPr>
          <w:rFonts w:ascii="Calibri" w:cs="Calibri" w:eastAsia="Calibri" w:hAnsi="Calibri"/>
          <w:sz w:val="21"/>
          <w:szCs w:val="21"/>
        </w:rPr>
        <w:t xml:space="preserve">. La figura tiene precepto propio; no necesita doctrina.</w:t>
      </w:r>
    </w:p>
    <w:p>
      <w:pPr>
        <w:pStyle w:val="ListParagraph"/>
        <w:numPr>
          <w:ilvl w:val="0"/>
          <w:numId w:val="1"/>
        </w:numPr>
        <w:spacing w:after="70" w:line="268"/>
      </w:pPr>
      <w:r>
        <w:rPr>
          <w:rFonts w:ascii="Calibri" w:cs="Calibri" w:eastAsia="Calibri" w:hAnsi="Calibri"/>
          <w:b/>
          <w:bCs/>
          <w:sz w:val="21"/>
          <w:szCs w:val="21"/>
        </w:rPr>
        <w:t xml:space="preserve">Certeza del precio.</w:t>
      </w:r>
      <w:r>
        <w:rPr>
          <w:rFonts w:ascii="Calibri" w:cs="Calibri" w:eastAsia="Calibri" w:hAnsi="Calibri"/>
          <w:sz w:val="21"/>
          <w:szCs w:val="21"/>
        </w:rPr>
        <w:t xml:space="preserve"> El precio es cierto porque viene determinado por precios unitarios ofertados por el licitador (Anexo X.3) y por un número máximo de unidades fijado en el pliego. El máximo es un techo, no un derecho del contratista.</w:t>
      </w:r>
    </w:p>
    <w:p>
      <w:pPr>
        <w:pStyle w:val="ListParagraph"/>
        <w:numPr>
          <w:ilvl w:val="0"/>
          <w:numId w:val="1"/>
        </w:numPr>
        <w:spacing w:after="70" w:line="268"/>
      </w:pPr>
      <w:r>
        <w:rPr>
          <w:rFonts w:ascii="Calibri" w:cs="Calibri" w:eastAsia="Calibri" w:hAnsi="Calibri"/>
          <w:b/>
          <w:bCs/>
          <w:sz w:val="21"/>
          <w:szCs w:val="21"/>
        </w:rPr>
        <w:t xml:space="preserve">Horas no consumidas: no se abonan.</w:t>
      </w:r>
      <w:r>
        <w:rPr>
          <w:rFonts w:ascii="Calibri" w:cs="Calibri" w:eastAsia="Calibri" w:hAnsi="Calibri"/>
          <w:sz w:val="21"/>
          <w:szCs w:val="21"/>
        </w:rPr>
        <w:t xml:space="preserve"> Se retribuye la actividad efectivamente prestada y certificada. Esto tiene que estar escrito en el PCAP con esas palabras, o el expediente no se fiscaliza.</w:t>
      </w:r>
    </w:p>
    <w:p>
      <w:pPr>
        <w:pStyle w:val="ListParagraph"/>
        <w:numPr>
          <w:ilvl w:val="0"/>
          <w:numId w:val="1"/>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El máximo de la bolsa computa en el valor estimado (art. 101 LCSP).</w:t>
      </w:r>
    </w:p>
    <w:p>
      <w:pPr>
        <w:pStyle w:val="ListParagraph"/>
        <w:numPr>
          <w:ilvl w:val="0"/>
          <w:numId w:val="1"/>
        </w:numPr>
        <w:spacing w:after="70" w:line="268"/>
      </w:pPr>
      <w:r>
        <w:rPr>
          <w:rFonts w:ascii="Calibri" w:cs="Calibri" w:eastAsia="Calibri" w:hAnsi="Calibri"/>
          <w:b/>
          <w:bCs/>
          <w:sz w:val="21"/>
          <w:szCs w:val="21"/>
        </w:rPr>
        <w:t xml:space="preserve">Límite competencial.</w:t>
      </w:r>
      <w:r>
        <w:rPr>
          <w:rFonts w:ascii="Calibri" w:cs="Calibri" w:eastAsia="Calibri" w:hAnsi="Calibri"/>
          <w:sz w:val="21"/>
          <w:szCs w:val="21"/>
        </w:rPr>
        <w:t xml:space="preserve"> Las peticiones se cursan como </w:t>
      </w:r>
      <w:r>
        <w:rPr>
          <w:rFonts w:ascii="Calibri" w:cs="Calibri" w:eastAsia="Calibri" w:hAnsi="Calibri"/>
          <w:b/>
          <w:bCs/>
          <w:sz w:val="21"/>
          <w:szCs w:val="21"/>
        </w:rPr>
        <w:t xml:space="preserve">peticiones de servicio del responsable del contrato</w:t>
      </w:r>
      <w:r>
        <w:rPr>
          <w:rFonts w:ascii="Calibri" w:cs="Calibri" w:eastAsia="Calibri" w:hAnsi="Calibri"/>
          <w:sz w:val="21"/>
          <w:szCs w:val="21"/>
        </w:rPr>
        <w:t xml:space="preserve">, con entregable y aceptación. Nunca como dirección del personal del contratista: el art. 308.2 LCSP obliga a los responsables de la Administración a abstenerse de ejercer facultades que corresponden a la empresa contratista. La expresión «horas dirigidas por el Ayuntamiento» está prohibida en el articulado y en la memoria de cualquier expediente.</w:t>
      </w:r>
    </w:p>
    <w:p>
      <w:pPr>
        <w:pStyle w:val="ListParagraph"/>
        <w:numPr>
          <w:ilvl w:val="0"/>
          <w:numId w:val="1"/>
        </w:numPr>
        <w:spacing w:after="70" w:line="268"/>
      </w:pPr>
      <w:r>
        <w:rPr>
          <w:rFonts w:ascii="Calibri" w:cs="Calibri" w:eastAsia="Calibri" w:hAnsi="Calibri"/>
          <w:b/>
          <w:bCs/>
          <w:sz w:val="21"/>
          <w:szCs w:val="21"/>
        </w:rPr>
        <w:t xml:space="preserve">Ámbito.</w:t>
      </w:r>
      <w:r>
        <w:rPr>
          <w:rFonts w:ascii="Calibri" w:cs="Calibri" w:eastAsia="Calibri" w:hAnsi="Calibri"/>
          <w:sz w:val="21"/>
          <w:szCs w:val="21"/>
        </w:rPr>
        <w:t xml:space="preserve"> Sólo contratos de desarrollo o mantenimiento de aplicaciones. No es cláusula general.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M7 · Conflicto de interés y participación previa en la preparación (arts. 64 y 70 LCSP)</w:t>
      </w:r>
    </w:p>
    <w:p>
      <w:pPr>
        <w:pStyle w:val="Heading3"/>
        <w:keepNext/>
        <w:spacing w:after="140" w:before="320"/>
      </w:pPr>
      <w:r>
        <w:rPr>
          <w:rFonts w:ascii="Georgia" w:cs="Georgia" w:eastAsia="Georgia" w:hAnsi="Georgia"/>
          <w:b/>
          <w:bCs/>
          <w:color w:val="2F5496"/>
          <w:sz w:val="22"/>
          <w:szCs w:val="22"/>
        </w:rPr>
        <w:t xml:space="preserve">M7.1 · Por qué esta declaración se hace por iniciativa propia y por escrito</w:t>
      </w:r>
    </w:p>
    <w:p>
      <w:pPr>
        <w:spacing w:after="140" w:line="276"/>
      </w:pPr>
      <w:r>
        <w:rPr>
          <w:rFonts w:ascii="Calibri" w:cs="Calibri" w:eastAsia="Calibri" w:hAnsi="Calibri"/>
          <w:sz w:val="21"/>
          <w:szCs w:val="21"/>
        </w:rPr>
        <w:t xml:space="preserve">El art. 64 LCSP obliga al órgano de contratación a tomar medidas adecuadas para prevenir, detectar y solucionar los conflictos de intereses, y define el concepto de forma deliberadamente amplia: </w:t>
      </w:r>
      <w:r>
        <w:rPr>
          <w:rFonts w:ascii="Calibri" w:cs="Calibri" w:eastAsia="Calibri" w:hAnsi="Calibri"/>
          <w:i/>
          <w:iCs/>
          <w:sz w:val="21"/>
          <w:szCs w:val="21"/>
        </w:rPr>
        <w:t xml:space="preserve">«cualquier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Este catálogo ha sido elaborado con asesoramiento externo de personas y entidades que operan en el mercado tecnológico al que las especificaciones se refieren. </w:t>
      </w:r>
      <w:r>
        <w:rPr>
          <w:rFonts w:ascii="Calibri" w:cs="Calibri" w:eastAsia="Calibri" w:hAnsi="Calibri"/>
          <w:b/>
          <w:bCs/>
          <w:sz w:val="21"/>
          <w:szCs w:val="21"/>
        </w:rPr>
        <w:t xml:space="preserve">Ese hecho es el único riesgo capaz de tumbar el proyecto al margen del articulado</w:t>
      </w:r>
      <w:r>
        <w:rPr>
          <w:rFonts w:ascii="Calibri" w:cs="Calibri" w:eastAsia="Calibri" w:hAnsi="Calibri"/>
          <w:sz w:val="21"/>
          <w:szCs w:val="21"/>
        </w:rPr>
        <w:t xml:space="preserve">, porque no se discute como un defecto técnico sino como una acusación de favorecimiento. Declarado entero y neutralizado por el propio texto, es un activo. Descubierto por un recurrente, es la anulación.</w:t>
      </w:r>
    </w:p>
    <w:p>
      <w:pPr>
        <w:pStyle w:val="Heading3"/>
        <w:keepNext/>
        <w:spacing w:after="140" w:before="320"/>
      </w:pPr>
      <w:r>
        <w:rPr>
          <w:rFonts w:ascii="Georgia" w:cs="Georgia" w:eastAsia="Georgia" w:hAnsi="Georgia"/>
          <w:b/>
          <w:bCs/>
          <w:color w:val="2F5496"/>
          <w:sz w:val="22"/>
          <w:szCs w:val="22"/>
        </w:rPr>
        <w:t xml:space="preserve">M7.2 · Intervinientes y su papel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Papel en este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Vinculación relevante a efectos de los arts. 64 y 70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Delfina Lafuente</w:t>
            </w:r>
            <w:r>
              <w:rPr>
                <w:rFonts w:ascii="Calibri" w:cs="Calibri" w:eastAsia="Calibri" w:hAnsi="Calibri"/>
                <w:b w:val="false"/>
                <w:bCs w:val="false"/>
                <w:sz w:val="18"/>
                <w:szCs w:val="18"/>
              </w:rPr>
              <w:t xml:space="preserve">, Concejal de Administración Digital, Calidad e Innovación del Ayuntamiento de Pozuelo de Alarcón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Impulso institucional del proyecto; definición del alcance y validación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 público municipal. Declaración de ausencia de interés financiero, económico o personal en las tecnologías objeto del catálogo, en los términos del Anexo IX</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José Antonio Ondiviela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Asesoramiento externo en la definición de exigencias tecnológicas y en el mecanismo de revisión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Operador y profesional del sector tecnológico. La naturaleza exacta de su vinculación —relación laboral, societaria, de asesoramiento o de participación en asociaciones o consorcios del sector— se consigna en su declaración firmada del Anexo IX, que se incorpora al expediente antes de la aprobación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Miguel Ángel Domínguez</w:t>
            </w:r>
            <w:r>
              <w:rPr>
                <w:rFonts w:ascii="Calibri" w:cs="Calibri" w:eastAsia="Calibri" w:hAnsi="Calibri"/>
                <w:b w:val="false"/>
                <w:bCs w:val="false"/>
                <w:sz w:val="18"/>
                <w:szCs w:val="18"/>
              </w:rPr>
              <w:t xml:space="preserve">, firmante del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Redacción, refundición y responsabilidad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Profesional vinculado al sector del software para la Administración local. La naturaleza exacta de la vinculación —incluida, en su caso, la condición de proveedor actual o pasado de administraciones públicas y la pertenencia a asociaciones o consorcios tecnológicos— se consigna en su declaración firmada del Anexo IX</w:t>
            </w:r>
          </w:p>
        </w:tc>
      </w:tr>
    </w:tbl>
    <w:p>
      <w:pPr>
        <w:spacing w:after="200"/>
      </w:pPr>
    </w:p>
    <w:p>
      <w:pPr>
        <w:spacing w:after="140" w:line="276"/>
      </w:pPr>
      <w:r>
        <w:rPr>
          <w:rFonts w:ascii="Calibri" w:cs="Calibri" w:eastAsia="Calibri" w:hAnsi="Calibri"/>
          <w:b/>
          <w:bCs/>
          <w:sz w:val="21"/>
          <w:szCs w:val="21"/>
        </w:rPr>
        <w:t xml:space="preserve">Constancia expresa:</w:t>
      </w:r>
      <w:r>
        <w:rPr>
          <w:rFonts w:ascii="Calibri" w:cs="Calibri" w:eastAsia="Calibri" w:hAnsi="Calibri"/>
          <w:sz w:val="21"/>
          <w:szCs w:val="21"/>
        </w:rPr>
        <w:t xml:space="preserve"> a la fecha de esta memoria, las declaraciones del Anexo IX </w:t>
      </w:r>
      <w:r>
        <w:rPr>
          <w:rFonts w:ascii="Calibri" w:cs="Calibri" w:eastAsia="Calibri" w:hAnsi="Calibri"/>
          <w:b/>
          <w:bCs/>
          <w:sz w:val="21"/>
          <w:szCs w:val="21"/>
        </w:rPr>
        <w:t xml:space="preserve">no están firmadas</w:t>
      </w:r>
      <w:r>
        <w:rPr>
          <w:rFonts w:ascii="Calibri" w:cs="Calibri" w:eastAsia="Calibri" w:hAnsi="Calibri"/>
          <w:sz w:val="21"/>
          <w:szCs w:val="21"/>
        </w:rPr>
        <w:t xml:space="preserve">. Mientras no lo estén y no se incorporen al expediente, este apartado M7 es una intención y no una medida, y así debe hacerse constar en el informe jurídico y en la nota de fiscalización. Es la segunda condición suspensiva del §M11.</w:t>
      </w:r>
    </w:p>
    <w:p>
      <w:pPr>
        <w:pStyle w:val="Heading3"/>
        <w:keepNext/>
        <w:spacing w:after="140" w:before="320"/>
      </w:pPr>
      <w:r>
        <w:rPr>
          <w:rFonts w:ascii="Georgia" w:cs="Georgia" w:eastAsia="Georgia" w:hAnsi="Georgia"/>
          <w:b/>
          <w:bCs/>
          <w:color w:val="2F5496"/>
          <w:sz w:val="22"/>
          <w:szCs w:val="22"/>
        </w:rPr>
        <w:t xml:space="preserve">M7.3 · Las medidas adoptadas</w:t>
      </w:r>
    </w:p>
    <w:p>
      <w:pPr>
        <w:spacing w:after="140" w:line="276"/>
      </w:pPr>
      <w:r>
        <w:rPr>
          <w:rFonts w:ascii="Calibri" w:cs="Calibri" w:eastAsia="Calibri" w:hAnsi="Calibri"/>
          <w:sz w:val="21"/>
          <w:szCs w:val="21"/>
        </w:rPr>
        <w:t xml:space="preserve">Ésta es la parte que importa. El art. 70.1 LCSP no pide declarar: pide </w:t>
      </w:r>
      <w:r>
        <w:rPr>
          <w:rFonts w:ascii="Calibri" w:cs="Calibri" w:eastAsia="Calibri" w:hAnsi="Calibri"/>
          <w:b/>
          <w:bCs/>
          <w:sz w:val="21"/>
          <w:szCs w:val="21"/>
        </w:rPr>
        <w:t xml:space="preserve">tomar las medidas adecuadas</w:t>
      </w:r>
      <w:r>
        <w:rPr>
          <w:rFonts w:ascii="Calibri" w:cs="Calibri" w:eastAsia="Calibri" w:hAnsi="Calibri"/>
          <w:sz w:val="21"/>
          <w:szCs w:val="21"/>
        </w:rPr>
        <w:t xml:space="preserve"> para garantizar que la participación previa en la preparación no falsee la competencia, y dejar constancia de ellas. Una declaración sin medidas es una confesión sin defensa. Las medidas adoptadas son las siguientes, y todas son verificables en el propio texto:</w:t>
      </w:r>
    </w:p>
    <w:p>
      <w:pPr>
        <w:pStyle w:val="ListParagraph"/>
        <w:numPr>
          <w:ilvl w:val="0"/>
          <w:numId w:val="2"/>
        </w:numPr>
        <w:spacing w:after="70" w:line="268"/>
      </w:pPr>
      <w:r>
        <w:rPr>
          <w:rFonts w:ascii="Calibri" w:cs="Calibri" w:eastAsia="Calibri" w:hAnsi="Calibri"/>
          <w:b/>
          <w:bCs/>
          <w:sz w:val="21"/>
          <w:szCs w:val="21"/>
        </w:rPr>
        <w:t xml:space="preserve">Eliminación material de la preferencia tecnológica.</w:t>
      </w:r>
      <w:r>
        <w:rPr>
          <w:rFonts w:ascii="Calibri" w:cs="Calibri" w:eastAsia="Calibri" w:hAnsi="Calibri"/>
          <w:sz w:val="21"/>
          <w:szCs w:val="21"/>
        </w:rPr>
        <w:t xml:space="preserve"> La cláusula que preferenciaba una infraestructura concreta se ha reformulado íntegramente por capacidades funcionales, se ha marcado NO APLICA por defecto, se ha suprimido su motivación territorial y estratégica y se ha eliminado el inciso que permitía reintroducirla («salvo justificación motivada en el expediente»). Es la medida principal: sin ella, ninguna declaración sería creíble.</w:t>
      </w:r>
    </w:p>
    <w:p>
      <w:pPr>
        <w:pStyle w:val="ListParagraph"/>
        <w:numPr>
          <w:ilvl w:val="0"/>
          <w:numId w:val="2"/>
        </w:numPr>
        <w:spacing w:after="70" w:line="268"/>
      </w:pPr>
      <w:r>
        <w:rPr>
          <w:rFonts w:ascii="Calibri" w:cs="Calibri" w:eastAsia="Calibri" w:hAnsi="Calibri"/>
          <w:b/>
          <w:bCs/>
          <w:sz w:val="21"/>
          <w:szCs w:val="21"/>
        </w:rPr>
        <w:t xml:space="preserve">Prohibición expresa de puntuar la pertenencia a una red o infraestructura nominada</w:t>
      </w:r>
      <w:r>
        <w:rPr>
          <w:rFonts w:ascii="Calibri" w:cs="Calibri" w:eastAsia="Calibri" w:hAnsi="Calibri"/>
          <w:sz w:val="21"/>
          <w:szCs w:val="21"/>
        </w:rPr>
        <w:t xml:space="preserve"> y de configurarla como requisito o criterio de solvencia (ADM-7·v3).</w:t>
      </w:r>
    </w:p>
    <w:p>
      <w:pPr>
        <w:pStyle w:val="ListParagraph"/>
        <w:numPr>
          <w:ilvl w:val="0"/>
          <w:numId w:val="2"/>
        </w:numPr>
        <w:spacing w:after="70" w:line="268"/>
      </w:pPr>
      <w:r>
        <w:rPr>
          <w:rFonts w:ascii="Calibri" w:cs="Calibri" w:eastAsia="Calibri" w:hAnsi="Calibri"/>
          <w:b/>
          <w:bCs/>
          <w:sz w:val="21"/>
          <w:szCs w:val="21"/>
        </w:rPr>
        <w:t xml:space="preserve">Supresión de toda mención nominativa operativa en el articulado.</w:t>
      </w:r>
      <w:r>
        <w:rPr>
          <w:rFonts w:ascii="Calibri" w:cs="Calibri" w:eastAsia="Calibri" w:hAnsi="Calibri"/>
          <w:sz w:val="21"/>
          <w:szCs w:val="21"/>
        </w:rPr>
        <w:t xml:space="preserve"> Los protocolos, redes, productos e infraestructuras concretos viven fuera del articulado, como referencias ilustrativas del estado del arte sin efectos obligacionales. Las </w:t>
      </w:r>
      <w:r>
        <w:rPr>
          <w:rFonts w:ascii="Calibri" w:cs="Calibri" w:eastAsia="Calibri" w:hAnsi="Calibri"/>
          <w:b/>
          <w:bCs/>
          <w:sz w:val="21"/>
          <w:szCs w:val="21"/>
        </w:rPr>
        <w:t xml:space="preserve">normas técnicas</w:t>
      </w:r>
      <w:r>
        <w:rPr>
          <w:rFonts w:ascii="Calibri" w:cs="Calibri" w:eastAsia="Calibri" w:hAnsi="Calibri"/>
          <w:sz w:val="21"/>
          <w:szCs w:val="21"/>
        </w:rPr>
        <w:t xml:space="preserve"> citadas nominativamente (UNE-EN ISO/IEC 42001:2026, 27001, 27701) lo son al amparo del art. 126.5.b) LCSP, con admisión expresa de equivalentes y de las pruebas del art. 93.2. El barrido documental se ha ejecutado sobre el texto completo y su resultado se incorpora al expediente.</w:t>
      </w:r>
    </w:p>
    <w:p>
      <w:pPr>
        <w:pStyle w:val="ListParagraph"/>
        <w:numPr>
          <w:ilvl w:val="0"/>
          <w:numId w:val="2"/>
        </w:numPr>
        <w:spacing w:after="70" w:line="268"/>
      </w:pPr>
      <w:r>
        <w:rPr>
          <w:rFonts w:ascii="Calibri" w:cs="Calibri" w:eastAsia="Calibri" w:hAnsi="Calibri"/>
          <w:b/>
          <w:bCs/>
          <w:sz w:val="21"/>
          <w:szCs w:val="21"/>
        </w:rPr>
        <w:t xml:space="preserve">Supresión de toda puntuación de la tenencia previa</w:t>
      </w:r>
      <w:r>
        <w:rPr>
          <w:rFonts w:ascii="Calibri" w:cs="Calibri" w:eastAsia="Calibri" w:hAnsi="Calibri"/>
          <w:sz w:val="21"/>
          <w:szCs w:val="21"/>
        </w:rPr>
        <w:t xml:space="preserve">: ni certificaciones, ni experiencia, ni disponibilidad presente de medios a fecha de licitación (art. 40.b LCSP). Es la medida que más directamente elimina la ventaja de quien ya conocía el contenido del catálogo.</w:t>
      </w:r>
    </w:p>
    <w:p>
      <w:pPr>
        <w:pStyle w:val="ListParagraph"/>
        <w:numPr>
          <w:ilvl w:val="0"/>
          <w:numId w:val="2"/>
        </w:numPr>
        <w:spacing w:after="70" w:line="268"/>
      </w:pPr>
      <w:r>
        <w:rPr>
          <w:rFonts w:ascii="Calibri" w:cs="Calibri" w:eastAsia="Calibri" w:hAnsi="Calibri"/>
          <w:b/>
          <w:bCs/>
          <w:sz w:val="21"/>
          <w:szCs w:val="21"/>
        </w:rPr>
        <w:t xml:space="preserve">Abstención en los procedimientos derivados.</w:t>
      </w:r>
      <w:r>
        <w:rPr>
          <w:rFonts w:ascii="Calibri" w:cs="Calibri" w:eastAsia="Calibri" w:hAnsi="Calibri"/>
          <w:sz w:val="21"/>
          <w:szCs w:val="21"/>
        </w:rPr>
        <w:t xml:space="preserve"> Ninguno de los asesores externos que han participado en la elaboración de este catálogo puede formar parte de mesas de contratación, comités de expertos ni intervenir en la valoración de ofertas de los expedientes que lo apliquen. Constancia en cada expediente.</w:t>
      </w:r>
    </w:p>
    <w:p>
      <w:pPr>
        <w:pStyle w:val="ListParagraph"/>
        <w:numPr>
          <w:ilvl w:val="0"/>
          <w:numId w:val="2"/>
        </w:numPr>
        <w:spacing w:after="70" w:line="268"/>
      </w:pPr>
      <w:r>
        <w:rPr>
          <w:rFonts w:ascii="Calibri" w:cs="Calibri" w:eastAsia="Calibri" w:hAnsi="Calibri"/>
          <w:b/>
          <w:bCs/>
          <w:sz w:val="21"/>
          <w:szCs w:val="21"/>
        </w:rPr>
        <w:t xml:space="preserve">Publicación íntegra y anticipada del catálogo en abierto.</w:t>
      </w:r>
      <w:r>
        <w:rPr>
          <w:rFonts w:ascii="Calibri" w:cs="Calibri" w:eastAsia="Calibri" w:hAnsi="Calibri"/>
          <w:sz w:val="21"/>
          <w:szCs w:val="21"/>
        </w:rPr>
        <w:t xml:space="preserve"> Es, materialmente, la medida más eficaz del art. 70: toda la información de la que dispusieron quienes asesoraron está a disposición de todo el mercado, con antelación a cualquier licitación y sin necesidad de solicitarla. La asimetría informativa que el art. 70 quiere corregir queda eliminada por publicación. Adviértase el límite de esta medida, para que no se le atribuya más de lo que hace: elimina la ventaja informativa, </w:t>
      </w:r>
      <w:r>
        <w:rPr>
          <w:rFonts w:ascii="Calibri" w:cs="Calibri" w:eastAsia="Calibri" w:hAnsi="Calibri"/>
          <w:b/>
          <w:bCs/>
          <w:sz w:val="21"/>
          <w:szCs w:val="21"/>
        </w:rPr>
        <w:t xml:space="preserve">no neutraliza el interés económico de quien asesora o firma</w:t>
      </w:r>
      <w:r>
        <w:rPr>
          <w:rFonts w:ascii="Calibri" w:cs="Calibri" w:eastAsia="Calibri" w:hAnsi="Calibri"/>
          <w:sz w:val="21"/>
          <w:szCs w:val="21"/>
        </w:rPr>
        <w:t xml:space="preserve">. Eso sólo lo neutralizan las declaraciones firmadas del Anexo IX y la autolimitación de la medida 8.</w:t>
      </w:r>
    </w:p>
    <w:p>
      <w:pPr>
        <w:pStyle w:val="ListParagraph"/>
        <w:numPr>
          <w:ilvl w:val="0"/>
          <w:numId w:val="2"/>
        </w:numPr>
        <w:spacing w:after="70" w:line="268"/>
      </w:pPr>
      <w:r>
        <w:rPr>
          <w:rFonts w:ascii="Calibri" w:cs="Calibri" w:eastAsia="Calibri" w:hAnsi="Calibri"/>
          <w:b/>
          <w:bCs/>
          <w:sz w:val="21"/>
          <w:szCs w:val="21"/>
        </w:rPr>
        <w:t xml:space="preserve">Consulta preliminar del mercado publicada y abierta</w:t>
      </w:r>
      <w:r>
        <w:rPr>
          <w:rFonts w:ascii="Calibri" w:cs="Calibri" w:eastAsia="Calibri" w:hAnsi="Calibri"/>
          <w:sz w:val="21"/>
          <w:szCs w:val="21"/>
        </w:rPr>
        <w:t xml:space="preserve"> (art. 115 LCSP, §M3.2), con anuncio en el perfil de contratante y publicación del informe de conclusiones, de modo que cualquier operador pueda aportar en las mismas condiciones.</w:t>
      </w:r>
    </w:p>
    <w:p>
      <w:pPr>
        <w:pStyle w:val="ListParagraph"/>
        <w:numPr>
          <w:ilvl w:val="0"/>
          <w:numId w:val="2"/>
        </w:numPr>
        <w:spacing w:after="70" w:line="268"/>
      </w:pPr>
      <w:r>
        <w:rPr>
          <w:rFonts w:ascii="Calibri" w:cs="Calibri" w:eastAsia="Calibri" w:hAnsi="Calibri"/>
          <w:b/>
          <w:bCs/>
          <w:sz w:val="21"/>
          <w:szCs w:val="21"/>
        </w:rPr>
        <w:t xml:space="preserve">Autolimitación recomendada.</w:t>
      </w:r>
      <w:r>
        <w:rPr>
          <w:rFonts w:ascii="Calibri" w:cs="Calibri" w:eastAsia="Calibri" w:hAnsi="Calibri"/>
          <w:sz w:val="21"/>
          <w:szCs w:val="21"/>
        </w:rPr>
        <w:t xml:space="preserve"> Se recomienda al órgano de contratación acordar que los asesores externos y las entidades en que participen se abstengan de licitar, por sí o en unión temporal, en los expedientes que apliquen este catálogo durante [X; se recomienda 12] meses desde su aprobación. Es una medida voluntaria y desproporcionada en sentido estricto —la ley no la exige—, pero es la única que elimina el riesgo en lugar de gestionarlo.</w:t>
      </w:r>
    </w:p>
    <w:p>
      <w:pPr>
        <w:pStyle w:val="ListParagraph"/>
        <w:numPr>
          <w:ilvl w:val="0"/>
          <w:numId w:val="2"/>
        </w:numPr>
        <w:spacing w:after="70" w:line="268"/>
      </w:pPr>
      <w:r>
        <w:rPr>
          <w:rFonts w:ascii="Calibri" w:cs="Calibri" w:eastAsia="Calibri" w:hAnsi="Calibri"/>
          <w:b/>
          <w:bCs/>
          <w:sz w:val="21"/>
          <w:szCs w:val="21"/>
        </w:rPr>
        <w:t xml:space="preserve">Si pese a lo anterior alguno concurriera</w:t>
      </w:r>
      <w:r>
        <w:rPr>
          <w:rFonts w:ascii="Calibri" w:cs="Calibri" w:eastAsia="Calibri" w:hAnsi="Calibri"/>
          <w:sz w:val="21"/>
          <w:szCs w:val="21"/>
        </w:rPr>
        <w:t xml:space="preserve">, se aplicará el régimen del art. 70 LCSP en sus propios términos: puesta a disposición de todos los licitadores de la información intercambiada y de la que se derive de la participación previa, plazos suficientes para la presentación de ofertas y, </w:t>
      </w:r>
      <w:r>
        <w:rPr>
          <w:rFonts w:ascii="Calibri" w:cs="Calibri" w:eastAsia="Calibri" w:hAnsi="Calibri"/>
          <w:b/>
          <w:bCs/>
          <w:sz w:val="21"/>
          <w:szCs w:val="21"/>
        </w:rPr>
        <w:t xml:space="preserve">antes de cualquier exclusión, audiencia al interesado</w:t>
      </w:r>
      <w:r>
        <w:rPr>
          <w:rFonts w:ascii="Calibri" w:cs="Calibri" w:eastAsia="Calibri" w:hAnsi="Calibri"/>
          <w:sz w:val="21"/>
          <w:szCs w:val="21"/>
        </w:rPr>
        <w:t xml:space="preserve"> para que acredite que su participación no falsea la competencia. La exclusión es el último recurso, no el primero.</w:t>
      </w:r>
    </w:p>
    <w:p>
      <w:pPr>
        <w:pStyle w:val="ListParagraph"/>
        <w:numPr>
          <w:ilvl w:val="0"/>
          <w:numId w:val="2"/>
        </w:numPr>
        <w:spacing w:after="70" w:line="268"/>
      </w:pPr>
      <w:r>
        <w:rPr>
          <w:rFonts w:ascii="Calibri" w:cs="Calibri" w:eastAsia="Calibri" w:hAnsi="Calibri"/>
          <w:b/>
          <w:bCs/>
          <w:sz w:val="21"/>
          <w:szCs w:val="21"/>
        </w:rPr>
        <w:t xml:space="preserve">Trazabilidad de la autoría.</w:t>
      </w:r>
      <w:r>
        <w:rPr>
          <w:rFonts w:ascii="Calibri" w:cs="Calibri" w:eastAsia="Calibri" w:hAnsi="Calibri"/>
          <w:sz w:val="21"/>
          <w:szCs w:val="21"/>
        </w:rPr>
        <w:t xml:space="preserve"> Cuando una previsión del catálogo se refiera a una tecnología en la que un interviniente tenga interés declarado, se hará constar en el expediente quién la propuso.</w:t>
      </w:r>
    </w:p>
    <w:p>
      <w:pPr>
        <w:pStyle w:val="ListParagraph"/>
        <w:numPr>
          <w:ilvl w:val="0"/>
          <w:numId w:val="2"/>
        </w:numPr>
        <w:spacing w:after="70" w:line="268"/>
      </w:pPr>
      <w:r>
        <w:rPr>
          <w:rFonts w:ascii="Calibri" w:cs="Calibri" w:eastAsia="Calibri" w:hAnsi="Calibri"/>
          <w:b/>
          <w:bCs/>
          <w:sz w:val="21"/>
          <w:szCs w:val="21"/>
        </w:rPr>
        <w:t xml:space="preserve">Revisión previa por los órganos de control con el conflicto ya sobre la mesa</w:t>
      </w:r>
      <w:r>
        <w:rPr>
          <w:rFonts w:ascii="Calibri" w:cs="Calibri" w:eastAsia="Calibri" w:hAnsi="Calibri"/>
          <w:sz w:val="21"/>
          <w:szCs w:val="21"/>
        </w:rPr>
        <w:t xml:space="preserve">: informe jurídico y nota de fiscalización se emiten conociendo esta declaración, no después.</w:t>
      </w:r>
    </w:p>
    <w:p>
      <w:pPr>
        <w:pStyle w:val="ListParagraph"/>
        <w:numPr>
          <w:ilvl w:val="0"/>
          <w:numId w:val="2"/>
        </w:numPr>
        <w:spacing w:after="70" w:line="268"/>
      </w:pPr>
      <w:r>
        <w:rPr>
          <w:rFonts w:ascii="Calibri" w:cs="Calibri" w:eastAsia="Calibri" w:hAnsi="Calibri"/>
          <w:b/>
          <w:bCs/>
          <w:sz w:val="21"/>
          <w:szCs w:val="21"/>
        </w:rPr>
        <w:t xml:space="preserve">Regla de reutilización.</w:t>
      </w:r>
      <w:r>
        <w:rPr>
          <w:rFonts w:ascii="Calibri" w:cs="Calibri" w:eastAsia="Calibri" w:hAnsi="Calibri"/>
          <w:sz w:val="21"/>
          <w:szCs w:val="21"/>
        </w:rPr>
        <w:t xml:space="preserve"> Cualquier administración que copie este catálogo debe repetir la declaración con sus propios intervinientes. Copiar el documento sin repetir la declaración no traslada la protección: traslada el riesgo.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M8 · Estado de la doctrina, con fecha de corte</w:t>
      </w:r>
    </w:p>
    <w:p>
      <w:pPr>
        <w:pStyle w:val="Heading3"/>
        <w:keepNext/>
        <w:spacing w:after="140" w:before="320"/>
      </w:pPr>
      <w:r>
        <w:rPr>
          <w:rFonts w:ascii="Georgia" w:cs="Georgia" w:eastAsia="Georgia" w:hAnsi="Georgia"/>
          <w:b/>
          <w:bCs/>
          <w:color w:val="2F5496"/>
          <w:sz w:val="22"/>
          <w:szCs w:val="22"/>
        </w:rPr>
        <w:t xml:space="preserve">M8.1 · Lo que no existe</w:t>
      </w:r>
    </w:p>
    <w:p>
      <w:pPr>
        <w:spacing w:after="140" w:line="276"/>
      </w:pPr>
      <w:r>
        <w:rPr>
          <w:rFonts w:ascii="Calibri" w:cs="Calibri" w:eastAsia="Calibri" w:hAnsi="Calibri"/>
          <w:b/>
          <w:bCs/>
          <w:sz w:val="21"/>
          <w:szCs w:val="21"/>
        </w:rPr>
        <w:t xml:space="preserve">A fecha de 1 de septiembre de 2026, y tras búsqueda dirigida en los repositorios de resoluciones del Tribunal Administrativo Central de Recursos Contractuales, del Tribunal Administrativo de Contratación Pública de la Comunidad de Madrid, del Órgano Administrativo de Recursos Contractuales de Euskadi y en los informes publicados de las juntas consultivas de contratación, no consta doctrina sobre:</w:t>
      </w:r>
    </w:p>
    <w:p>
      <w:pPr>
        <w:pStyle w:val="ListParagraph"/>
        <w:numPr>
          <w:ilvl w:val="0"/>
          <w:numId w:val="1"/>
        </w:numPr>
        <w:spacing w:after="70" w:line="268"/>
      </w:pPr>
      <w:r>
        <w:rPr>
          <w:rFonts w:ascii="Calibri" w:cs="Calibri" w:eastAsia="Calibri" w:hAnsi="Calibri"/>
          <w:sz w:val="21"/>
          <w:szCs w:val="21"/>
        </w:rPr>
        <w:t xml:space="preserve">condiciones especiales de ejecución de contenido tecnológico-evolutivo (actualización de versiones, anti-obsolescencia, evolución tecnológica comprometida);</w:t>
      </w:r>
    </w:p>
    <w:p>
      <w:pPr>
        <w:pStyle w:val="ListParagraph"/>
        <w:numPr>
          <w:ilvl w:val="0"/>
          <w:numId w:val="1"/>
        </w:numPr>
        <w:spacing w:after="70" w:line="268"/>
      </w:pPr>
      <w:r>
        <w:rPr>
          <w:rFonts w:ascii="Calibri" w:cs="Calibri" w:eastAsia="Calibri" w:hAnsi="Calibri"/>
          <w:sz w:val="21"/>
          <w:szCs w:val="21"/>
        </w:rPr>
        <w:t xml:space="preserve">interfaces de acceso programático para agentes de inteligencia artificial, ni sobre el protocolo concreto que hoy es referencia de mercado en esa materia;</w:t>
      </w:r>
    </w:p>
    <w:p>
      <w:pPr>
        <w:pStyle w:val="ListParagraph"/>
        <w:numPr>
          <w:ilvl w:val="0"/>
          <w:numId w:val="1"/>
        </w:numPr>
        <w:spacing w:after="70" w:line="268"/>
      </w:pPr>
      <w:r>
        <w:rPr>
          <w:rFonts w:ascii="Calibri" w:cs="Calibri" w:eastAsia="Calibri" w:hAnsi="Calibri"/>
          <w:sz w:val="21"/>
          <w:szCs w:val="21"/>
        </w:rPr>
        <w:t xml:space="preserve">normas de sistemas de gestión de inteligencia artificial empleadas como criterio de adjudicación;</w:t>
      </w:r>
    </w:p>
    <w:p>
      <w:pPr>
        <w:pStyle w:val="ListParagraph"/>
        <w:numPr>
          <w:ilvl w:val="0"/>
          <w:numId w:val="1"/>
        </w:numPr>
        <w:spacing w:after="70" w:line="268"/>
      </w:pPr>
      <w:r>
        <w:rPr>
          <w:rFonts w:ascii="Calibri" w:cs="Calibri" w:eastAsia="Calibri" w:hAnsi="Calibri"/>
          <w:sz w:val="21"/>
          <w:szCs w:val="21"/>
        </w:rPr>
        <w:t xml:space="preserve">demostraciones funcionales de software en el seno de un procedimiento de licitación;</w:t>
      </w:r>
    </w:p>
    <w:p>
      <w:pPr>
        <w:pStyle w:val="ListParagraph"/>
        <w:numPr>
          <w:ilvl w:val="0"/>
          <w:numId w:val="1"/>
        </w:numPr>
        <w:spacing w:after="70" w:line="268"/>
      </w:pPr>
      <w:r>
        <w:rPr>
          <w:rFonts w:ascii="Calibri" w:cs="Calibri" w:eastAsia="Calibri" w:hAnsi="Calibri"/>
          <w:sz w:val="21"/>
          <w:szCs w:val="21"/>
        </w:rPr>
        <w:t xml:space="preserve">depósito de código fuente ante tercero como condición contractual;</w:t>
      </w:r>
    </w:p>
    <w:p>
      <w:pPr>
        <w:pStyle w:val="ListParagraph"/>
        <w:numPr>
          <w:ilvl w:val="0"/>
          <w:numId w:val="1"/>
        </w:numPr>
        <w:spacing w:after="70" w:line="268"/>
      </w:pPr>
      <w:r>
        <w:rPr>
          <w:rFonts w:ascii="Calibri" w:cs="Calibri" w:eastAsia="Calibri" w:hAnsi="Calibri"/>
          <w:sz w:val="21"/>
          <w:szCs w:val="21"/>
        </w:rPr>
        <w:t xml:space="preserve">infraestructuras de servicios de confianza nominadas en pliegos.</w:t>
      </w:r>
    </w:p>
    <w:p>
      <w:pPr>
        <w:spacing w:after="140" w:line="276"/>
      </w:pPr>
      <w:r>
        <w:rPr>
          <w:rFonts w:ascii="Calibri" w:cs="Calibri" w:eastAsia="Calibri" w:hAnsi="Calibri"/>
          <w:b/>
          <w:bCs/>
          <w:sz w:val="21"/>
          <w:szCs w:val="21"/>
        </w:rPr>
        <w:t xml:space="preserve">Cautela sobre esta afirmación.</w:t>
      </w:r>
      <w:r>
        <w:rPr>
          <w:rFonts w:ascii="Calibri" w:cs="Calibri" w:eastAsia="Calibri" w:hAnsi="Calibri"/>
          <w:sz w:val="21"/>
          <w:szCs w:val="21"/>
        </w:rPr>
        <w:t xml:space="preserve"> Es una afirmación negativa y no es demostrable de forma exhaustiva. Lo que se afirma es lo que se ha hecho: la búsqueda descrita, con la fecha indicada, sin resultados. No se afirma que la doctrina no exista en ningún repositorio.</w:t>
      </w:r>
    </w:p>
    <w:p>
      <w:pPr>
        <w:pStyle w:val="Heading3"/>
        <w:keepNext/>
        <w:spacing w:after="140" w:before="320"/>
      </w:pPr>
      <w:r>
        <w:rPr>
          <w:rFonts w:ascii="Georgia" w:cs="Georgia" w:eastAsia="Georgia" w:hAnsi="Georgia"/>
          <w:b/>
          <w:bCs/>
          <w:color w:val="2F5496"/>
          <w:sz w:val="22"/>
          <w:szCs w:val="22"/>
        </w:rPr>
        <w:t xml:space="preserve">M8.2 · Lo que sí se cita, y con qué valor</w:t>
      </w:r>
    </w:p>
    <w:p>
      <w:pPr>
        <w:spacing w:after="140" w:line="276"/>
      </w:pPr>
      <w:r>
        <w:rPr>
          <w:rFonts w:ascii="Calibri" w:cs="Calibri" w:eastAsia="Calibri" w:hAnsi="Calibri"/>
          <w:sz w:val="21"/>
          <w:szCs w:val="21"/>
        </w:rPr>
        <w:t xml:space="preserve">Esta tabla recoge </w:t>
      </w:r>
      <w:r>
        <w:rPr>
          <w:rFonts w:ascii="Calibri" w:cs="Calibri" w:eastAsia="Calibri" w:hAnsi="Calibri"/>
          <w:b/>
          <w:bCs/>
          <w:sz w:val="21"/>
          <w:szCs w:val="21"/>
        </w:rPr>
        <w:t xml:space="preserve">todas</w:t>
      </w:r>
      <w:r>
        <w:rPr>
          <w:rFonts w:ascii="Calibri" w:cs="Calibri" w:eastAsia="Calibri" w:hAnsi="Calibri"/>
          <w:sz w:val="21"/>
          <w:szCs w:val="21"/>
        </w:rPr>
        <w:t xml:space="preserve"> las resoluciones, acuerdos, informes y sentencias citados en el catálogo, con el valor que se atribuye a cada uno. Salvo la Resolución 383/2024 del TACP de Madrid —precedente directo, del tribunal competente y sobre el supuesto exacto de DT-6·v3—, </w:t>
      </w:r>
      <w:r>
        <w:rPr>
          <w:rFonts w:ascii="Calibri" w:cs="Calibri" w:eastAsia="Calibri" w:hAnsi="Calibri"/>
          <w:b/>
          <w:bCs/>
          <w:sz w:val="21"/>
          <w:szCs w:val="21"/>
        </w:rPr>
        <w:t xml:space="preserve">todos se citan como doctrina general trasladada por analogía</w:t>
      </w:r>
      <w:r>
        <w:rPr>
          <w:rFonts w:ascii="Calibri" w:cs="Calibri" w:eastAsia="Calibri" w:hAnsi="Calibri"/>
          <w:sz w:val="21"/>
          <w:szCs w:val="21"/>
        </w:rPr>
        <w:t xml:space="preserve">, y así se dice en cada cita. Ninguno versa sobre cláusulas de inteligencia artificial. El catálogo no se ampara en precedente favorable, porque no lo hay; y tampoco tiene precedente contrario que temer. Cuando una cita se toma de la reproducción hecha por otra resolución, se dice; y cuando una resolución es desestimatoria, se dice también, porque una desestimatoria no avala nada: sólo deja las cosas como estaban.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Resolución, acuerdo, informe o sentencia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aporta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383/2024</w:t>
            </w:r>
            <w:r>
              <w:rPr>
                <w:rFonts w:ascii="Calibri" w:cs="Calibri" w:eastAsia="Calibri" w:hAnsi="Calibri"/>
                <w:b w:val="false"/>
                <w:bCs w:val="false"/>
                <w:sz w:val="18"/>
                <w:szCs w:val="18"/>
              </w:rPr>
              <w:t xml:space="preserve">, de 03/10/2024, expte. y rec. 383/2024 (TEVA c. pliegos del Ayto. de Parla;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 la anulación de los pliegos consta en el FD Quinto)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justificación de una exigencia técnica debe estar en la memoria justificativa del expediente, sin que sea admisible la justificación en sede de recurso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Precedente directo</w:t>
            </w:r>
            <w:r>
              <w:rPr>
                <w:rFonts w:ascii="Calibri" w:cs="Calibri" w:eastAsia="Calibri" w:hAnsi="Calibri"/>
                <w:b w:val="false"/>
                <w:bCs w:val="false"/>
                <w:sz w:val="18"/>
                <w:szCs w:val="18"/>
              </w:rPr>
              <w:t xml:space="preserve">: mismo tribunal competente, mismo supuesto (exigencia de conformidad ENS de nivel alto), mismo tipo de entidad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535/2025</w:t>
            </w:r>
            <w:r>
              <w:rPr>
                <w:rFonts w:ascii="Calibri" w:cs="Calibri" w:eastAsia="Calibri" w:hAnsi="Calibri"/>
                <w:b w:val="false"/>
                <w:bCs w:val="false"/>
                <w:sz w:val="18"/>
                <w:szCs w:val="18"/>
              </w:rPr>
              <w:t xml:space="preserve">, de 18/12/2025, rec. 526/2025 (SOPRA STERIA c. Agencia de Ciberseguridad de la Comunidad de Madrid;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por discrecionalidad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carga de acreditar la equivalencia recae sobre el licitador y que su apreciación corresponde al órgano de contratación. La definición de equivalencia en tres condiciones acumulativas que reproduce procede del pliego de un sistema dinámico de adquisición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un pliego autonómico, aplicada y no impugnada. </w:t>
            </w:r>
            <w:r>
              <w:rPr>
                <w:rFonts w:ascii="Calibri" w:cs="Calibri" w:eastAsia="Calibri" w:hAnsi="Calibri"/>
                <w:b/>
                <w:bCs/>
                <w:sz w:val="18"/>
                <w:szCs w:val="18"/>
              </w:rPr>
              <w:t xml:space="preserve">No es convalidación de nuestra redacción</w:t>
            </w:r>
            <w:r>
              <w:rPr>
                <w:rFonts w:ascii="Calibri" w:cs="Calibri" w:eastAsia="Calibri" w:hAnsi="Calibri"/>
                <w:b w:val="false"/>
                <w:bCs w:val="false"/>
                <w:sz w:val="18"/>
                <w:szCs w:val="18"/>
              </w:rPr>
              <w:t xml:space="preserve">, y no puede citarse como 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007/2024</w:t>
            </w:r>
            <w:r>
              <w:rPr>
                <w:rFonts w:ascii="Calibri" w:cs="Calibri" w:eastAsia="Calibri" w:hAnsi="Calibri"/>
                <w:b w:val="false"/>
                <w:bCs w:val="false"/>
                <w:sz w:val="18"/>
                <w:szCs w:val="18"/>
              </w:rPr>
              <w:t xml:space="preserve">, de 11/01/2024, expte. 451/2023 (CIVAGEN, S.A. c. pliegos del Hospital Universitario Severo Ochoa;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Enlace: &lt;https://www.comunidad.madrid/tacp/sites/default/files/expte_451-2023_resolucion_web.pdf&gt;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mayor o menor apertura de los contratos públicos a la competencia no supone, en todo caso, una infracción de los principios de libre concurrencia y de igualdad de trato cuando la supuesta menor apertura encuentra su fundamento en las necesidades o fines a satisfacer […] y dichas necesidades están además debidamente justificadas en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proposición no es del TACP de Madrid, que la transcribe de su propia Resolución 091/2023, de 2 de marzo, la cual a su vez la toma del Tribunal Administrativo de Contratos Públicos de Canarias, Res. 128/2020. Doctrina general por analogía. Es el reverso exacto de 383/2024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92/2024</w:t>
            </w:r>
            <w:r>
              <w:rPr>
                <w:rFonts w:ascii="Calibri" w:cs="Calibri" w:eastAsia="Calibri" w:hAnsi="Calibri"/>
                <w:b w:val="false"/>
                <w:bCs w:val="false"/>
                <w:sz w:val="18"/>
                <w:szCs w:val="18"/>
              </w:rPr>
              <w:t xml:space="preserve">, de 07/03/2024, rec. 70/2024 (PALEX MEDICAL c. pliegos del Hospital Universitario de Fuenlabrada;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estándar de prueba de la restricción de la concurrencia recae sobre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El propio Tribunal atribuye el criterio a resoluciones anteriores suyas («valga por todas la 273/2017»). Exime de probar lo imposible, no de motivar lo exigido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115/2025</w:t>
            </w:r>
            <w:r>
              <w:rPr>
                <w:rFonts w:ascii="Calibri" w:cs="Calibri" w:eastAsia="Calibri" w:hAnsi="Calibri"/>
                <w:b w:val="false"/>
                <w:bCs w:val="false"/>
                <w:sz w:val="18"/>
                <w:szCs w:val="18"/>
              </w:rPr>
              <w:t xml:space="preserve">, de 20/03/2025, rec. 080/2025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recordatorio, tomado de la STS 813/2017, de que la discrecionalidad técnica «no ampara cualquier decisión que pretenda fundarse en ella»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contiene pronunciamiento que valide la prueba de un producto por el personal que va a utilizarlo</w:t>
            </w:r>
            <w:r>
              <w:rPr>
                <w:rFonts w:ascii="Calibri" w:cs="Calibri" w:eastAsia="Calibri" w:hAnsi="Calibri"/>
                <w:b w:val="false"/>
                <w:bCs w:val="false"/>
                <w:sz w:val="18"/>
                <w:szCs w:val="18"/>
              </w:rPr>
              <w:t xml:space="preserve">: esa consideración figura en las alegaciones del órgano de contratación, no en el razonamiento del Tribunal, que resuelve por discrecionalidad técnica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1111/2022 (Pleno)</w:t>
            </w:r>
            <w:r>
              <w:rPr>
                <w:rFonts w:ascii="Calibri" w:cs="Calibri" w:eastAsia="Calibri" w:hAnsi="Calibri"/>
                <w:b w:val="false"/>
                <w:bCs w:val="false"/>
                <w:sz w:val="18"/>
                <w:szCs w:val="18"/>
              </w:rPr>
              <w:t xml:space="preserve">, de 27/09/2022, rec. 842/2022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Compatibilidad de penalidad, resolución potestativa e indemnización; y estándar de precisión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Las condiciones impugnadas eran de contenido </w:t>
            </w:r>
            <w:r>
              <w:rPr>
                <w:rFonts w:ascii="Calibri" w:cs="Calibri" w:eastAsia="Calibri" w:hAnsi="Calibri"/>
                <w:b/>
                <w:bCs/>
                <w:sz w:val="18"/>
                <w:szCs w:val="18"/>
              </w:rPr>
              <w:t xml:space="preserve">no tecnológico</w:t>
            </w:r>
            <w:r>
              <w:rPr>
                <w:rFonts w:ascii="Calibri" w:cs="Calibri" w:eastAsia="Calibri" w:hAnsi="Calibri"/>
                <w:b w:val="false"/>
                <w:bCs w:val="false"/>
                <w:sz w:val="18"/>
                <w:szCs w:val="18"/>
              </w:rPr>
              <w:t xml:space="preserve"> (prohibición de contratar e integridad en la ejecución)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1113/2022</w:t>
            </w:r>
            <w:r>
              <w:rPr>
                <w:rFonts w:ascii="Calibri" w:cs="Calibri" w:eastAsia="Calibri" w:hAnsi="Calibri"/>
                <w:b w:val="false"/>
                <w:bCs w:val="false"/>
                <w:sz w:val="18"/>
                <w:szCs w:val="18"/>
              </w:rPr>
              <w:t xml:space="preserve">, de 27/09/2022, rec. 998/2022 (ADIF Alta Velocidad)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obligaciones genéricas o imprecisas no pueden ser obligaciones contractuales, y menos aún esenciales con efecto resolutorio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es una reclamación en sectores excluidos resuelta bajo el Real Decreto-ley 3/2020</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1287/2022</w:t>
            </w:r>
            <w:r>
              <w:rPr>
                <w:rFonts w:ascii="Calibri" w:cs="Calibri" w:eastAsia="Calibri" w:hAnsi="Calibri"/>
                <w:b w:val="false"/>
                <w:bCs w:val="false"/>
                <w:sz w:val="18"/>
                <w:szCs w:val="18"/>
              </w:rPr>
              <w:t xml:space="preserve">, de 20/10/2022, rec. 846/2022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concreción de una CEE conduce por sí sola a su anulación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1071/2018</w:t>
            </w:r>
            <w:r>
              <w:rPr>
                <w:rFonts w:ascii="Calibri" w:cs="Calibri" w:eastAsia="Calibri" w:hAnsi="Calibri"/>
                <w:b w:val="false"/>
                <w:bCs w:val="false"/>
                <w:sz w:val="18"/>
                <w:szCs w:val="18"/>
              </w:rPr>
              <w:t xml:space="preserve">, de 23/11/2018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«demasiado amplia y genérica» equivale a no haber establecido condición alguna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tomada de su reproducción literal en la Res. 1111/2022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1727/2021</w:t>
            </w:r>
            <w:r>
              <w:rPr>
                <w:rFonts w:ascii="Calibri" w:cs="Calibri" w:eastAsia="Calibri" w:hAnsi="Calibri"/>
                <w:b w:val="false"/>
                <w:bCs w:val="false"/>
                <w:sz w:val="18"/>
                <w:szCs w:val="18"/>
              </w:rPr>
              <w:t xml:space="preserve">, de 02/12/2021, rec. 1372/2021 (Ayto. de Cofrentes)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certificados referidos a la actividad global de la empresa no son aptos como criterios de adjudicación; el Tribunal declara la nulidad del pliego en ese punto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Sostiene la primera de las tres separaciones de instrumentos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786/2019</w:t>
            </w:r>
            <w:r>
              <w:rPr>
                <w:rFonts w:ascii="Calibri" w:cs="Calibri" w:eastAsia="Calibri" w:hAnsi="Calibri"/>
                <w:b w:val="false"/>
                <w:bCs w:val="false"/>
                <w:sz w:val="18"/>
                <w:szCs w:val="18"/>
              </w:rPr>
              <w:t xml:space="preserve">, de 11/07/2019, rec. 557/2019 (Ayto. de Sagunto)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la cláusula del PCAP que puntuaba disponer de certificaciones de sistemas de gestión y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en este catálogo ninguna certificación se puntúe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549/2020</w:t>
            </w:r>
            <w:r>
              <w:rPr>
                <w:rFonts w:ascii="Calibri" w:cs="Calibri" w:eastAsia="Calibri" w:hAnsi="Calibri"/>
                <w:b w:val="false"/>
                <w:bCs w:val="false"/>
                <w:sz w:val="18"/>
                <w:szCs w:val="18"/>
              </w:rPr>
              <w:t xml:space="preserve">, de 17/04/2020, rec. 323/2020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motivación del vínculo entre un criterio y el objeto del contrato produce por sí sola su invalidez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823/2019</w:t>
            </w:r>
            <w:r>
              <w:rPr>
                <w:rFonts w:ascii="Calibri" w:cs="Calibri" w:eastAsia="Calibri" w:hAnsi="Calibri"/>
                <w:b w:val="false"/>
                <w:bCs w:val="false"/>
                <w:sz w:val="18"/>
                <w:szCs w:val="18"/>
              </w:rPr>
              <w:t xml:space="preserve">, de 11/07/2019, recs. 565 y 568/2019 (COAC y CSCAE c. pliegos de AENA;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cesión de derechos de propiedad intelectual es cláusula habitual y, en los contratos de servicios cuyo objeto es un producto protegido, obligada salvo pacto expreso en contrario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se dicta bajo la Ley 31/2007 (LCSE), no bajo la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62/2023</w:t>
            </w:r>
            <w:r>
              <w:rPr>
                <w:rFonts w:ascii="Calibri" w:cs="Calibri" w:eastAsia="Calibri" w:hAnsi="Calibri"/>
                <w:b w:val="false"/>
                <w:bCs w:val="false"/>
                <w:sz w:val="18"/>
                <w:szCs w:val="18"/>
              </w:rPr>
              <w:t xml:space="preserve">, de 02/02/2023, rec. 1634/2022 C (Servei de Salut de les Illes Balears;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Único pronunciamiento localizado sobre demostraciones de producto: el vicio está en no especificar en los pliegos los motivos de su exigencia ni los efectos de la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Se cita con la limitación expresa</w:t>
            </w:r>
            <w:r>
              <w:rPr>
                <w:rFonts w:ascii="Calibri" w:cs="Calibri" w:eastAsia="Calibri" w:hAnsi="Calibri"/>
                <w:b w:val="false"/>
                <w:bCs w:val="false"/>
                <w:sz w:val="18"/>
                <w:szCs w:val="18"/>
              </w:rPr>
              <w:t xml:space="preserve"> de que no se localizó el PDF oficial y sólo se dispone de reproducción secundaria (§M8.3)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160/2018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se salva cuando el pliego, además del alcance, dice </w:t>
            </w:r>
            <w:r>
              <w:rPr>
                <w:rFonts w:ascii="Calibri" w:cs="Calibri" w:eastAsia="Calibri" w:hAnsi="Calibri"/>
                <w:b/>
                <w:bCs/>
                <w:sz w:val="18"/>
                <w:szCs w:val="18"/>
              </w:rPr>
              <w:t xml:space="preserve">cómo se acredita</w:t>
            </w:r>
            <w:r>
              <w:rPr>
                <w:rFonts w:ascii="Calibri" w:cs="Calibri" w:eastAsia="Calibri" w:hAnsi="Calibri"/>
                <w:b w:val="false"/>
                <w:bCs w:val="false"/>
                <w:sz w:val="18"/>
                <w:szCs w:val="18"/>
              </w:rPr>
              <w:t xml:space="preserve"> su 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Versa sobre una CEE de contenido medioambiental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181/2018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 a todos los licitadores un desembolso material costoso no es medida proporcionada cuando existen medidas menos gravosas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Conocida únicamente a través del compendio oficial de doctrina 2018-2023 del propio órgano</w:t>
            </w:r>
            <w:r>
              <w:rPr>
                <w:rFonts w:ascii="Calibri" w:cs="Calibri" w:eastAsia="Calibri" w:hAnsi="Calibri"/>
                <w:b w:val="false"/>
                <w:bCs w:val="false"/>
                <w:sz w:val="18"/>
                <w:szCs w:val="18"/>
              </w:rPr>
              <w:t xml:space="preserve">: no consta el número de recurso ni la fecha, y se cita con esa limitación expresa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069/2023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muestra en una demostración forma parte de la oferta y no es subsanable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Igual limitación de fuente que la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TACPA, Acuerdo 76/2015</w:t>
            </w:r>
            <w:r>
              <w:rPr>
                <w:rFonts w:ascii="Calibri" w:cs="Calibri" w:eastAsia="Calibri" w:hAnsi="Calibri"/>
                <w:b w:val="false"/>
                <w:bCs w:val="false"/>
                <w:sz w:val="18"/>
                <w:szCs w:val="18"/>
              </w:rPr>
              <w:t xml:space="preserve">, de 20/07/2015, FD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por ilegal la cláusula que hace al contratista asumir sin retribución adicional el impacto económico de una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la evolución exigible esté determinada y fechada antes de licitar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 de Asesoramiento y Normalización de los Procedimientos de Contratación de la Junta de Comunidades de Castilla-La Mancha, consulta 019/2022</w:t>
            </w:r>
            <w:r>
              <w:rPr>
                <w:rFonts w:ascii="Calibri" w:cs="Calibri" w:eastAsia="Calibri" w:hAnsi="Calibri"/>
                <w:b w:val="false"/>
                <w:bCs w:val="false"/>
                <w:sz w:val="18"/>
                <w:szCs w:val="18"/>
              </w:rPr>
              <w:t xml:space="preserve"> (citada en otras fuentes como «JCCA Castilla-La Mancha»)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puede calificarse como esencial la CEE debidamente delimitada y configurada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 asesoramiento </w:t>
            </w:r>
            <w:r>
              <w:rPr>
                <w:rFonts w:ascii="Calibri" w:cs="Calibri" w:eastAsia="Calibri" w:hAnsi="Calibri"/>
                <w:b/>
                <w:bCs/>
                <w:sz w:val="18"/>
                <w:szCs w:val="18"/>
              </w:rPr>
              <w:t xml:space="preserve">no vinculante por declaración propia</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consulta entrecomilla la frase como cita de una resolución del TACRC que no identifica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Informes 1/2020 y 12/2021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Concepto de CEE y límites de la libertad para calificar obligaciones como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citan </w:t>
            </w:r>
            <w:r>
              <w:rPr>
                <w:rFonts w:ascii="Calibri" w:cs="Calibri" w:eastAsia="Calibri" w:hAnsi="Calibri"/>
                <w:b/>
                <w:bCs/>
                <w:sz w:val="18"/>
                <w:szCs w:val="18"/>
              </w:rPr>
              <w:t xml:space="preserve">según su reproducción literal</w:t>
            </w:r>
            <w:r>
              <w:rPr>
                <w:rFonts w:ascii="Calibri" w:cs="Calibri" w:eastAsia="Calibri" w:hAnsi="Calibri"/>
                <w:b w:val="false"/>
                <w:bCs w:val="false"/>
                <w:sz w:val="18"/>
                <w:szCs w:val="18"/>
              </w:rPr>
              <w:t xml:space="preserve"> en las resoluciones del TACRC anteriores, y así debe decirse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expediente 58/18</w:t>
            </w:r>
            <w:r>
              <w:rPr>
                <w:rFonts w:ascii="Calibri" w:cs="Calibri" w:eastAsia="Calibri" w:hAnsi="Calibri"/>
                <w:b w:val="false"/>
                <w:bCs w:val="false"/>
                <w:sz w:val="18"/>
                <w:szCs w:val="18"/>
              </w:rPr>
              <w:t xml:space="preserve"> (interpretación del art. 9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adquisición de programas de ordenador es contrato de suministro, salvo programas confeccionados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consultivo, por analogía. Delimita el ámbito de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16/01/2025, C-424/23, </w:t>
            </w:r>
            <w:r>
              <w:rPr>
                <w:rFonts w:ascii="Calibri" w:cs="Calibri" w:eastAsia="Calibri" w:hAnsi="Calibri"/>
                <w:b w:val="false"/>
                <w:bCs w:val="false"/>
                <w:sz w:val="18"/>
                <w:szCs w:val="18"/>
              </w:rPr>
              <w:t xml:space="preserve">DYKA Plastics</w:t>
            </w:r>
            <w:r>
              <w:rPr>
                <w:rFonts w:ascii="Calibri" w:cs="Calibri" w:eastAsia="Calibri" w:hAnsi="Calibri"/>
                <w:b w:val="false"/>
                <w:bCs w:val="false"/>
                <w:i/>
                <w:iCs/>
                <w:sz w:val="18"/>
                <w:szCs w:val="18"/>
              </w:rPr>
              <w:t xml:space="preserve">, ap. 61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Fuera de los casos en que el material resulta inevitablemente del objeto, no cabe exigir un material determinado sin la mención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Interpretación del Tribunal de Justicia, invocada en la Parte I §7.2 y en DT-0·v3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STJUE 12/07/2018, C-14/17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poder adjudicador debe exigir que la prueba de la equivalencia se aporte </w:t>
            </w:r>
            <w:r>
              <w:rPr>
                <w:rFonts w:ascii="Calibri" w:cs="Calibri" w:eastAsia="Calibri" w:hAnsi="Calibri"/>
                <w:b/>
                <w:bCs/>
                <w:sz w:val="18"/>
                <w:szCs w:val="18"/>
              </w:rPr>
              <w:t xml:space="preserve">ya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 el art. 34.8 de la Directiva 2004/17, hoy derogada, y se emplea aquí para fundar una obligación del art. 126.6 LCSP: la traslación es también de régimen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24/01/2008, C-532/06, </w:t>
            </w:r>
            <w:r>
              <w:rPr>
                <w:rFonts w:ascii="Calibri" w:cs="Calibri" w:eastAsia="Calibri" w:hAnsi="Calibri"/>
                <w:b w:val="false"/>
                <w:bCs w:val="false"/>
                <w:sz w:val="18"/>
                <w:szCs w:val="18"/>
              </w:rPr>
              <w:t xml:space="preserve">Lianakis</w:t>
            </w:r>
            <w:r>
              <w:rPr>
                <w:rFonts w:ascii="Calibri" w:cs="Calibri" w:eastAsia="Calibri" w:hAnsi="Calibri"/>
                <w:b w:val="false"/>
                <w:bCs w:val="false"/>
                <w:i/>
                <w:iCs/>
                <w:sz w:val="18"/>
                <w:szCs w:val="18"/>
              </w:rPr>
              <w:t xml:space="preserve">, aps. 30-31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que versan sobre la aptitud del licitador no son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fallo formal versa sobre la fijación </w:t>
            </w:r>
            <w:r>
              <w:rPr>
                <w:rFonts w:ascii="Calibri" w:cs="Calibri" w:eastAsia="Calibri" w:hAnsi="Calibri"/>
                <w:b w:val="false"/>
                <w:bCs w:val="false"/>
                <w:i/>
                <w:iCs/>
                <w:sz w:val="18"/>
                <w:szCs w:val="18"/>
              </w:rPr>
              <w:t xml:space="preserve">a posteriori</w:t>
            </w:r>
            <w:r>
              <w:rPr>
                <w:rFonts w:ascii="Calibri" w:cs="Calibri" w:eastAsia="Calibri" w:hAnsi="Calibri"/>
                <w:b w:val="false"/>
                <w:bCs w:val="false"/>
                <w:sz w:val="18"/>
                <w:szCs w:val="18"/>
              </w:rPr>
              <w:t xml:space="preserve"> de subcriterios: lo que se traslada es la </w:t>
            </w:r>
            <w:r>
              <w:rPr>
                <w:rFonts w:ascii="Calibri" w:cs="Calibri" w:eastAsia="Calibri" w:hAnsi="Calibri"/>
                <w:b w:val="false"/>
                <w:bCs w:val="false"/>
                <w:i/>
                <w:iCs/>
                <w:sz w:val="18"/>
                <w:szCs w:val="18"/>
              </w:rPr>
              <w:t xml:space="preserve">ratio</w:t>
            </w:r>
            <w:r>
              <w:rPr>
                <w:rFonts w:ascii="Calibri" w:cs="Calibri" w:eastAsia="Calibri" w:hAnsi="Calibri"/>
                <w:b w:val="false"/>
                <w:bCs w:val="false"/>
                <w:sz w:val="18"/>
                <w:szCs w:val="18"/>
              </w:rPr>
              <w:t xml:space="preserve"> de esos apartados, no el fallo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26/03/2015, C-601/13, </w:t>
            </w:r>
            <w:r>
              <w:rPr>
                <w:rFonts w:ascii="Calibri" w:cs="Calibri" w:eastAsia="Calibri" w:hAnsi="Calibri"/>
                <w:b w:val="false"/>
                <w:bCs w:val="false"/>
                <w:sz w:val="18"/>
                <w:szCs w:val="18"/>
              </w:rPr>
              <w:t xml:space="preserve">Ambisig***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cabe valorar el equipo concreto propuesto para ejecutar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Matización de </w:t>
            </w:r>
            <w:r>
              <w:rPr>
                <w:rFonts w:ascii="Calibri" w:cs="Calibri" w:eastAsia="Calibri" w:hAnsi="Calibri"/>
                <w:b w:val="false"/>
                <w:bCs w:val="false"/>
                <w:i/>
                <w:iCs/>
                <w:sz w:val="18"/>
                <w:szCs w:val="18"/>
              </w:rPr>
              <w:t xml:space="preserve">Lianakis</w:t>
            </w:r>
            <w:r>
              <w:rPr>
                <w:rFonts w:ascii="Calibri" w:cs="Calibri" w:eastAsia="Calibri" w:hAnsi="Calibri"/>
                <w:b w:val="false"/>
                <w:bCs w:val="false"/>
                <w:sz w:val="18"/>
                <w:szCs w:val="18"/>
              </w:rPr>
              <w:t xml:space="preserve">, y fundamento de que se valore el equipo y no la empresa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STC 68/2021</w:t>
            </w:r>
            <w:r>
              <w:rPr>
                <w:rFonts w:ascii="Calibri" w:cs="Calibri" w:eastAsia="Calibri" w:hAnsi="Calibri"/>
                <w:b w:val="false"/>
                <w:bCs w:val="false"/>
                <w:sz w:val="18"/>
                <w:szCs w:val="18"/>
              </w:rPr>
              <w:t xml:space="preserve">, de 18/03/2021, rec. de inconstitucionalidad 4261-2018 (BOE-A-2021-6614)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 inconstitucional y nulo el párrafo segundo del art. 46.4 LCSP —de modo que no existe regla estatal supletoria sobre el órgano competente para resolver el recurso especial—, declara no conformes con el orden constitucional de competencias determinados incisos del art. 52.3 e interpreta el art. 58.2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es doctrina por analogía, sino declaración de inconstitucionalidad directamente aplicable.</w:t>
            </w:r>
            <w:r>
              <w:rPr>
                <w:rFonts w:ascii="Calibri" w:cs="Calibri" w:eastAsia="Calibri" w:hAnsi="Calibri"/>
                <w:b w:val="false"/>
                <w:bCs w:val="false"/>
                <w:sz w:val="18"/>
                <w:szCs w:val="18"/>
              </w:rPr>
              <w:t xml:space="preserve"> Sostiene la cautela de reutilización de la Parte V, V.5.4: quien copie este documento debe identificar su propio órgano competente</w:t>
            </w:r>
          </w:p>
        </w:tc>
      </w:tr>
    </w:tbl>
    <w:p>
      <w:pPr>
        <w:spacing w:after="200"/>
      </w:pPr>
    </w:p>
    <w:p>
      <w:pPr>
        <w:spacing w:after="140" w:line="276"/>
      </w:pPr>
      <w:r>
        <w:rPr>
          <w:rFonts w:ascii="Calibri" w:cs="Calibri" w:eastAsia="Calibri" w:hAnsi="Calibri"/>
          <w:sz w:val="21"/>
          <w:szCs w:val="21"/>
        </w:rPr>
        <w:t xml:space="preserve">Las normas, guías y documentos institucionales citados en el catálogo no figuran en esta tabla: su régimen de cita y de incorporación al expediente es el del §M8.3.</w:t>
      </w:r>
    </w:p>
    <w:p>
      <w:pPr>
        <w:pStyle w:val="Heading3"/>
        <w:keepNext/>
        <w:spacing w:after="140" w:before="320"/>
      </w:pPr>
      <w:r>
        <w:rPr>
          <w:rFonts w:ascii="Georgia" w:cs="Georgia" w:eastAsia="Georgia" w:hAnsi="Georgia"/>
          <w:b/>
          <w:bCs/>
          <w:color w:val="2F5496"/>
          <w:sz w:val="22"/>
          <w:szCs w:val="22"/>
        </w:rPr>
        <w:t xml:space="preserve">M8.3 · Regla de expediente sobre las citas</w:t>
      </w:r>
    </w:p>
    <w:p>
      <w:pPr>
        <w:spacing w:after="140" w:line="276"/>
      </w:pPr>
      <w:r>
        <w:rPr>
          <w:rFonts w:ascii="Calibri" w:cs="Calibri" w:eastAsia="Calibri" w:hAnsi="Calibri"/>
          <w:b/>
          <w:bCs/>
          <w:sz w:val="21"/>
          <w:szCs w:val="21"/>
        </w:rPr>
        <w:t xml:space="preserve">De cada resolución, informe o guía citada en el catálogo se incorpora copia al expediente de aprobación.</w:t>
      </w:r>
      <w:r>
        <w:rPr>
          <w:rFonts w:ascii="Calibri" w:cs="Calibri" w:eastAsia="Calibri" w:hAnsi="Calibri"/>
          <w:sz w:val="21"/>
          <w:szCs w:val="21"/>
        </w:rPr>
        <w:t xml:space="preserve"> La que no tenga copia incorporada se retira del texto. La regla se aplica también, y con más razón, por tratarse de un documento que se publica en abierto: una sola cita que no resista la comprobación desacredita las demás.</w:t>
      </w:r>
    </w:p>
    <w:p>
      <w:pPr>
        <w:spacing w:after="140" w:line="276"/>
      </w:pPr>
      <w:r>
        <w:rPr>
          <w:rFonts w:ascii="Calibri" w:cs="Calibri" w:eastAsia="Calibri" w:hAnsi="Calibri"/>
          <w:sz w:val="21"/>
          <w:szCs w:val="21"/>
        </w:rPr>
        <w:t xml:space="preserve">Las citas literales se toman del texto consolidado publicado en el Boletín Oficial del Estado o del documento original de la resolución, no de reproducciones secundarias. Se ha comprobado que alguna cita de trabajo circulante difería del literal oficial.</w:t>
      </w:r>
    </w:p>
    <w:p>
      <w:pPr>
        <w:pStyle w:val="Heading3"/>
        <w:keepNext/>
        <w:spacing w:after="140" w:before="320"/>
      </w:pPr>
      <w:r>
        <w:rPr>
          <w:rFonts w:ascii="Georgia" w:cs="Georgia" w:eastAsia="Georgia" w:hAnsi="Georgia"/>
          <w:b/>
          <w:bCs/>
          <w:color w:val="2F5496"/>
          <w:sz w:val="22"/>
          <w:szCs w:val="22"/>
        </w:rPr>
        <w:t xml:space="preserve">M8.4 · Vigencia normativa</w:t>
      </w:r>
    </w:p>
    <w:p>
      <w:pPr>
        <w:spacing w:after="140" w:line="276"/>
      </w:pPr>
      <w:r>
        <w:rPr>
          <w:rFonts w:ascii="Calibri" w:cs="Calibri" w:eastAsia="Calibri" w:hAnsi="Calibri"/>
          <w:sz w:val="21"/>
          <w:szCs w:val="21"/>
        </w:rPr>
        <w:t xml:space="preserve">El calendario de aplicación del Reglamento (UE) 2024/1689 </w:t>
      </w:r>
      <w:r>
        <w:rPr>
          <w:rFonts w:ascii="Calibri" w:cs="Calibri" w:eastAsia="Calibri" w:hAnsi="Calibri"/>
          <w:b/>
          <w:bCs/>
          <w:sz w:val="21"/>
          <w:szCs w:val="21"/>
        </w:rPr>
        <w:t xml:space="preserve">ha cambiado</w:t>
      </w:r>
      <w:r>
        <w:rPr>
          <w:rFonts w:ascii="Calibri" w:cs="Calibri" w:eastAsia="Calibri" w:hAnsi="Calibri"/>
          <w:sz w:val="21"/>
          <w:szCs w:val="21"/>
        </w:rPr>
        <w:t xml:space="preserve">. El Reglamento (UE) 2026/1744 del Parlamento Europeo y del Consejo, de 8 de julio de 2026, por el que se modifican los Reglamentos (UE) 2024/1689, (UE) 2018/1139 y (UE) 2023/1230, publicado en el DOUE de 24 de julio de 2026, fija la fecha de aplicación del capítulo III, secciones 1, 2 y 3, </w:t>
      </w:r>
      <w:r>
        <w:rPr>
          <w:rFonts w:ascii="Calibri" w:cs="Calibri" w:eastAsia="Calibri" w:hAnsi="Calibri"/>
          <w:b/>
          <w:bCs/>
          <w:sz w:val="21"/>
          <w:szCs w:val="21"/>
        </w:rPr>
        <w:t xml:space="preserve">el 2 de diciembre de 2027</w:t>
      </w:r>
      <w:r>
        <w:rPr>
          <w:rFonts w:ascii="Calibri" w:cs="Calibri" w:eastAsia="Calibri" w:hAnsi="Calibri"/>
          <w:sz w:val="21"/>
          <w:szCs w:val="21"/>
        </w:rPr>
        <w:t xml:space="preserve"> para los sistemas de alto riesgo del art. 6.2 y anexo III, y </w:t>
      </w:r>
      <w:r>
        <w:rPr>
          <w:rFonts w:ascii="Calibri" w:cs="Calibri" w:eastAsia="Calibri" w:hAnsi="Calibri"/>
          <w:b/>
          <w:bCs/>
          <w:sz w:val="21"/>
          <w:szCs w:val="21"/>
        </w:rPr>
        <w:t xml:space="preserve">el 2 de agosto de 2028</w:t>
      </w:r>
      <w:r>
        <w:rPr>
          <w:rFonts w:ascii="Calibri" w:cs="Calibri" w:eastAsia="Calibri" w:hAnsi="Calibri"/>
          <w:sz w:val="21"/>
          <w:szCs w:val="21"/>
        </w:rPr>
        <w:t xml:space="preserve"> para los del art. 6.1 y anexo I.</w:t>
      </w:r>
    </w:p>
    <w:p>
      <w:pPr>
        <w:spacing w:after="140" w:line="276"/>
      </w:pPr>
      <w:r>
        <w:rPr>
          <w:rFonts w:ascii="Calibri" w:cs="Calibri" w:eastAsia="Calibri" w:hAnsi="Calibri"/>
          <w:sz w:val="21"/>
          <w:szCs w:val="21"/>
        </w:rPr>
        <w:t xml:space="preserve">Consecuencias que gobiernan todo el catálogo:</w:t>
      </w:r>
    </w:p>
    <w:p>
      <w:pPr>
        <w:pStyle w:val="ListParagraph"/>
        <w:numPr>
          <w:ilvl w:val="0"/>
          <w:numId w:val="1"/>
        </w:numPr>
        <w:spacing w:after="70" w:line="268"/>
      </w:pPr>
      <w:r>
        <w:rPr>
          <w:rFonts w:ascii="Calibri" w:cs="Calibri" w:eastAsia="Calibri" w:hAnsi="Calibri"/>
          <w:sz w:val="21"/>
          <w:szCs w:val="21"/>
        </w:rPr>
        <w:t xml:space="preserve">Las obligaciones del responsable del despliegue y la evaluación de impacto en derechos fundamentales están en la sección 3 del capítulo III: </w:t>
      </w:r>
      <w:r>
        <w:rPr>
          <w:rFonts w:ascii="Calibri" w:cs="Calibri" w:eastAsia="Calibri" w:hAnsi="Calibri"/>
          <w:b/>
          <w:bCs/>
          <w:sz w:val="21"/>
          <w:szCs w:val="21"/>
        </w:rPr>
        <w:t xml:space="preserve">a fecha de esta memoria no son exigibles</w:t>
      </w:r>
      <w:r>
        <w:rPr>
          <w:rFonts w:ascii="Calibri" w:cs="Calibri" w:eastAsia="Calibri" w:hAnsi="Calibri"/>
          <w:sz w:val="21"/>
          <w:szCs w:val="21"/>
        </w:rPr>
        <w:t xml:space="preserve">. No pueden figurar como «norma que impone la necesidad» sin decir desde cuándo.</w:t>
      </w:r>
    </w:p>
    <w:p>
      <w:pPr>
        <w:pStyle w:val="ListParagraph"/>
        <w:numPr>
          <w:ilvl w:val="0"/>
          <w:numId w:val="1"/>
        </w:numPr>
        <w:spacing w:after="70" w:line="268"/>
      </w:pPr>
      <w:r>
        <w:rPr>
          <w:rFonts w:ascii="Calibri" w:cs="Calibri" w:eastAsia="Calibri" w:hAnsi="Calibri"/>
          <w:sz w:val="21"/>
          <w:szCs w:val="21"/>
        </w:rPr>
        <w:t xml:space="preserve">Toda cita se hace como «Reglamento (UE) 2024/1689,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sin fechas en el articulado.</w:t>
      </w:r>
    </w:p>
    <w:p>
      <w:pPr>
        <w:pStyle w:val="ListParagraph"/>
        <w:numPr>
          <w:ilvl w:val="0"/>
          <w:numId w:val="1"/>
        </w:numPr>
        <w:spacing w:after="70" w:line="268"/>
      </w:pPr>
      <w:r>
        <w:rPr>
          <w:rFonts w:ascii="Calibri" w:cs="Calibri" w:eastAsia="Calibri" w:hAnsi="Calibri"/>
          <w:sz w:val="21"/>
          <w:szCs w:val="21"/>
        </w:rPr>
        <w:t xml:space="preserve">Los sistemas de alto riesgo ya introducidos en el mercado o puestos en servicio y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tienen regla propia en el art. 111.2 del Reglamento, con fecha de 2 de agosto de 2030. Es la fila que más afecta a un ayuntamiento y consta en el Anexo XI.</w:t>
      </w:r>
    </w:p>
    <w:p>
      <w:pPr>
        <w:pStyle w:val="ListParagraph"/>
        <w:numPr>
          <w:ilvl w:val="0"/>
          <w:numId w:val="1"/>
        </w:numPr>
        <w:spacing w:after="70" w:line="268"/>
      </w:pPr>
      <w:r>
        <w:rPr>
          <w:rFonts w:ascii="Calibri" w:cs="Calibri" w:eastAsia="Calibri" w:hAnsi="Calibri"/>
          <w:sz w:val="21"/>
          <w:szCs w:val="21"/>
        </w:rPr>
        <w:t xml:space="preserve">El Anexo XI separa en dos columnas lo que es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de lo que es </w:t>
      </w:r>
      <w:r>
        <w:rPr>
          <w:rFonts w:ascii="Calibri" w:cs="Calibri" w:eastAsia="Calibri" w:hAnsi="Calibri"/>
          <w:b/>
          <w:bCs/>
          <w:sz w:val="21"/>
          <w:szCs w:val="21"/>
        </w:rPr>
        <w:t xml:space="preserve">exigencia contractual anticipada voluntariamente por el Ayuntamiento</w:t>
      </w:r>
      <w:r>
        <w:rPr>
          <w:rFonts w:ascii="Calibri" w:cs="Calibri" w:eastAsia="Calibri" w:hAnsi="Calibri"/>
          <w:sz w:val="21"/>
          <w:szCs w:val="21"/>
        </w:rPr>
        <w:t xml:space="preserve">. Confundir ambas cosas es, además de un error, un problema de proporcionalidad: se estaría exigiendo como obligación legal vigente lo que la norma todavía no exige.</w:t>
      </w:r>
    </w:p>
    <w:p>
      <w:pPr>
        <w:pStyle w:val="ListParagraph"/>
        <w:numPr>
          <w:ilvl w:val="0"/>
          <w:numId w:val="1"/>
        </w:numPr>
        <w:spacing w:after="70" w:line="268"/>
      </w:pPr>
      <w:r>
        <w:rPr>
          <w:rFonts w:ascii="Calibri" w:cs="Calibri" w:eastAsia="Calibri" w:hAnsi="Calibri"/>
          <w:sz w:val="21"/>
          <w:szCs w:val="21"/>
        </w:rPr>
        <w:t xml:space="preserve">El clausulado de junio de 2026 y el resumen ejecutivo describen el calendario original y </w:t>
      </w:r>
      <w:r>
        <w:rPr>
          <w:rFonts w:ascii="Calibri" w:cs="Calibri" w:eastAsia="Calibri" w:hAnsi="Calibri"/>
          <w:b/>
          <w:bCs/>
          <w:sz w:val="21"/>
          <w:szCs w:val="21"/>
        </w:rPr>
        <w:t xml:space="preserve">quedan desactualizados en ese punto</w:t>
      </w:r>
      <w:r>
        <w:rPr>
          <w:rFonts w:ascii="Calibri" w:cs="Calibri" w:eastAsia="Calibri" w:hAnsi="Calibri"/>
          <w:sz w:val="21"/>
          <w:szCs w:val="21"/>
        </w:rPr>
        <w:t xml:space="preserve">. La tabla de correspondencias del Anexo XII lo hace constar.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M9 · Competencia, ventana procesal y carpeta de defensa</w:t>
      </w:r>
    </w:p>
    <w:p>
      <w:pPr>
        <w:spacing w:after="140" w:line="276"/>
      </w:pPr>
      <w:r>
        <w:rPr>
          <w:rFonts w:ascii="Calibri" w:cs="Calibri" w:eastAsia="Calibri" w:hAnsi="Calibri"/>
          <w:b/>
          <w:bCs/>
          <w:sz w:val="21"/>
          <w:szCs w:val="21"/>
        </w:rPr>
        <w:t xml:space="preserve">Quién resuelve.</w:t>
      </w:r>
      <w:r>
        <w:rPr>
          <w:rFonts w:ascii="Calibri" w:cs="Calibri" w:eastAsia="Calibri" w:hAnsi="Calibri"/>
          <w:sz w:val="21"/>
          <w:szCs w:val="21"/>
        </w:rPr>
        <w:t xml:space="preserve"> El recurso especial contra los pliegos de un ayuntamiento de la Comunidad de Madrid lo resuelve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(art. 3 de la Ley 9/2010, en la redacción dada por la Ley 5/2016, que le atribuye la competencia sobre las entidades locales del ámbito territorial de la Comunidad y sus entes vinculados o dependientes con la consideración de poder adjudicador), no el Tribunal Administrativo Central. Por eso la Resolución 383/2024 pesa, para este catálogo, más que cualquier doctrina estatal. </w:t>
      </w:r>
      <w:r>
        <w:rPr>
          <w:rFonts w:ascii="Calibri" w:cs="Calibri" w:eastAsia="Calibri" w:hAnsi="Calibri"/>
          <w:b/>
          <w:bCs/>
          <w:sz w:val="21"/>
          <w:szCs w:val="21"/>
        </w:rPr>
        <w:t xml:space="preserve">Cada administración que reutilice el documento debe sustituir esta referencia por la del tribunal competente en su territorio.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Son susceptibles de recurso especial los contratos de servicios y suministros con valor estimado superior a 100.000 € (art. 44.1.a LCSP), y </w:t>
      </w:r>
      <w:r>
        <w:rPr>
          <w:rFonts w:ascii="Calibri" w:cs="Calibri" w:eastAsia="Calibri" w:hAnsi="Calibri"/>
          <w:b/>
          <w:bCs/>
          <w:sz w:val="21"/>
          <w:szCs w:val="21"/>
        </w:rPr>
        <w:t xml:space="preserve">los pliegos son directamente recurribles</w:t>
      </w:r>
      <w:r>
        <w:rPr>
          <w:rFonts w:ascii="Calibri" w:cs="Calibri" w:eastAsia="Calibri" w:hAnsi="Calibri"/>
          <w:sz w:val="21"/>
          <w:szCs w:val="21"/>
        </w:rPr>
        <w:t xml:space="preserve"> (art. 44.2.a). El plazo es de quince días hábiles. Publicado el pliego y transcurrido ese plazo sin recurso, deviene firme: el recurso posterior contra la exclusión o la adjudicación no es cauce para impugnarlo, salvo supuestos de nulidad de pleno derecho.</w:t>
      </w:r>
    </w:p>
    <w:p>
      <w:pPr>
        <w:spacing w:after="140" w:line="276"/>
      </w:pPr>
      <w:r>
        <w:rPr>
          <w:rFonts w:ascii="Calibri" w:cs="Calibri" w:eastAsia="Calibri" w:hAnsi="Calibri"/>
          <w:b/>
          <w:bCs/>
          <w:sz w:val="21"/>
          <w:szCs w:val="21"/>
        </w:rPr>
        <w:t xml:space="preserve">Consecuencia operativa.</w:t>
      </w:r>
      <w:r>
        <w:rPr>
          <w:rFonts w:ascii="Calibri" w:cs="Calibri" w:eastAsia="Calibri" w:hAnsi="Calibri"/>
          <w:sz w:val="21"/>
          <w:szCs w:val="21"/>
        </w:rPr>
        <w:t xml:space="preserve"> La defensa de este catálogo se juega en las dos primeras semanas de cada licitación, y </w:t>
      </w:r>
      <w:r>
        <w:rPr>
          <w:rFonts w:ascii="Calibri" w:cs="Calibri" w:eastAsia="Calibri" w:hAnsi="Calibri"/>
          <w:b/>
          <w:bCs/>
          <w:sz w:val="21"/>
          <w:szCs w:val="21"/>
        </w:rPr>
        <w:t xml:space="preserve">con lo que en ese momento conste en el expediente</w:t>
      </w:r>
      <w:r>
        <w:rPr>
          <w:rFonts w:ascii="Calibri" w:cs="Calibri" w:eastAsia="Calibri" w:hAnsi="Calibri"/>
          <w:sz w:val="21"/>
          <w:szCs w:val="21"/>
        </w:rPr>
        <w:t xml:space="preserve">. No hay margen para completar. Por eso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se prepara antes de publicar el anuncio, no después del recurso, y contiene, ordenados: informe de necesidad; ficha de aplicabilidad firmada; determinación de la categoría ENS y análisis de riesgos; memoria de criterios y hoja de comprobación del baremo; cálculo del valor estimado con su método; informe de la consulta preliminar del mercado y contraste del Anexo V; acuerdo de aprobación del catálogo y del Anexo V del ejercicio, con fecha, versión y órgano; declaraciones de conflicto de interés; certificado de crédito, fiscalización previa e informe de estabilidad presupuestaria; y copia de cada resolución citada.</w:t>
      </w:r>
    </w:p>
    <w:p>
      <w:pPr>
        <w:spacing w:after="140" w:line="276"/>
      </w:pPr>
      <w:r>
        <w:rPr>
          <w:rFonts w:ascii="Calibri" w:cs="Calibri" w:eastAsia="Calibri" w:hAnsi="Calibri"/>
          <w:b/>
          <w:bCs/>
          <w:sz w:val="21"/>
          <w:szCs w:val="21"/>
        </w:rPr>
        <w:t xml:space="preserve">Comunicación a la autoridad de competencia.</w:t>
      </w:r>
      <w:r>
        <w:rPr>
          <w:rFonts w:ascii="Calibri" w:cs="Calibri" w:eastAsia="Calibri" w:hAnsi="Calibri"/>
          <w:sz w:val="21"/>
          <w:szCs w:val="21"/>
        </w:rPr>
        <w:t xml:space="preserve"> El art. 132.3 LCSP obliga a los órganos de contratación, a las juntas consultivas y a los órganos competentes para resolver el recurso especial a comunicar a la Comisión Nacional de los Mercados y la Competencia los hechos que puedan constituir infracción de la legislación de defensa de la competencia; el precepto se refiere en particular a los indicios de colusión entre licitadores. Se menciona aquí a un solo efecto: un pliego que preferencie una red o un producto puede acabar, además de anulado, comunicado.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M10 · Advertencias y recomendaciones</w:t>
      </w:r>
    </w:p>
    <w:p>
      <w:pPr>
        <w:pStyle w:val="Heading3"/>
        <w:keepNext/>
        <w:spacing w:after="140" w:before="320"/>
      </w:pPr>
      <w:r>
        <w:rPr>
          <w:rFonts w:ascii="Georgia" w:cs="Georgia" w:eastAsia="Georgia" w:hAnsi="Georgia"/>
          <w:b/>
          <w:bCs/>
          <w:color w:val="2F5496"/>
          <w:sz w:val="22"/>
          <w:szCs w:val="22"/>
        </w:rPr>
        <w:t xml:space="preserve">M10.1 · Para el órgano al que corresponda el informe jurídico preceptivo</w:t>
      </w:r>
    </w:p>
    <w:p>
      <w:pPr>
        <w:spacing w:after="140" w:line="276"/>
      </w:pPr>
      <w:r>
        <w:rPr>
          <w:rFonts w:ascii="Calibri" w:cs="Calibri" w:eastAsia="Calibri" w:hAnsi="Calibri"/>
          <w:sz w:val="21"/>
          <w:szCs w:val="21"/>
        </w:rPr>
        <w:t xml:space="preserve">En municipios de gran población, el informe jurídico de los expedientes de contratación corresponde al titular de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(DA 3.ª.8 LCSP en relación con la DA 8.ª LBRL); en el régimen común, a la </w:t>
      </w:r>
      <w:r>
        <w:rPr>
          <w:rFonts w:ascii="Calibri" w:cs="Calibri" w:eastAsia="Calibri" w:hAnsi="Calibri"/>
          <w:b/>
          <w:bCs/>
          <w:sz w:val="21"/>
          <w:szCs w:val="21"/>
        </w:rPr>
        <w:t xml:space="preserve">Secretaría</w:t>
      </w:r>
      <w:r>
        <w:rPr>
          <w:rFonts w:ascii="Calibri" w:cs="Calibri" w:eastAsia="Calibri" w:hAnsi="Calibri"/>
          <w:sz w:val="21"/>
          <w:szCs w:val="21"/>
        </w:rPr>
        <w:t xml:space="preserve">. Pozuelo de Alarcón se rige por el Título X de la Ley 7/1985 y le corresponde, por tanto, la Asesoría Jurídica. Toda administración que reutilice este documento debe verificar cuál es su caso: es el primer error que un lector hostil detecta.</w:t>
      </w:r>
    </w:p>
    <w:p>
      <w:pPr>
        <w:spacing w:after="140" w:line="276"/>
      </w:pPr>
      <w:r>
        <w:rPr>
          <w:rFonts w:ascii="Calibri" w:cs="Calibri" w:eastAsia="Calibri" w:hAnsi="Calibri"/>
          <w:sz w:val="21"/>
          <w:szCs w:val="21"/>
        </w:rPr>
        <w:t xml:space="preserve">Extremos a verificar antes de informar favorablemente un expediente que aplique el catálogo:</w:t>
      </w:r>
    </w:p>
    <w:p>
      <w:pPr>
        <w:pStyle w:val="ListParagraph"/>
        <w:numPr>
          <w:ilvl w:val="0"/>
          <w:numId w:val="2"/>
        </w:numPr>
        <w:spacing w:after="70" w:line="268"/>
      </w:pPr>
      <w:r>
        <w:rPr>
          <w:rFonts w:ascii="Calibri" w:cs="Calibri" w:eastAsia="Calibri" w:hAnsi="Calibri"/>
          <w:sz w:val="21"/>
          <w:szCs w:val="21"/>
        </w:rPr>
        <w:t xml:space="preserve">Que la memoria justificativa del expediente </w:t>
      </w:r>
      <w:r>
        <w:rPr>
          <w:rFonts w:ascii="Calibri" w:cs="Calibri" w:eastAsia="Calibri" w:hAnsi="Calibri"/>
          <w:b/>
          <w:bCs/>
          <w:sz w:val="21"/>
          <w:szCs w:val="21"/>
        </w:rPr>
        <w:t xml:space="preserve">contiene la justificación propia</w:t>
      </w:r>
      <w:r>
        <w:rPr>
          <w:rFonts w:ascii="Calibri" w:cs="Calibri" w:eastAsia="Calibri" w:hAnsi="Calibri"/>
          <w:sz w:val="21"/>
          <w:szCs w:val="21"/>
        </w:rPr>
        <w:t xml:space="preserve"> de cada exigencia incorporada, y no una remisión a este documento.</w:t>
      </w:r>
    </w:p>
    <w:p>
      <w:pPr>
        <w:pStyle w:val="ListParagraph"/>
        <w:numPr>
          <w:ilvl w:val="0"/>
          <w:numId w:val="2"/>
        </w:numPr>
        <w:spacing w:after="70" w:line="268"/>
      </w:pPr>
      <w:r>
        <w:rPr>
          <w:rFonts w:ascii="Calibri" w:cs="Calibri" w:eastAsia="Calibri" w:hAnsi="Calibri"/>
          <w:sz w:val="21"/>
          <w:szCs w:val="21"/>
        </w:rPr>
        <w:t xml:space="preserve">Que la ficha del Anexo II está firmada por la vía que corresponde al origen de la necesidad (§M1.3).</w:t>
      </w:r>
    </w:p>
    <w:p>
      <w:pPr>
        <w:pStyle w:val="ListParagraph"/>
        <w:numPr>
          <w:ilvl w:val="0"/>
          <w:numId w:val="2"/>
        </w:numPr>
        <w:spacing w:after="70" w:line="268"/>
      </w:pPr>
      <w:r>
        <w:rPr>
          <w:rFonts w:ascii="Calibri" w:cs="Calibri" w:eastAsia="Calibri" w:hAnsi="Calibri"/>
          <w:sz w:val="21"/>
          <w:szCs w:val="21"/>
        </w:rPr>
        <w:t xml:space="preserve">Que la categoría ENS consta determinada conforme al Anexo I del RD 311/2022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del pliego, y que la exigencia de certificación se ajusta al art. 38.1.</w:t>
      </w:r>
    </w:p>
    <w:p>
      <w:pPr>
        <w:pStyle w:val="ListParagraph"/>
        <w:numPr>
          <w:ilvl w:val="0"/>
          <w:numId w:val="2"/>
        </w:numPr>
        <w:spacing w:after="70" w:line="268"/>
      </w:pPr>
      <w:r>
        <w:rPr>
          <w:rFonts w:ascii="Calibri" w:cs="Calibri" w:eastAsia="Calibri" w:hAnsi="Calibri"/>
          <w:sz w:val="21"/>
          <w:szCs w:val="21"/>
        </w:rPr>
        <w:t xml:space="preserve">Que se ha aplicado la regla de separación de instrumentos en sus tres combinaciones prohibidas, en los términos de la Parte I, §7.3, y con la hoja de comprobación del Anexo IV.</w:t>
      </w:r>
    </w:p>
    <w:p>
      <w:pPr>
        <w:pStyle w:val="ListParagraph"/>
        <w:numPr>
          <w:ilvl w:val="0"/>
          <w:numId w:val="2"/>
        </w:numPr>
        <w:spacing w:after="70" w:line="268"/>
      </w:pPr>
      <w:r>
        <w:rPr>
          <w:rFonts w:ascii="Calibri" w:cs="Calibri" w:eastAsia="Calibri" w:hAnsi="Calibri"/>
          <w:sz w:val="21"/>
          <w:szCs w:val="21"/>
        </w:rPr>
        <w:t xml:space="preserve">Que la lista de obligaciones esenciales es cerrada, que el bloque </w:t>
      </w:r>
      <w:r>
        <w:rPr>
          <w:rFonts w:ascii="Calibri" w:cs="Calibri" w:eastAsia="Calibri" w:hAnsi="Calibri"/>
          <w:i/>
          <w:iCs/>
          <w:sz w:val="21"/>
          <w:szCs w:val="21"/>
        </w:rPr>
        <w:t xml:space="preserve">ex lege</w:t>
      </w:r>
      <w:r>
        <w:rPr>
          <w:rFonts w:ascii="Calibri" w:cs="Calibri" w:eastAsia="Calibri" w:hAnsi="Calibri"/>
          <w:sz w:val="21"/>
          <w:szCs w:val="21"/>
        </w:rPr>
        <w:t xml:space="preserve"> sólo se ha incluido si concurre su presupuesto y que la cláusula de cierre está redactada como «obligaciones incorporadas en virtud del catálogo [denominación y versión]».</w:t>
      </w:r>
    </w:p>
    <w:p>
      <w:pPr>
        <w:pStyle w:val="ListParagraph"/>
        <w:numPr>
          <w:ilvl w:val="0"/>
          <w:numId w:val="2"/>
        </w:numPr>
        <w:spacing w:after="70" w:line="268"/>
      </w:pPr>
      <w:r>
        <w:rPr>
          <w:rFonts w:ascii="Calibri" w:cs="Calibri" w:eastAsia="Calibri" w:hAnsi="Calibri"/>
          <w:sz w:val="21"/>
          <w:szCs w:val="21"/>
        </w:rPr>
        <w:t xml:space="preserve">Que el baremo del contrato </w:t>
      </w:r>
      <w:r>
        <w:rPr>
          <w:rFonts w:ascii="Calibri" w:cs="Calibri" w:eastAsia="Calibri" w:hAnsi="Calibri"/>
          <w:b/>
          <w:bCs/>
          <w:sz w:val="21"/>
          <w:szCs w:val="21"/>
        </w:rPr>
        <w:t xml:space="preserve">incluye el precio y los criterios funcionales de la prestación principal</w:t>
      </w:r>
      <w:r>
        <w:rPr>
          <w:rFonts w:ascii="Calibri" w:cs="Calibri" w:eastAsia="Calibri" w:hAnsi="Calibri"/>
          <w:sz w:val="21"/>
          <w:szCs w:val="21"/>
        </w:rPr>
        <w:t xml:space="preserve">, que el bloque tecnológico no absorbe el baremo, que la ponderación de los criterios de juicio de valor no supera la de los automáticos —y que, si la supera, el comité de expertos del art. 146.2.a) está identificado en el PCAP antes de licitar—, y que el procedimiento elegido admite esa proporción (arts. 159.1.b y 159.6).</w:t>
      </w:r>
    </w:p>
    <w:p>
      <w:pPr>
        <w:pStyle w:val="ListParagraph"/>
        <w:numPr>
          <w:ilvl w:val="0"/>
          <w:numId w:val="2"/>
        </w:numPr>
        <w:spacing w:after="70" w:line="268"/>
      </w:pPr>
      <w:r>
        <w:rPr>
          <w:rFonts w:ascii="Calibri" w:cs="Calibri" w:eastAsia="Calibri" w:hAnsi="Calibri"/>
          <w:sz w:val="21"/>
          <w:szCs w:val="21"/>
        </w:rPr>
        <w:t xml:space="preserve">Que el Anexo V del ejercicio está </w:t>
      </w:r>
      <w:r>
        <w:rPr>
          <w:rFonts w:ascii="Calibri" w:cs="Calibri" w:eastAsia="Calibri" w:hAnsi="Calibri"/>
          <w:b/>
          <w:bCs/>
          <w:sz w:val="21"/>
          <w:szCs w:val="21"/>
        </w:rPr>
        <w:t xml:space="preserve">transcrito físicamente en el PPT</w:t>
      </w:r>
      <w:r>
        <w:rPr>
          <w:rFonts w:ascii="Calibri" w:cs="Calibri" w:eastAsia="Calibri" w:hAnsi="Calibri"/>
          <w:sz w:val="21"/>
          <w:szCs w:val="21"/>
        </w:rPr>
        <w:t xml:space="preserve">, con número de versión, fecha y órgano aprobante, y no incorporado por remisión a un documento de contenido variable.</w:t>
      </w:r>
    </w:p>
    <w:p>
      <w:pPr>
        <w:pStyle w:val="ListParagraph"/>
        <w:numPr>
          <w:ilvl w:val="0"/>
          <w:numId w:val="2"/>
        </w:numPr>
        <w:spacing w:after="70" w:line="268"/>
      </w:pPr>
      <w:r>
        <w:rPr>
          <w:rFonts w:ascii="Calibri" w:cs="Calibri" w:eastAsia="Calibri" w:hAnsi="Calibri"/>
          <w:sz w:val="21"/>
          <w:szCs w:val="21"/>
        </w:rPr>
        <w:t xml:space="preserve">Que la cláusula de reversibilidad fija plazo de garantía cierto y respeta el art. 111 LCSP (§M5.4).</w:t>
      </w:r>
    </w:p>
    <w:p>
      <w:pPr>
        <w:pStyle w:val="ListParagraph"/>
        <w:numPr>
          <w:ilvl w:val="0"/>
          <w:numId w:val="2"/>
        </w:numPr>
        <w:spacing w:after="70" w:line="268"/>
      </w:pPr>
      <w:r>
        <w:rPr>
          <w:rFonts w:ascii="Calibri" w:cs="Calibri" w:eastAsia="Calibri" w:hAnsi="Calibri"/>
          <w:sz w:val="21"/>
          <w:szCs w:val="21"/>
        </w:rPr>
        <w:t xml:space="preserve">Que si se ha marcado alguna cláusula como NO APLICA, se han eliminado todas las menciones que arrastra en el resto del pliego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 pliego que penaliza el incumplimiento de una cláusula que no ha incorporado es un pliego contradictorio.</w:t>
      </w:r>
    </w:p>
    <w:p>
      <w:pPr>
        <w:pStyle w:val="ListParagraph"/>
        <w:numPr>
          <w:ilvl w:val="0"/>
          <w:numId w:val="2"/>
        </w:numPr>
        <w:spacing w:after="70" w:line="268"/>
      </w:pPr>
      <w:r>
        <w:rPr>
          <w:rFonts w:ascii="Calibri" w:cs="Calibri" w:eastAsia="Calibri" w:hAnsi="Calibri"/>
          <w:sz w:val="21"/>
          <w:szCs w:val="21"/>
        </w:rPr>
        <w:t xml:space="preserve">Que las declaraciones de conflicto de interés están firmadas e incorporadas.</w:t>
      </w:r>
    </w:p>
    <w:p>
      <w:pPr>
        <w:pStyle w:val="ListParagraph"/>
        <w:numPr>
          <w:ilvl w:val="0"/>
          <w:numId w:val="2"/>
        </w:numPr>
        <w:spacing w:after="70" w:line="268"/>
      </w:pPr>
      <w:r>
        <w:rPr>
          <w:rFonts w:ascii="Calibri" w:cs="Calibri" w:eastAsia="Calibri" w:hAnsi="Calibri"/>
          <w:sz w:val="21"/>
          <w:szCs w:val="21"/>
        </w:rPr>
        <w:t xml:space="preserve">Que </w:t>
      </w:r>
      <w:r>
        <w:rPr>
          <w:rFonts w:ascii="Calibri" w:cs="Calibri" w:eastAsia="Calibri" w:hAnsi="Calibri"/>
          <w:b/>
          <w:bCs/>
          <w:sz w:val="21"/>
          <w:szCs w:val="21"/>
        </w:rPr>
        <w:t xml:space="preserve">todas</w:t>
      </w:r>
      <w:r>
        <w:rPr>
          <w:rFonts w:ascii="Calibri" w:cs="Calibri" w:eastAsia="Calibri" w:hAnsi="Calibri"/>
          <w:sz w:val="21"/>
          <w:szCs w:val="21"/>
        </w:rPr>
        <w:t xml:space="preserve"> las condiciones especiales de ejecución incorporadas —incluidas las de ADM-11·v3, ADM-12·v3 y ADM-13·v3— figuran indicadas </w:t>
      </w:r>
      <w:r>
        <w:rPr>
          <w:rFonts w:ascii="Calibri" w:cs="Calibri" w:eastAsia="Calibri" w:hAnsi="Calibri"/>
          <w:b/>
          <w:bCs/>
          <w:sz w:val="21"/>
          <w:szCs w:val="21"/>
        </w:rPr>
        <w:t xml:space="preserve">una por una en el anuncio de licitación</w:t>
      </w:r>
      <w:r>
        <w:rPr>
          <w:rFonts w:ascii="Calibri" w:cs="Calibri" w:eastAsia="Calibri" w:hAnsi="Calibri"/>
          <w:sz w:val="21"/>
          <w:szCs w:val="21"/>
        </w:rPr>
        <w:t xml:space="preserve">, además de en los pliegos (art. 202.1 LCSP). Su omisión en el anuncio no se subsana después y arrastra la esencialidad de las que el pliego haya calificado como tales.</w:t>
      </w:r>
    </w:p>
    <w:p>
      <w:pPr>
        <w:pStyle w:val="Heading3"/>
        <w:keepNext/>
        <w:spacing w:after="140" w:before="320"/>
      </w:pPr>
      <w:r>
        <w:rPr>
          <w:rFonts w:ascii="Georgia" w:cs="Georgia" w:eastAsia="Georgia" w:hAnsi="Georgia"/>
          <w:b/>
          <w:bCs/>
          <w:color w:val="2F5496"/>
          <w:sz w:val="22"/>
          <w:szCs w:val="22"/>
        </w:rPr>
        <w:t xml:space="preserve">M10.2 · Para la Intervención</w:t>
      </w:r>
    </w:p>
    <w:p>
      <w:pPr>
        <w:spacing w:after="140" w:line="276"/>
      </w:pPr>
      <w:r>
        <w:rPr>
          <w:rFonts w:ascii="Calibri" w:cs="Calibri" w:eastAsia="Calibri" w:hAnsi="Calibri"/>
          <w:sz w:val="21"/>
          <w:szCs w:val="21"/>
        </w:rPr>
        <w:t xml:space="preserve">Extremos a comprobar en fiscalización previa, además de los ordinarios:</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por el importe del PBL con los conceptos del §M6.2 incluidos, y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(art. 116.3 LCSP).</w:t>
      </w:r>
    </w:p>
    <w:p>
      <w:pPr>
        <w:pStyle w:val="ListParagraph"/>
        <w:numPr>
          <w:ilvl w:val="0"/>
          <w:numId w:val="2"/>
        </w:numPr>
        <w:spacing w:after="70" w:line="268"/>
      </w:pPr>
      <w:r>
        <w:rPr>
          <w:rFonts w:ascii="Calibri" w:cs="Calibri" w:eastAsia="Calibri" w:hAnsi="Calibri"/>
          <w:b/>
          <w:bCs/>
          <w:sz w:val="21"/>
          <w:szCs w:val="21"/>
        </w:rPr>
        <w:t xml:space="preserve">Informe de repercusiones en estabilidad presupuestaria y sostenibilidad financiera</w:t>
      </w:r>
      <w:r>
        <w:rPr>
          <w:rFonts w:ascii="Calibri" w:cs="Calibri" w:eastAsia="Calibri" w:hAnsi="Calibri"/>
          <w:sz w:val="21"/>
          <w:szCs w:val="21"/>
        </w:rPr>
        <w:t xml:space="preserve"> (DA 3.ª.3 LCSP, art. 7.3 LOEPSF).</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correctamente calculado, con su método en el PCAP, computando bolsa de evolutivos, prórrogas y reservas de modificación (arts. 101.2.c y 101.5).</w:t>
      </w:r>
    </w:p>
    <w:p>
      <w:pPr>
        <w:pStyle w:val="ListParagraph"/>
        <w:numPr>
          <w:ilvl w:val="0"/>
          <w:numId w:val="2"/>
        </w:numPr>
        <w:spacing w:after="70" w:line="268"/>
      </w:pPr>
      <w:r>
        <w:rPr>
          <w:rFonts w:ascii="Calibri" w:cs="Calibri" w:eastAsia="Calibri" w:hAnsi="Calibri"/>
          <w:b/>
          <w:bCs/>
          <w:sz w:val="21"/>
          <w:szCs w:val="21"/>
        </w:rPr>
        <w:t xml:space="preserve">Compromisos plurianuales</w:t>
      </w:r>
      <w:r>
        <w:rPr>
          <w:rFonts w:ascii="Calibri" w:cs="Calibri" w:eastAsia="Calibri" w:hAnsi="Calibri"/>
          <w:sz w:val="21"/>
          <w:szCs w:val="21"/>
        </w:rPr>
        <w:t xml:space="preserve"> cuando proceda.</w:t>
      </w:r>
    </w:p>
    <w:p>
      <w:pPr>
        <w:pStyle w:val="ListParagraph"/>
        <w:numPr>
          <w:ilvl w:val="0"/>
          <w:numId w:val="2"/>
        </w:numPr>
        <w:spacing w:after="70" w:line="268"/>
      </w:pPr>
      <w:r>
        <w:rPr>
          <w:rFonts w:ascii="Calibri" w:cs="Calibri" w:eastAsia="Calibri" w:hAnsi="Calibri"/>
          <w:b/>
          <w:bCs/>
          <w:sz w:val="21"/>
          <w:szCs w:val="21"/>
        </w:rPr>
        <w:t xml:space="preserve">Consulta al directorio general de aplicaciones</w:t>
      </w:r>
      <w:r>
        <w:rPr>
          <w:rFonts w:ascii="Calibri" w:cs="Calibri" w:eastAsia="Calibri" w:hAnsi="Calibri"/>
          <w:sz w:val="21"/>
          <w:szCs w:val="21"/>
        </w:rPr>
        <w:t xml:space="preserve"> (art. 157.3 Ley 40/2015) y, en su defecto, justificación de eficiencia.</w:t>
      </w:r>
    </w:p>
    <w:p>
      <w:pPr>
        <w:pStyle w:val="ListParagraph"/>
        <w:numPr>
          <w:ilvl w:val="0"/>
          <w:numId w:val="2"/>
        </w:numPr>
        <w:spacing w:after="70" w:line="268"/>
      </w:pPr>
      <w:r>
        <w:rPr>
          <w:rFonts w:ascii="Calibri" w:cs="Calibri" w:eastAsia="Calibri" w:hAnsi="Calibri"/>
          <w:sz w:val="21"/>
          <w:szCs w:val="21"/>
        </w:rPr>
        <w:t xml:space="preserve">Que la bolsa de evolutivos, si se incorpora, dice expresamente que </w:t>
      </w:r>
      <w:r>
        <w:rPr>
          <w:rFonts w:ascii="Calibri" w:cs="Calibri" w:eastAsia="Calibri" w:hAnsi="Calibri"/>
          <w:b/>
          <w:bCs/>
          <w:sz w:val="21"/>
          <w:szCs w:val="21"/>
        </w:rPr>
        <w:t xml:space="preserve">no se abonan horas no consumidas</w:t>
      </w:r>
      <w:r>
        <w:rPr>
          <w:rFonts w:ascii="Calibri" w:cs="Calibri" w:eastAsia="Calibri" w:hAnsi="Calibri"/>
          <w:sz w:val="21"/>
          <w:szCs w:val="21"/>
        </w:rPr>
        <w:t xml:space="preserve"> y que las peticiones son de servicio y no de dirección de personal (art. 308.2 y 308.3 LCSP).</w:t>
      </w:r>
    </w:p>
    <w:p>
      <w:pPr>
        <w:pStyle w:val="ListParagraph"/>
        <w:numPr>
          <w:ilvl w:val="0"/>
          <w:numId w:val="2"/>
        </w:numPr>
        <w:spacing w:after="70" w:line="268"/>
      </w:pPr>
      <w:r>
        <w:rPr>
          <w:rFonts w:ascii="Calibri" w:cs="Calibri" w:eastAsia="Calibri" w:hAnsi="Calibri"/>
          <w:sz w:val="21"/>
          <w:szCs w:val="21"/>
        </w:rPr>
        <w:t xml:space="preserve">Que el coste del depósito de código está en el presupuesto base de licitación y no en la oferta económica (art. 100.2 LCSP).</w:t>
      </w:r>
    </w:p>
    <w:p>
      <w:pPr>
        <w:pStyle w:val="ListParagraph"/>
        <w:numPr>
          <w:ilvl w:val="0"/>
          <w:numId w:val="2"/>
        </w:numPr>
        <w:spacing w:after="70" w:line="268"/>
      </w:pPr>
      <w:r>
        <w:rPr>
          <w:rFonts w:ascii="Calibri" w:cs="Calibri" w:eastAsia="Calibri" w:hAnsi="Calibri"/>
          <w:sz w:val="21"/>
          <w:szCs w:val="21"/>
        </w:rPr>
        <w:t xml:space="preserve">Que existe </w:t>
      </w:r>
      <w:r>
        <w:rPr>
          <w:rFonts w:ascii="Calibri" w:cs="Calibri" w:eastAsia="Calibri" w:hAnsi="Calibri"/>
          <w:b/>
          <w:bCs/>
          <w:sz w:val="21"/>
          <w:szCs w:val="21"/>
        </w:rPr>
        <w:t xml:space="preserve">actor municipal designado y periodicidad</w:t>
      </w:r>
      <w:r>
        <w:rPr>
          <w:rFonts w:ascii="Calibri" w:cs="Calibri" w:eastAsia="Calibri" w:hAnsi="Calibri"/>
          <w:sz w:val="21"/>
          <w:szCs w:val="21"/>
        </w:rPr>
        <w:t xml:space="preserve"> para la verificación de cada obligación que el pliego califique como esencial. Si no lo hay, procede reparo por creación de obligaciones inverificables.</w:t>
      </w:r>
    </w:p>
    <w:p>
      <w:pPr>
        <w:pStyle w:val="ListParagraph"/>
        <w:numPr>
          <w:ilvl w:val="0"/>
          <w:numId w:val="2"/>
        </w:numPr>
        <w:spacing w:after="70" w:line="268"/>
      </w:pPr>
      <w:r>
        <w:rPr>
          <w:rFonts w:ascii="Calibri" w:cs="Calibri" w:eastAsia="Calibri" w:hAnsi="Calibri"/>
          <w:sz w:val="21"/>
          <w:szCs w:val="21"/>
        </w:rPr>
        <w:t xml:space="preserve">Que el acceso de la Intervención de ADM-12·v3, cuando se incorpore, incluye número de accesos en el precio, diccionario de datos, exportación en formato abierto y permanencia en prórrogas y reversión.</w:t>
      </w:r>
    </w:p>
    <w:p>
      <w:pPr>
        <w:pStyle w:val="Heading3"/>
        <w:keepNext/>
        <w:spacing w:after="140" w:before="320"/>
      </w:pPr>
      <w:r>
        <w:rPr>
          <w:rFonts w:ascii="Georgia" w:cs="Georgia" w:eastAsia="Georgia" w:hAnsi="Georgia"/>
          <w:b/>
          <w:bCs/>
          <w:color w:val="2F5496"/>
          <w:sz w:val="22"/>
          <w:szCs w:val="22"/>
        </w:rPr>
        <w:t xml:space="preserve">M10.3 · Para el órgano de contratación y para la Concejalía promotora</w:t>
      </w:r>
    </w:p>
    <w:p>
      <w:pPr>
        <w:pStyle w:val="ListParagraph"/>
        <w:numPr>
          <w:ilvl w:val="0"/>
          <w:numId w:val="2"/>
        </w:numPr>
        <w:spacing w:after="70" w:line="268"/>
      </w:pPr>
      <w:r>
        <w:rPr>
          <w:rFonts w:ascii="Calibri" w:cs="Calibri" w:eastAsia="Calibri" w:hAnsi="Calibri"/>
          <w:b/>
          <w:bCs/>
          <w:sz w:val="21"/>
          <w:szCs w:val="21"/>
        </w:rPr>
        <w:t xml:space="preserve">Revisión anual.</w:t>
      </w:r>
      <w:r>
        <w:rPr>
          <w:rFonts w:ascii="Calibri" w:cs="Calibri" w:eastAsia="Calibri" w:hAnsi="Calibri"/>
          <w:sz w:val="21"/>
          <w:szCs w:val="21"/>
        </w:rPr>
        <w:t xml:space="preserve"> El catálogo se revisa una vez al año. El Anexo V se aprueba cada ejercicio por resolución del órgano competente, sin reabrir el articulado. Un catálogo que no se revisa caduca sin avisar.</w:t>
      </w:r>
    </w:p>
    <w:p>
      <w:pPr>
        <w:pStyle w:val="ListParagraph"/>
        <w:numPr>
          <w:ilvl w:val="0"/>
          <w:numId w:val="2"/>
        </w:numPr>
        <w:spacing w:after="70" w:line="268"/>
      </w:pPr>
      <w:r>
        <w:rPr>
          <w:rFonts w:ascii="Calibri" w:cs="Calibri" w:eastAsia="Calibri" w:hAnsi="Calibri"/>
          <w:b/>
          <w:bCs/>
          <w:sz w:val="21"/>
          <w:szCs w:val="21"/>
        </w:rPr>
        <w:t xml:space="preserve">Asunción institucional.</w:t>
      </w:r>
      <w:r>
        <w:rPr>
          <w:rFonts w:ascii="Calibri" w:cs="Calibri" w:eastAsia="Calibri" w:hAnsi="Calibri"/>
          <w:sz w:val="21"/>
          <w:szCs w:val="21"/>
        </w:rPr>
        <w:t xml:space="preserve"> Este documento debe ser revisado, validado y asumido como propio por los servicios técnicos y jurídicos municipales antes de incorporarlo a ningún pliego. No es un documento externo que se adopta: es un documento municipal que se aprueba.</w:t>
      </w:r>
    </w:p>
    <w:p>
      <w:pPr>
        <w:pStyle w:val="ListParagraph"/>
        <w:numPr>
          <w:ilvl w:val="0"/>
          <w:numId w:val="2"/>
        </w:numPr>
        <w:spacing w:after="70" w:line="268"/>
      </w:pPr>
      <w:r>
        <w:rPr>
          <w:rFonts w:ascii="Calibri" w:cs="Calibri" w:eastAsia="Calibri" w:hAnsi="Calibri"/>
          <w:b/>
          <w:bCs/>
          <w:sz w:val="21"/>
          <w:szCs w:val="21"/>
        </w:rPr>
        <w:t xml:space="preserve">Custodia y versionado.</w:t>
      </w:r>
      <w:r>
        <w:rPr>
          <w:rFonts w:ascii="Calibri" w:cs="Calibri" w:eastAsia="Calibri" w:hAnsi="Calibri"/>
          <w:sz w:val="21"/>
          <w:szCs w:val="21"/>
        </w:rPr>
        <w:t xml:space="preserve"> Debe designarse dónde vive el ejemplar maestro, quién lo versiona y cómo comprueba un redactor que tiene el vigente. Sin eso, en seis meses circularán varias versiones distintas y ninguna será la buena.</w:t>
      </w:r>
    </w:p>
    <w:p>
      <w:pPr>
        <w:pStyle w:val="ListParagraph"/>
        <w:numPr>
          <w:ilvl w:val="0"/>
          <w:numId w:val="2"/>
        </w:numPr>
        <w:spacing w:after="70" w:line="268"/>
      </w:pPr>
      <w:r>
        <w:rPr>
          <w:rFonts w:ascii="Calibri" w:cs="Calibri" w:eastAsia="Calibri" w:hAnsi="Calibri"/>
          <w:b/>
          <w:bCs/>
          <w:sz w:val="21"/>
          <w:szCs w:val="21"/>
        </w:rPr>
        <w:t xml:space="preserve">Entregables que se usan.</w:t>
      </w:r>
      <w:r>
        <w:rPr>
          <w:rFonts w:ascii="Calibri" w:cs="Calibri" w:eastAsia="Calibri" w:hAnsi="Calibri"/>
          <w:sz w:val="21"/>
          <w:szCs w:val="21"/>
        </w:rPr>
        <w:t xml:space="preserve"> El documento doctrinal no se usa para redactar: se usa para defender. Lo que se usa un martes por la mañana son los pliegos-tipo ensamblados (PPT-tipo y PCAP-tipo) para los perfiles de contrato frecuentes, con los corchetes marcados y las fichas prerrellenadas. Sin ellos, el catálogo se lee y no se aplica. </w:t>
      </w:r>
      <w:r>
        <w:rPr>
          <w:rFonts w:ascii="Calibri" w:cs="Calibri" w:eastAsia="Calibri" w:hAnsi="Calibri"/>
          <w:b/>
          <w:bCs/>
          <w:sz w:val="21"/>
          <w:szCs w:val="21"/>
        </w:rPr>
        <w:t xml:space="preserve">Esta versión no los entrega</w:t>
      </w:r>
      <w:r>
        <w:rPr>
          <w:rFonts w:ascii="Calibri" w:cs="Calibri" w:eastAsia="Calibri" w:hAnsi="Calibri"/>
          <w:sz w:val="21"/>
          <w:szCs w:val="21"/>
        </w:rPr>
        <w:t xml:space="preserve">: así consta en la nota de alcance de la Parte VII y en la fila 14 del §M11, con el compromiso abierto.</w:t>
      </w:r>
    </w:p>
    <w:p>
      <w:pPr>
        <w:pStyle w:val="ListParagraph"/>
        <w:numPr>
          <w:ilvl w:val="0"/>
          <w:numId w:val="2"/>
        </w:numPr>
        <w:spacing w:after="70" w:line="268"/>
      </w:pPr>
      <w:r>
        <w:rPr>
          <w:rFonts w:ascii="Calibri" w:cs="Calibri" w:eastAsia="Calibri" w:hAnsi="Calibri"/>
          <w:b/>
          <w:bCs/>
          <w:sz w:val="21"/>
          <w:szCs w:val="21"/>
        </w:rPr>
        <w:t xml:space="preserve">Piloto.</w:t>
      </w:r>
      <w:r>
        <w:rPr>
          <w:rFonts w:ascii="Calibri" w:cs="Calibri" w:eastAsia="Calibri" w:hAnsi="Calibri"/>
          <w:sz w:val="21"/>
          <w:szCs w:val="21"/>
        </w:rPr>
        <w:t xml:space="preserve"> El expediente que ya se redactó con el clausulado anterior debe rehacerse con este texto e informarse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catálogo en abierto. Publicar un modelo cuya primera aplicación arrastra los defectos que el propio modelo corrige es la forma más rápida de convertirse en el ejemplo de lo que no hay que hacer.</w:t>
      </w:r>
    </w:p>
    <w:p>
      <w:pPr>
        <w:pStyle w:val="ListParagraph"/>
        <w:numPr>
          <w:ilvl w:val="0"/>
          <w:numId w:val="2"/>
        </w:numPr>
        <w:spacing w:after="70" w:line="268"/>
      </w:pPr>
      <w:r>
        <w:rPr>
          <w:rFonts w:ascii="Calibri" w:cs="Calibri" w:eastAsia="Calibri" w:hAnsi="Calibri"/>
          <w:b/>
          <w:bCs/>
          <w:sz w:val="21"/>
          <w:szCs w:val="21"/>
        </w:rPr>
        <w:t xml:space="preserve">Evaluación.</w:t>
      </w:r>
      <w:r>
        <w:rPr>
          <w:rFonts w:ascii="Calibri" w:cs="Calibri" w:eastAsia="Calibri" w:hAnsi="Calibri"/>
          <w:sz w:val="21"/>
          <w:szCs w:val="21"/>
        </w:rPr>
        <w:t xml:space="preserve"> Informe a los seis y a los doce meses de la primera aplicación sobre concurrencia obtenida (número de licitadores frente a licitaciones comparables anteriores), incidencias en ejecución, recursos interpuestos y su resultado, y propuesta de ajuste del catálogo y del Anexo V.</w:t>
      </w:r>
    </w:p>
    <w:p>
      <w:pPr>
        <w:pStyle w:val="Heading3"/>
        <w:keepNext/>
        <w:spacing w:after="140" w:before="320"/>
      </w:pPr>
      <w:r>
        <w:rPr>
          <w:rFonts w:ascii="Georgia" w:cs="Georgia" w:eastAsia="Georgia" w:hAnsi="Georgia"/>
          <w:b/>
          <w:bCs/>
          <w:color w:val="2F5496"/>
          <w:sz w:val="22"/>
          <w:szCs w:val="22"/>
        </w:rPr>
        <w:t xml:space="preserve">M10.4 · Para cualquier administración que reutilice este documento</w:t>
      </w:r>
    </w:p>
    <w:p>
      <w:pPr>
        <w:spacing w:after="140" w:line="276"/>
      </w:pPr>
      <w:r>
        <w:rPr>
          <w:rFonts w:ascii="Calibri" w:cs="Calibri" w:eastAsia="Calibri" w:hAnsi="Calibri"/>
          <w:sz w:val="21"/>
          <w:szCs w:val="21"/>
        </w:rPr>
        <w:t xml:space="preserve">Copiarlo literalmente sin sustituir lo que sigue </w:t>
      </w:r>
      <w:r>
        <w:rPr>
          <w:rFonts w:ascii="Calibri" w:cs="Calibri" w:eastAsia="Calibri" w:hAnsi="Calibri"/>
          <w:b/>
          <w:bCs/>
          <w:sz w:val="21"/>
          <w:szCs w:val="21"/>
        </w:rPr>
        <w:t xml:space="preserve">reproduce el vicio, no la protección</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sustituir obligatoriamente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que emite el informe jurídico preceptivo (Asesoría Jurídica / Secretaría, según régimen)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competente para aprobar el catálogo y el Anexo V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§M1.2 y Anexos VIII y XV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 de cada sistema, determinada conforme al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valores entre corchetes del §M4.2 y del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el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con su contraste de mercado propio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§M7 y 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económicos vigentes en la fecha de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 apartado X.2</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M11 · Lo que esta memoria no acredita</w:t>
      </w:r>
    </w:p>
    <w:p>
      <w:pPr>
        <w:spacing w:after="140" w:line="276"/>
      </w:pPr>
      <w:r>
        <w:rPr>
          <w:rFonts w:ascii="Calibri" w:cs="Calibri" w:eastAsia="Calibri" w:hAnsi="Calibri"/>
          <w:sz w:val="21"/>
          <w:szCs w:val="21"/>
        </w:rPr>
        <w:t xml:space="preserve">Se enumera por escrito, con fecha, para que no lo enumere primero un recurrente. Los tres primeros puntos son </w:t>
      </w:r>
      <w:r>
        <w:rPr>
          <w:rFonts w:ascii="Calibri" w:cs="Calibri" w:eastAsia="Calibri" w:hAnsi="Calibri"/>
          <w:b/>
          <w:bCs/>
          <w:sz w:val="21"/>
          <w:szCs w:val="21"/>
        </w:rPr>
        <w:t xml:space="preserve">condiciones suspensivas de aplicación</w:t>
      </w:r>
      <w:r>
        <w:rPr>
          <w:rFonts w:ascii="Calibri" w:cs="Calibri" w:eastAsia="Calibri" w:hAnsi="Calibri"/>
          <w:sz w:val="21"/>
          <w:szCs w:val="21"/>
        </w:rPr>
        <w:t xml:space="preserve">: mientras no se cumplan, ninguna cláusula de este catálogo debe incorporarse a un expediente de contratación, y en particular a ninguno que supere el umbral del recurso especial.</w:t>
      </w:r>
    </w:p>
    <w:p>
      <w:pPr>
        <w:spacing w:after="140" w:line="276"/>
      </w:pPr>
      <w:r>
        <w:rPr>
          <w:rFonts w:ascii="Calibri" w:cs="Calibri" w:eastAsia="Calibri" w:hAnsi="Calibri"/>
          <w:b/>
          <w:bCs/>
          <w:sz w:val="21"/>
          <w:szCs w:val="21"/>
        </w:rPr>
        <w:t xml:space="preserve">Publicar no es aplicar, y aquí no es lo mismo.</w:t>
      </w:r>
      <w:r>
        <w:rPr>
          <w:rFonts w:ascii="Calibri" w:cs="Calibri" w:eastAsia="Calibri" w:hAnsi="Calibri"/>
          <w:sz w:val="21"/>
          <w:szCs w:val="21"/>
        </w:rPr>
        <w:t xml:space="preserve"> Estas condiciones no impiden la publicación del</w:t>
      </w:r>
    </w:p>
    <w:p>
      <w:pPr>
        <w:spacing w:after="140" w:line="276"/>
      </w:pPr>
      <w:r>
        <w:rPr>
          <w:rFonts w:ascii="Calibri" w:cs="Calibri" w:eastAsia="Calibri" w:hAnsi="Calibri"/>
          <w:sz w:val="21"/>
          <w:szCs w:val="21"/>
        </w:rPr>
        <w:t xml:space="preserve">catálogo en abierto; impiden su incorporación a un expediente. La distinción no es cómoda, es la que</w:t>
      </w:r>
    </w:p>
    <w:p>
      <w:pPr>
        <w:spacing w:after="140" w:line="276"/>
      </w:pPr>
      <w:r>
        <w:rPr>
          <w:rFonts w:ascii="Calibri" w:cs="Calibri" w:eastAsia="Calibri" w:hAnsi="Calibri"/>
          <w:sz w:val="21"/>
          <w:szCs w:val="21"/>
        </w:rPr>
        <w:t xml:space="preserve">se sigue del propio §M7.3, medida 6: la publicación íntegra y anticipada es **una de las medidas del</w:t>
      </w:r>
    </w:p>
    <w:p>
      <w:pPr>
        <w:spacing w:after="140" w:line="276"/>
      </w:pPr>
      <w:r>
        <w:rPr>
          <w:rFonts w:ascii="Calibri" w:cs="Calibri" w:eastAsia="Calibri" w:hAnsi="Calibri"/>
          <w:sz w:val="21"/>
          <w:szCs w:val="21"/>
        </w:rPr>
        <w:t xml:space="preserve">artículo 70 LCSP que este documento adopta**, porque pone a disposición de todo el mercado, y antes de</w:t>
      </w:r>
    </w:p>
    <w:p>
      <w:pPr>
        <w:spacing w:after="140" w:line="276"/>
      </w:pPr>
      <w:r>
        <w:rPr>
          <w:rFonts w:ascii="Calibri" w:cs="Calibri" w:eastAsia="Calibri" w:hAnsi="Calibri"/>
          <w:sz w:val="21"/>
          <w:szCs w:val="21"/>
        </w:rPr>
        <w:t xml:space="preserve">cualquier licitación, la misma información de la que dispusieron quienes lo elaboraron. Retrasar la</w:t>
      </w:r>
    </w:p>
    <w:p>
      <w:pPr>
        <w:spacing w:after="140" w:line="276"/>
      </w:pPr>
      <w:r>
        <w:rPr>
          <w:rFonts w:ascii="Calibri" w:cs="Calibri" w:eastAsia="Calibri" w:hAnsi="Calibri"/>
          <w:sz w:val="21"/>
          <w:szCs w:val="21"/>
        </w:rPr>
        <w:t xml:space="preserve">publicación hasta que las condiciones se cumplan agravaría la asimetría informativa en lugar de</w:t>
      </w:r>
    </w:p>
    <w:p>
      <w:pPr>
        <w:spacing w:after="140" w:line="276"/>
      </w:pPr>
      <w:r>
        <w:rPr>
          <w:rFonts w:ascii="Calibri" w:cs="Calibri" w:eastAsia="Calibri" w:hAnsi="Calibri"/>
          <w:sz w:val="21"/>
          <w:szCs w:val="21"/>
        </w:rPr>
        <w:t xml:space="preserve">corregirla, y dejaría durante meses en manos de unos pocos lo que ahora está en las de todos.</w:t>
      </w:r>
    </w:p>
    <w:p>
      <w:pPr>
        <w:spacing w:after="140" w:line="276"/>
      </w:pPr>
      <w:r>
        <w:rPr>
          <w:rFonts w:ascii="Calibri" w:cs="Calibri" w:eastAsia="Calibri" w:hAnsi="Calibri"/>
          <w:sz w:val="21"/>
          <w:szCs w:val="21"/>
        </w:rPr>
        <w:t xml:space="preserve">Por eso el catálogo se publica </w:t>
      </w:r>
      <w:r>
        <w:rPr>
          <w:rFonts w:ascii="Calibri" w:cs="Calibri" w:eastAsia="Calibri" w:hAnsi="Calibri"/>
          <w:b/>
          <w:bCs/>
          <w:sz w:val="21"/>
          <w:szCs w:val="21"/>
        </w:rPr>
        <w:t xml:space="preserve">para el debate</w:t>
      </w:r>
      <w:r>
        <w:rPr>
          <w:rFonts w:ascii="Calibri" w:cs="Calibri" w:eastAsia="Calibri" w:hAnsi="Calibri"/>
          <w:sz w:val="21"/>
          <w:szCs w:val="21"/>
        </w:rPr>
        <w:t xml:space="preserve">, con el estado de cada condición a la vista en la</w:t>
      </w:r>
    </w:p>
    <w:p>
      <w:pPr>
        <w:spacing w:after="140" w:line="276"/>
      </w:pPr>
      <w:r>
        <w:rPr>
          <w:rFonts w:ascii="Calibri" w:cs="Calibri" w:eastAsia="Calibri" w:hAnsi="Calibri"/>
          <w:sz w:val="21"/>
          <w:szCs w:val="21"/>
        </w:rPr>
        <w:t xml:space="preserve">primera página y actualizado cuando cambie, y no como modelo listo para incorporarse a un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falta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motivo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w:t>
            </w:r>
            <w:r>
              <w:rPr>
                <w:rFonts w:ascii="Calibri" w:cs="Calibri" w:eastAsia="Calibri" w:hAnsi="Calibri"/>
                <w:b w:val="false"/>
                <w:bCs w:val="false"/>
                <w:sz w:val="18"/>
                <w:szCs w:val="18"/>
              </w:rPr>
              <w:t xml:space="preserve"> que apruebe el plan municipal del que nace la necesidad institucional, el catálogo y el Anexo V del ejercicio, con fecha, versión y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art. 122.4 LCSP, conforme al cual «</w:t>
            </w:r>
            <w:r>
              <w:rPr>
                <w:rFonts w:ascii="Calibri" w:cs="Calibri" w:eastAsia="Calibri" w:hAnsi="Calibri"/>
                <w:b w:val="false"/>
                <w:bCs w:val="false"/>
                <w:i/>
                <w:iCs/>
                <w:sz w:val="18"/>
                <w:szCs w:val="18"/>
              </w:rPr>
              <w:t xml:space="preserve">los contratos se ajustarán al contenido de los pliegos de cláusulas administrativas particulares, cuyas cláusulas se consideran parte integrante de los mismos</w:t>
            </w:r>
            <w:r>
              <w:rPr>
                <w:rFonts w:ascii="Calibri" w:cs="Calibri" w:eastAsia="Calibri" w:hAnsi="Calibri"/>
                <w:b w:val="false"/>
                <w:bCs w:val="false"/>
                <w:sz w:val="18"/>
                <w:szCs w:val="18"/>
              </w:rPr>
              <w:t xml:space="preserve">», que es lo que hace del Anexo V transcrito </w:t>
            </w:r>
            <w:r>
              <w:rPr>
                <w:rFonts w:ascii="Calibri" w:cs="Calibri" w:eastAsia="Calibri" w:hAnsi="Calibri"/>
                <w:b w:val="false"/>
                <w:bCs w:val="false"/>
                <w:i/>
                <w:iCs/>
                <w:sz w:val="18"/>
                <w:szCs w:val="18"/>
              </w:rPr>
              <w:t xml:space="preserve">lex contractus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publicada y contraste documentado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 §M3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r>
              <w:rPr>
                <w:rFonts w:ascii="Calibri" w:cs="Calibri" w:eastAsia="Calibri" w:hAnsi="Calibri"/>
                <w:b w:val="false"/>
                <w:bCs w:val="false"/>
                <w:sz w:val="18"/>
                <w:szCs w:val="18"/>
              </w:rPr>
              <w:t xml:space="preserve"> Sin ella, M3 afirma la neutralidad sin probarla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Declaraciones de conflicto de interés firmadas</w:t>
            </w:r>
            <w:r>
              <w:rPr>
                <w:rFonts w:ascii="Calibri" w:cs="Calibri" w:eastAsia="Calibri" w:hAnsi="Calibri"/>
                <w:b w:val="false"/>
                <w:bCs w:val="false"/>
                <w:sz w:val="18"/>
                <w:szCs w:val="18"/>
              </w:rPr>
              <w:t xml:space="preserve">, con nombres,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§M7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firmado y fechado</w:t>
            </w:r>
            <w:r>
              <w:rPr>
                <w:rFonts w:ascii="Calibri" w:cs="Calibri" w:eastAsia="Calibri" w:hAnsi="Calibri"/>
                <w:b w:val="false"/>
                <w:bCs w:val="false"/>
                <w:sz w:val="18"/>
                <w:szCs w:val="18"/>
              </w:rPr>
              <w:t xml:space="preserve"> del área de contratación y de la Intervención que sustituya al comentario de trabajo de 18/06/2026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Solicitar antes de publicar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Copia de cada resolución, informe y guía citada</w:t>
            </w:r>
            <w:r>
              <w:rPr>
                <w:rFonts w:ascii="Calibri" w:cs="Calibri" w:eastAsia="Calibri" w:hAnsi="Calibri"/>
                <w:b w:val="false"/>
                <w:bCs w:val="false"/>
                <w:sz w:val="18"/>
                <w:szCs w:val="18"/>
              </w:rPr>
              <w:t xml:space="preserve">, incorporada al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Lo que no se incorpore, se retira del texto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Cifras reales de coste</w:t>
            </w:r>
            <w:r>
              <w:rPr>
                <w:rFonts w:ascii="Calibri" w:cs="Calibri" w:eastAsia="Calibri" w:hAnsi="Calibri"/>
                <w:b w:val="false"/>
                <w:bCs w:val="false"/>
                <w:sz w:val="18"/>
                <w:szCs w:val="18"/>
              </w:rPr>
              <w:t xml:space="preserve"> por presupuesto solicitado o consulta de mercado, sustituyendo los órdenes de magnitud del §M6.2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100.2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Certificado de crédito, fiscalización previa e informe de estabilidad presupuestaria</w:t>
            </w:r>
            <w:r>
              <w:rPr>
                <w:rFonts w:ascii="Calibri" w:cs="Calibri" w:eastAsia="Calibri" w:hAnsi="Calibri"/>
                <w:b w:val="false"/>
                <w:bCs w:val="false"/>
                <w:sz w:val="18"/>
                <w:szCs w:val="18"/>
              </w:rPr>
              <w:t xml:space="preserve"> de cada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Determinación de la categoría ENS y análisis de riesgos</w:t>
            </w:r>
            <w:r>
              <w:rPr>
                <w:rFonts w:ascii="Calibri" w:cs="Calibri" w:eastAsia="Calibri" w:hAnsi="Calibri"/>
                <w:b w:val="false"/>
                <w:bCs w:val="false"/>
                <w:sz w:val="18"/>
                <w:szCs w:val="18"/>
              </w:rPr>
              <w:t xml:space="preserve">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2.3, 38.1 y 40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insuficiencia de medios</w:t>
            </w:r>
            <w:r>
              <w:rPr>
                <w:rFonts w:ascii="Calibri" w:cs="Calibri" w:eastAsia="Calibri" w:hAnsi="Calibri"/>
                <w:b w:val="false"/>
                <w:bCs w:val="false"/>
                <w:sz w:val="18"/>
                <w:szCs w:val="18"/>
              </w:rPr>
              <w:t xml:space="preserve"> en los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Estado del expediente piloto</w:t>
            </w:r>
            <w:r>
              <w:rPr>
                <w:rFonts w:ascii="Calibri" w:cs="Calibri" w:eastAsia="Calibri" w:hAnsi="Calibri"/>
                <w:b w:val="false"/>
                <w:bCs w:val="false"/>
                <w:sz w:val="18"/>
                <w:szCs w:val="18"/>
              </w:rPr>
              <w:t xml:space="preserve"> redactado con el clausulado anterior: si está aprobado, procede rectificación previa a licitar, no simple revisión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comprobación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antes de cada expediente, de que sigue vigente la designación de las normas técnicas citadas</w:t>
            </w:r>
            <w:r>
              <w:rPr>
                <w:rFonts w:ascii="Calibri" w:cs="Calibri" w:eastAsia="Calibri" w:hAnsi="Calibri"/>
                <w:b w:val="false"/>
                <w:bCs w:val="false"/>
                <w:sz w:val="18"/>
                <w:szCs w:val="18"/>
              </w:rPr>
              <w:t xml:space="preserve"> —la designación está fijada en ADM-1·v3 y las equivalencias admisibles, en el Anexo XXI— y de que ninguna afirmación sobre presunción de conformidad se hace sin fuente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Anexo XI, apartado XI.3; Anexo 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de la fecha e instrumento</w:t>
            </w:r>
            <w:r>
              <w:rPr>
                <w:rFonts w:ascii="Calibri" w:cs="Calibri" w:eastAsia="Calibri" w:hAnsi="Calibri"/>
                <w:b w:val="false"/>
                <w:bCs w:val="false"/>
                <w:sz w:val="18"/>
                <w:szCs w:val="18"/>
              </w:rPr>
              <w:t xml:space="preserve"> por el que el municipio se rige por el régimen de gran población, tomada del expediente municipal y no de fuentes secundarias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Pliegos-tipo ensamblados</w:t>
            </w:r>
            <w:r>
              <w:rPr>
                <w:rFonts w:ascii="Calibri" w:cs="Calibri" w:eastAsia="Calibri" w:hAnsi="Calibri"/>
                <w:b w:val="false"/>
                <w:bCs w:val="false"/>
                <w:sz w:val="18"/>
                <w:szCs w:val="18"/>
              </w:rPr>
              <w:t xml:space="preserve"> (PPT-tipo y PCAP-tipo) para los perfiles de contrato frecuentes, con los corchetes marcados y las fichas prerrellenadas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§M10.3.4; nota de alcance de la Parte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Compromiso abierto: sin ellos el catálogo se lee y no se aplica</w:t>
            </w:r>
          </w:p>
        </w:tc>
      </w:tr>
    </w:tbl>
    <w:p>
      <w:pPr>
        <w:spacing w:after="200"/>
      </w:pPr>
    </w:p>
    <w:p>
      <w:pPr>
        <w:spacing w:after="140" w:line="276"/>
      </w:pPr>
      <w:r>
        <w:rPr>
          <w:rFonts w:ascii="Calibri" w:cs="Calibri" w:eastAsia="Calibri" w:hAnsi="Calibri"/>
          <w:b/>
          <w:bCs/>
          <w:sz w:val="21"/>
          <w:szCs w:val="21"/>
        </w:rPr>
        <w:t xml:space="preserve">Efecto de este cuadro.</w:t>
      </w:r>
      <w:r>
        <w:rPr>
          <w:rFonts w:ascii="Calibri" w:cs="Calibri" w:eastAsia="Calibri" w:hAnsi="Calibri"/>
          <w:sz w:val="21"/>
          <w:szCs w:val="21"/>
        </w:rPr>
        <w:t xml:space="preserve"> No debilita el catálogo: lo hace fiscalizable. Un órgano de control puede informar favorablemente un instrumento cuyas carencias están enumeradas, fechadas y asignadas. No puede informar favorablemente uno que se presenta como completo y no lo está.</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 · CIRCUITO DEL EXPEDIENTE Y DOCUMENTOS EXIGIBLES</w:t>
      </w:r>
    </w:p>
    <w:p>
      <w:pPr>
        <w:spacing w:after="140" w:line="276"/>
      </w:pPr>
      <w:r>
        <w:rPr>
          <w:rFonts w:ascii="Calibri" w:cs="Calibri" w:eastAsia="Calibri" w:hAnsi="Calibri"/>
          <w:sz w:val="21"/>
          <w:szCs w:val="21"/>
        </w:rPr>
        <w:t xml:space="preserve">Esta Parte no contiene cláusulas. Contiene el expediente: qué papeles hay que producir para que las cláusulas de las Partes II y III puedan incorporarse a un pliego sin que la incorporación sea, ella misma, el vicio.</w:t>
      </w:r>
    </w:p>
    <w:p>
      <w:pPr>
        <w:spacing w:after="140" w:line="276"/>
      </w:pPr>
      <w:r>
        <w:rPr>
          <w:rFonts w:ascii="Calibri" w:cs="Calibri" w:eastAsia="Calibri" w:hAnsi="Calibri"/>
          <w:sz w:val="21"/>
          <w:szCs w:val="21"/>
        </w:rPr>
        <w:t xml:space="preserve">Está escrita para dos lectores concretos. El primero es el funcionario de Administración local con habilitación de carácter nacional que tiene que informar o fiscalizar el expediente: encontrará aquí, documento por documento, el precepto que lo impone, quién lo firma, qué debe decir y qué se publica. El segundo es el técnico de contratación que tiene que redactar un pliego un martes por la mañana: encontrará el orden de los pasos, los valores por defecto de cada parámetro y la lista de comprobación final.</w:t>
      </w:r>
    </w:p>
    <w:p>
      <w:pPr>
        <w:spacing w:after="140" w:line="276"/>
      </w:pPr>
      <w:r>
        <w:rPr>
          <w:rFonts w:ascii="Calibri" w:cs="Calibri" w:eastAsia="Calibri" w:hAnsi="Calibri"/>
          <w:sz w:val="21"/>
          <w:szCs w:val="21"/>
        </w:rPr>
        <w:t xml:space="preserve">La Parte IV justifica el catálogo ante los órganos de control. Esta Parte V hace lo contrario: da por justificado el catálogo y describe el trabajo que hay que hacer </w:t>
      </w:r>
      <w:r>
        <w:rPr>
          <w:rFonts w:ascii="Calibri" w:cs="Calibri" w:eastAsia="Calibri" w:hAnsi="Calibri"/>
          <w:b/>
          <w:bCs/>
          <w:sz w:val="21"/>
          <w:szCs w:val="21"/>
        </w:rPr>
        <w:t xml:space="preserve">en cada expediente</w:t>
      </w:r>
      <w:r>
        <w:rPr>
          <w:rFonts w:ascii="Calibri" w:cs="Calibri" w:eastAsia="Calibri" w:hAnsi="Calibri"/>
          <w:sz w:val="21"/>
          <w:szCs w:val="21"/>
        </w:rPr>
        <w:t xml:space="preserve">. Son cosas distintas y no se sustituyen. La memoria del catálogo no es la memoria justificativa de ningún contrato.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 · Cómo se usa esta Parte</w:t>
      </w:r>
    </w:p>
    <w:p>
      <w:pPr>
        <w:pStyle w:val="Heading3"/>
        <w:keepNext/>
        <w:spacing w:after="140" w:before="320"/>
      </w:pPr>
      <w:r>
        <w:rPr>
          <w:rFonts w:ascii="Georgia" w:cs="Georgia" w:eastAsia="Georgia" w:hAnsi="Georgia"/>
          <w:b/>
          <w:bCs/>
          <w:color w:val="2F5496"/>
          <w:sz w:val="22"/>
          <w:szCs w:val="22"/>
        </w:rPr>
        <w:t xml:space="preserve">V.1.1 · Convención de bloques</w:t>
      </w:r>
    </w:p>
    <w:p>
      <w:pPr>
        <w:spacing w:after="140" w:line="276"/>
      </w:pPr>
      <w:r>
        <w:rPr>
          <w:rFonts w:ascii="Calibri" w:cs="Calibri" w:eastAsia="Calibri" w:hAnsi="Calibri"/>
          <w:sz w:val="21"/>
          <w:szCs w:val="21"/>
        </w:rPr>
        <w:t xml:space="preserve">En las Partes II y III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delimita el texto que se copia literalmente a un PPT o a un PCAP. En esta Parte casi nada se copia a un pliego, porque los documentos del expediente no son pliego: son expediente. Por eso:</w:t>
      </w:r>
    </w:p>
    <w:p>
      <w:pPr>
        <w:pStyle w:val="ListParagraph"/>
        <w:numPr>
          <w:ilvl w:val="0"/>
          <w:numId w:val="1"/>
        </w:numPr>
        <w:spacing w:after="70" w:line="268"/>
      </w:pPr>
      <w:r>
        <w:rPr>
          <w:rFonts w:ascii="Calibri" w:cs="Calibri" w:eastAsia="Calibri" w:hAnsi="Calibri"/>
          <w:sz w:val="21"/>
          <w:szCs w:val="21"/>
        </w:rPr>
        <w:t xml:space="preserve">Los </w:t>
      </w:r>
      <w:r>
        <w:rPr>
          <w:rFonts w:ascii="Calibri" w:cs="Calibri" w:eastAsia="Calibri" w:hAnsi="Calibri"/>
          <w:b/>
          <w:bCs/>
          <w:sz w:val="21"/>
          <w:szCs w:val="21"/>
        </w:rPr>
        <w:t xml:space="preserve">modelos de texto de documentos del expediente</w:t>
      </w:r>
      <w:r>
        <w:rPr>
          <w:rFonts w:ascii="Calibri" w:cs="Calibri" w:eastAsia="Calibri" w:hAnsi="Calibri"/>
          <w:sz w:val="21"/>
          <w:szCs w:val="21"/>
        </w:rPr>
        <w:t xml:space="preserve"> (párrafo de cierre del informe de necesidad, parte dispositiva del acuerdo del órgano de gobierno) van delimitados por las marcas </w:t>
      </w:r>
      <w:r>
        <w:rPr>
          <w:rFonts w:ascii="Calibri" w:cs="Calibri" w:eastAsia="Calibri" w:hAnsi="Calibri"/>
          <w:color w:val="2F5496"/>
          <w:sz w:val="21"/>
          <w:szCs w:val="21"/>
        </w:rPr>
        <w:t xml:space="preserve">---- INICIO DEL MODELO ----</w:t>
      </w:r>
      <w:r>
        <w:rPr>
          <w:rFonts w:ascii="Calibri" w:cs="Calibri" w:eastAsia="Calibri" w:hAnsi="Calibri"/>
          <w:sz w:val="21"/>
          <w:szCs w:val="21"/>
        </w:rPr>
        <w:t xml:space="preserve"> y </w:t>
      </w:r>
      <w:r>
        <w:rPr>
          <w:rFonts w:ascii="Calibri" w:cs="Calibri" w:eastAsia="Calibri" w:hAnsi="Calibri"/>
          <w:color w:val="2F5496"/>
          <w:sz w:val="21"/>
          <w:szCs w:val="21"/>
        </w:rPr>
        <w:t xml:space="preserve">---- FIN DEL MODELO ----</w:t>
      </w:r>
      <w:r>
        <w:rPr>
          <w:rFonts w:ascii="Calibri" w:cs="Calibri" w:eastAsia="Calibri" w:hAnsi="Calibri"/>
          <w:sz w:val="21"/>
          <w:szCs w:val="21"/>
        </w:rPr>
        <w:t xml:space="preserve">, que es la convención única de modelo en todo el documento, y </w:t>
      </w:r>
      <w:r>
        <w:rPr>
          <w:rFonts w:ascii="Calibri" w:cs="Calibri" w:eastAsia="Calibri" w:hAnsi="Calibri"/>
          <w:b/>
          <w:bCs/>
          <w:sz w:val="21"/>
          <w:szCs w:val="21"/>
        </w:rPr>
        <w:t xml:space="preserve">no</w:t>
      </w:r>
      <w:r>
        <w:rPr>
          <w:rFonts w:ascii="Calibri" w:cs="Calibri" w:eastAsia="Calibri" w:hAnsi="Calibri"/>
          <w:sz w:val="21"/>
          <w:szCs w:val="21"/>
        </w:rPr>
        <w:t xml:space="preserve"> llevan la marca </w:t>
      </w:r>
      <w:r>
        <w:rPr>
          <w:rFonts w:ascii="Calibri" w:cs="Calibri" w:eastAsia="Calibri" w:hAnsi="Calibri"/>
          <w:color w:val="2F5496"/>
          <w:sz w:val="21"/>
          <w:szCs w:val="21"/>
        </w:rPr>
        <w:t xml:space="preserve">:::pliego</w:t>
      </w:r>
      <w:r>
        <w:rPr>
          <w:rFonts w:ascii="Calibri" w:cs="Calibri" w:eastAsia="Calibri" w:hAnsi="Calibri"/>
          <w:sz w:val="21"/>
          <w:szCs w:val="21"/>
        </w:rPr>
        <w:t xml:space="preserve">. Se adaptan; no se copian a ciegas.</w:t>
      </w:r>
    </w:p>
    <w:p>
      <w:pPr>
        <w:pStyle w:val="ListParagraph"/>
        <w:numPr>
          <w:ilvl w:val="0"/>
          <w:numId w:val="1"/>
        </w:numPr>
        <w:spacing w:after="70" w:line="268"/>
      </w:pPr>
      <w:r>
        <w:rPr>
          <w:rFonts w:ascii="Calibri" w:cs="Calibri" w:eastAsia="Calibri" w:hAnsi="Calibri"/>
          <w:sz w:val="21"/>
          <w:szCs w:val="21"/>
        </w:rPr>
        <w:t xml:space="preserve">Sólo hay </w:t>
      </w:r>
      <w:r>
        <w:rPr>
          <w:rFonts w:ascii="Calibri" w:cs="Calibri" w:eastAsia="Calibri" w:hAnsi="Calibri"/>
          <w:b/>
          <w:bCs/>
          <w:sz w:val="21"/>
          <w:szCs w:val="21"/>
        </w:rPr>
        <w:t xml:space="preserve">tres bloques </w:t>
      </w:r>
      <w:r>
        <w:rPr>
          <w:rFonts w:ascii="Calibri" w:cs="Calibri" w:eastAsia="Calibri" w:hAnsi="Calibri"/>
          <w:b/>
          <w:bCs/>
          <w:color w:val="2F5496"/>
          <w:sz w:val="21"/>
          <w:szCs w:val="21"/>
        </w:rPr>
        <w:t xml:space="preserve">:::pliego</w:t>
      </w:r>
      <w:r>
        <w:rPr>
          <w:rFonts w:ascii="Calibri" w:cs="Calibri" w:eastAsia="Calibri" w:hAnsi="Calibri"/>
          <w:sz w:val="21"/>
          <w:szCs w:val="21"/>
        </w:rPr>
        <w:t xml:space="preserve"> en toda la Parte V, y son los tres únicos textos de esta Parte que sí van dentro de un pliego: el método de cálculo del valor estimado (V.4.10), la identificación de la versión del catálogo aplicada (V.8.4) y la transcripción del Anexo V con cierre de versión (V.8.5).</w:t>
      </w:r>
    </w:p>
    <w:p>
      <w:pPr>
        <w:pStyle w:val="Heading3"/>
        <w:keepNext/>
        <w:spacing w:after="140" w:before="320"/>
      </w:pPr>
      <w:r>
        <w:rPr>
          <w:rFonts w:ascii="Georgia" w:cs="Georgia" w:eastAsia="Georgia" w:hAnsi="Georgia"/>
          <w:b/>
          <w:bCs/>
          <w:color w:val="2F5496"/>
          <w:sz w:val="22"/>
          <w:szCs w:val="22"/>
        </w:rPr>
        <w:t xml:space="preserve">V.1.2 · Los actores, escritos de forma reutilizable</w:t>
      </w:r>
    </w:p>
    <w:p>
      <w:pPr>
        <w:spacing w:after="140" w:line="276"/>
      </w:pPr>
      <w:r>
        <w:rPr>
          <w:rFonts w:ascii="Calibri" w:cs="Calibri" w:eastAsia="Calibri" w:hAnsi="Calibri"/>
          <w:sz w:val="21"/>
          <w:szCs w:val="21"/>
        </w:rPr>
        <w:t xml:space="preserve">Este documento se publica para que lo reutilice cualquier administración española. Los órganos se nombran, por tanto, por su función, y Pozuelo aparece entre paréntesis como ejemplo. Quien copie el documento sustituye el paréntesis y no toca el resto.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en el circuito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 reutilizable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Pozuelo de Alarcón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necesidad y aprueba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(DA 2.ª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Junta de Gobierno Local, cualquiera que sea el importe y la duración (DA 2.ª.4 LCSP, por ser municipio de gran población del Título X LBRL)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Aprueba los pliegos de cláusulas administrativas </w:t>
            </w:r>
            <w:r>
              <w:rPr>
                <w:rFonts w:ascii="Calibri" w:cs="Calibri" w:eastAsia="Calibri" w:hAnsi="Calibri"/>
                <w:b/>
                <w:bCs/>
                <w:sz w:val="18"/>
                <w:szCs w:val="18"/>
              </w:rPr>
              <w:t xml:space="preserve">generales</w:t>
            </w:r>
            <w:r>
              <w:rPr>
                <w:rFonts w:ascii="Calibri" w:cs="Calibri" w:eastAsia="Calibri" w:hAnsi="Calibri"/>
                <w:b w:val="false"/>
                <w:bCs w:val="false"/>
                <w:sz w:val="18"/>
                <w:szCs w:val="18"/>
              </w:rPr>
              <w:t xml:space="preserve">, si se aprobaran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previo dictamen del órgano consultivo autonómico o del Consejo de Estado (arts. 121.2 LCSP y DA 2.ª.4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 </w:t>
            </w:r>
            <w:r>
              <w:rPr>
                <w:rFonts w:ascii="Calibri" w:cs="Calibri" w:eastAsia="Calibri" w:hAnsi="Calibri"/>
                <w:b/>
                <w:bCs/>
                <w:sz w:val="18"/>
                <w:szCs w:val="18"/>
              </w:rPr>
              <w:t xml:space="preserve">véase la advertencia de V.8.2: el catálogo NO se aprueba como pliego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normativa o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(informática y seguridad, protección de datos, órgano interventor) o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Concejalía de Administración Digital, Calidad e Innovación; Intervención General; órgano de gobierno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 la información y los servicios a efectos del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información y de los servicios (art. 41.1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que designe la política de seguridad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seguridad (art. 41.2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Ídem</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Emite el informe jurídico preceptivo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al que corresponda el informe jurídico preceptivo: el titular de la Asesoría Jurídica en municipios acogidos al Título X LBRL; el Secretario en el régimen común</w:t>
            </w:r>
            <w:r>
              <w:rPr>
                <w:rFonts w:ascii="Calibri" w:cs="Calibri" w:eastAsia="Calibri" w:hAnsi="Calibri"/>
                <w:b w:val="false"/>
                <w:bCs w:val="false"/>
                <w:sz w:val="18"/>
                <w:szCs w:val="18"/>
              </w:rPr>
              <w:t xml:space="preserve"> (DA 3.ª.8 LCSP y DA 8.ª.e LBRL)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 de la Asesoría Jurídica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 de la entidad local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Supervisa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designado en el PCAP</w:t>
            </w:r>
          </w:p>
        </w:tc>
      </w:tr>
    </w:tbl>
    <w:p>
      <w:pPr>
        <w:spacing w:after="200"/>
      </w:pPr>
    </w:p>
    <w:p>
      <w:pPr>
        <w:spacing w:after="140" w:line="276"/>
      </w:pPr>
      <w:r>
        <w:rPr>
          <w:rFonts w:ascii="Calibri" w:cs="Calibri" w:eastAsia="Calibri" w:hAnsi="Calibri"/>
          <w:sz w:val="21"/>
          <w:szCs w:val="21"/>
        </w:rPr>
        <w:t xml:space="preserve">Dos precisiones que evitan errores caros:</w:t>
      </w:r>
    </w:p>
    <w:p>
      <w:pPr>
        <w:pStyle w:val="ListParagraph"/>
        <w:numPr>
          <w:ilvl w:val="0"/>
          <w:numId w:val="1"/>
        </w:numPr>
        <w:spacing w:after="70" w:line="268"/>
      </w:pPr>
      <w:r>
        <w:rPr>
          <w:rFonts w:ascii="Calibri" w:cs="Calibri" w:eastAsia="Calibri" w:hAnsi="Calibri"/>
          <w:b/>
          <w:bCs/>
          <w:sz w:val="21"/>
          <w:szCs w:val="21"/>
        </w:rPr>
        <w:t xml:space="preserve">No es la Secretaría.</w:t>
      </w:r>
      <w:r>
        <w:rPr>
          <w:rFonts w:ascii="Calibri" w:cs="Calibri" w:eastAsia="Calibri" w:hAnsi="Calibri"/>
          <w:sz w:val="21"/>
          <w:szCs w:val="21"/>
        </w:rPr>
        <w:t xml:space="preserve"> En los municipios acogidos al Título X de la Ley 7/1985, la disposición adicional octava, letra e), de esa Ley dispone que «las funciones que la legislación sobre contratos de las Administraciones públicas asigna a los secretarios de los ayuntamientos, corresponderán al titular de asesoría jurídica, salvo las de formalización de los contratos en documento administrativo». La DA 3.ª.8 LCSP lo reitera en su párrafo segundo. Todo informe jurídico de esta Parte se dirige, en Pozuelo, a la Asesoría Jurídica. Un ayuntamiento de régimen común lo dirige a su Secretaría, y sólo tiene que cambiar esa palabra.</w:t>
      </w:r>
    </w:p>
    <w:p>
      <w:pPr>
        <w:pStyle w:val="ListParagraph"/>
        <w:numPr>
          <w:ilvl w:val="0"/>
          <w:numId w:val="1"/>
        </w:numPr>
        <w:spacing w:after="70" w:line="268"/>
      </w:pPr>
      <w:r>
        <w:rPr>
          <w:rFonts w:ascii="Calibri" w:cs="Calibri" w:eastAsia="Calibri" w:hAnsi="Calibri"/>
          <w:b/>
          <w:bCs/>
          <w:sz w:val="21"/>
          <w:szCs w:val="21"/>
        </w:rPr>
        <w:t xml:space="preserve">La formalización sigue teniendo su propio circuito.</w:t>
      </w:r>
      <w:r>
        <w:rPr>
          <w:rFonts w:ascii="Calibri" w:cs="Calibri" w:eastAsia="Calibri" w:hAnsi="Calibri"/>
          <w:sz w:val="21"/>
          <w:szCs w:val="21"/>
        </w:rPr>
        <w:t xml:space="preserve"> La excepción de la DA 8.ª.e) LBRL alcanza a la formalización del contrato en documento administrativo, que no cambia de manos.</w:t>
      </w:r>
    </w:p>
    <w:p>
      <w:pPr>
        <w:pStyle w:val="Heading3"/>
        <w:keepNext/>
        <w:spacing w:after="140" w:before="320"/>
      </w:pPr>
      <w:r>
        <w:rPr>
          <w:rFonts w:ascii="Georgia" w:cs="Georgia" w:eastAsia="Georgia" w:hAnsi="Georgia"/>
          <w:b/>
          <w:bCs/>
          <w:color w:val="2F5496"/>
          <w:sz w:val="22"/>
          <w:szCs w:val="22"/>
        </w:rPr>
        <w:t xml:space="preserve">V.1.3 · Las cinco reglas de cierre de esta Parte</w:t>
      </w:r>
    </w:p>
    <w:p>
      <w:pPr>
        <w:pStyle w:val="ListParagraph"/>
        <w:numPr>
          <w:ilvl w:val="0"/>
          <w:numId w:val="2"/>
        </w:numPr>
        <w:spacing w:after="70" w:line="268"/>
      </w:pP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no crea la necesidad: la documenta y la traduce en cláusulas. Rellenarla antes es rellenar el resultado antes que la causa, y produce exactamente la justificación estereotipada que anula expedientes.</w:t>
      </w:r>
    </w:p>
    <w:p>
      <w:pPr>
        <w:pStyle w:val="ListParagraph"/>
        <w:numPr>
          <w:ilvl w:val="0"/>
          <w:numId w:val="2"/>
        </w:numPr>
        <w:spacing w:after="70" w:line="268"/>
      </w:pPr>
      <w:r>
        <w:rPr>
          <w:rFonts w:ascii="Calibri" w:cs="Calibri" w:eastAsia="Calibri" w:hAnsi="Calibri"/>
          <w:b/>
          <w:bCs/>
          <w:sz w:val="21"/>
          <w:szCs w:val="21"/>
        </w:rPr>
        <w:t xml:space="preserve">Lo que no está en el expediente antes de publicar, no existe.</w:t>
      </w:r>
      <w:r>
        <w:rPr>
          <w:rFonts w:ascii="Calibri" w:cs="Calibri" w:eastAsia="Calibri" w:hAnsi="Calibri"/>
          <w:sz w:val="21"/>
          <w:szCs w:val="21"/>
        </w:rPr>
        <w:t xml:space="preserve"> No se puede justificar en sede de recurso lo que la memoria no dijo (V.5.6).</w:t>
      </w:r>
    </w:p>
    <w:p>
      <w:pPr>
        <w:pStyle w:val="ListParagraph"/>
        <w:numPr>
          <w:ilvl w:val="0"/>
          <w:numId w:val="2"/>
        </w:numPr>
        <w:spacing w:after="70" w:line="268"/>
      </w:pPr>
      <w:r>
        <w:rPr>
          <w:rFonts w:ascii="Calibri" w:cs="Calibri" w:eastAsia="Calibri" w:hAnsi="Calibri"/>
          <w:b/>
          <w:bCs/>
          <w:sz w:val="21"/>
          <w:szCs w:val="21"/>
        </w:rPr>
        <w:t xml:space="preserve">Se escribe sabiendo que se publica.</w:t>
      </w:r>
      <w:r>
        <w:rPr>
          <w:rFonts w:ascii="Calibri" w:cs="Calibri" w:eastAsia="Calibri" w:hAnsi="Calibri"/>
          <w:sz w:val="21"/>
          <w:szCs w:val="21"/>
        </w:rPr>
        <w:t xml:space="preserve"> La motivación de la necesidad y la memoria justificativa son documento público en el perfil de contratante desde el primer día (V.3).</w:t>
      </w:r>
    </w:p>
    <w:p>
      <w:pPr>
        <w:pStyle w:val="ListParagraph"/>
        <w:numPr>
          <w:ilvl w:val="0"/>
          <w:numId w:val="2"/>
        </w:numPr>
        <w:spacing w:after="70" w:line="268"/>
      </w:pPr>
      <w:r>
        <w:rPr>
          <w:rFonts w:ascii="Calibri" w:cs="Calibri" w:eastAsia="Calibri" w:hAnsi="Calibri"/>
          <w:b/>
          <w:bCs/>
          <w:sz w:val="21"/>
          <w:szCs w:val="21"/>
        </w:rPr>
        <w:t xml:space="preserve">Ninguna cláusula entra si su verificación no tiene actor municipal designado y periodicidad.</w:t>
      </w:r>
      <w:r>
        <w:rPr>
          <w:rFonts w:ascii="Calibri" w:cs="Calibri" w:eastAsia="Calibri" w:hAnsi="Calibri"/>
          <w:sz w:val="21"/>
          <w:szCs w:val="21"/>
        </w:rPr>
        <w:t xml:space="preserve"> La regla se enuncia en la Parte I, §7.9, y se cuantifica una sola vez en ADM-4·v3, apartado 5. Aquí sólo se aplica.</w:t>
      </w:r>
    </w:p>
    <w:p>
      <w:pPr>
        <w:pStyle w:val="ListParagraph"/>
        <w:numPr>
          <w:ilvl w:val="0"/>
          <w:numId w:val="2"/>
        </w:numPr>
        <w:spacing w:after="70" w:line="268"/>
      </w:pPr>
      <w:r>
        <w:rPr>
          <w:rFonts w:ascii="Calibri" w:cs="Calibri" w:eastAsia="Calibri" w:hAnsi="Calibri"/>
          <w:b/>
          <w:bCs/>
          <w:sz w:val="21"/>
          <w:szCs w:val="21"/>
        </w:rPr>
        <w:t xml:space="preserve">La carpeta de defensa se prepara antes de publicar, no después del recurso.</w:t>
      </w:r>
      <w:r>
        <w:rPr>
          <w:rFonts w:ascii="Calibri" w:cs="Calibri" w:eastAsia="Calibri" w:hAnsi="Calibri"/>
          <w:sz w:val="21"/>
          <w:szCs w:val="21"/>
        </w:rPr>
        <w:t xml:space="preserve"> El plazo para remitir el expediente con informe es de dos días hábiles (art. 56.2 LCSP). Véase V.6.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V.2 · El circuito completo, paso a paso</w:t>
      </w:r>
    </w:p>
    <w:p>
      <w:pPr>
        <w:pStyle w:val="Heading3"/>
        <w:keepNext/>
        <w:spacing w:after="140" w:before="320"/>
      </w:pPr>
      <w:r>
        <w:rPr>
          <w:rFonts w:ascii="Georgia" w:cs="Georgia" w:eastAsia="Georgia" w:hAnsi="Georgia"/>
          <w:b/>
          <w:bCs/>
          <w:color w:val="2F5496"/>
          <w:sz w:val="22"/>
          <w:szCs w:val="22"/>
        </w:rPr>
        <w:t xml:space="preserve">V.2.1 · El orden y sus razones</w:t>
      </w:r>
    </w:p>
    <w:p>
      <w:pPr>
        <w:spacing w:after="140" w:line="276"/>
      </w:pPr>
      <w:r>
        <w:rPr>
          <w:rFonts w:ascii="Calibri" w:cs="Calibri" w:eastAsia="Calibri" w:hAnsi="Calibri"/>
          <w:sz w:val="21"/>
          <w:szCs w:val="21"/>
        </w:rPr>
        <w:t xml:space="preserve">El circuito tiene tres tramos. El primero decide </w:t>
      </w:r>
      <w:r>
        <w:rPr>
          <w:rFonts w:ascii="Calibri" w:cs="Calibri" w:eastAsia="Calibri" w:hAnsi="Calibri"/>
          <w:b/>
          <w:bCs/>
          <w:sz w:val="21"/>
          <w:szCs w:val="21"/>
        </w:rPr>
        <w:t xml:space="preserve">si se contrata y qué</w:t>
      </w:r>
      <w:r>
        <w:rPr>
          <w:rFonts w:ascii="Calibri" w:cs="Calibri" w:eastAsia="Calibri" w:hAnsi="Calibri"/>
          <w:sz w:val="21"/>
          <w:szCs w:val="21"/>
        </w:rPr>
        <w:t xml:space="preserve">; el segundo decide </w:t>
      </w:r>
      <w:r>
        <w:rPr>
          <w:rFonts w:ascii="Calibri" w:cs="Calibri" w:eastAsia="Calibri" w:hAnsi="Calibri"/>
          <w:b/>
          <w:bCs/>
          <w:sz w:val="21"/>
          <w:szCs w:val="21"/>
        </w:rPr>
        <w:t xml:space="preserve">cómo</w:t>
      </w:r>
      <w:r>
        <w:rPr>
          <w:rFonts w:ascii="Calibri" w:cs="Calibri" w:eastAsia="Calibri" w:hAnsi="Calibri"/>
          <w:sz w:val="21"/>
          <w:szCs w:val="21"/>
        </w:rPr>
        <w:t xml:space="preserve">; el tercero </w:t>
      </w:r>
      <w:r>
        <w:rPr>
          <w:rFonts w:ascii="Calibri" w:cs="Calibri" w:eastAsia="Calibri" w:hAnsi="Calibri"/>
          <w:b/>
          <w:bCs/>
          <w:sz w:val="21"/>
          <w:szCs w:val="21"/>
        </w:rPr>
        <w:t xml:space="preserve">valida y publica</w:t>
      </w:r>
      <w:r>
        <w:rPr>
          <w:rFonts w:ascii="Calibri" w:cs="Calibri" w:eastAsia="Calibri" w:hAnsi="Calibri"/>
          <w:sz w:val="21"/>
          <w:szCs w:val="21"/>
        </w:rPr>
        <w:t xml:space="preserve">. Los pasos dentro de un tramo pueden solaparse; los tramos, 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A · Qué se necesita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identifica la necesidad y se determina con precisión su naturaleza y extensión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Informe/propuesta de inicio con motivación de la necesidad (arts. 28.1 y 116.1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gestor o del servicio competente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116.1)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consulta el directorio general de aplicaciones y se decide si se reutiliza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y, en su caso, justificación de no reutilización en términos de eficiencia (art.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conformidad del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Recomendado: sí, como anexo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recorta el catálogo al contrato: qué cláusulas aplican y por qué</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 con doble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(necesidad funcional) / servicio competente o remisión al acuerdo de gobierno (necesidad normativa o institucional)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se incorpora a la memoria, que 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valora la información y los servicios y se determina la categoría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y análisis de riesgos (arts. 40, 41 y 28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Responsables de la información y del servicio; categoría,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y su motivación, sí, 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procede, se consulta al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previo e informe de consultas preliminares (art.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obligatoriamente</w:t>
            </w:r>
            <w:r>
              <w:rPr>
                <w:rFonts w:ascii="Calibri" w:cs="Calibri" w:eastAsia="Calibri" w:hAnsi="Calibri"/>
                <w:b w:val="false"/>
                <w:bCs w:val="false"/>
                <w:sz w:val="18"/>
                <w:szCs w:val="18"/>
              </w:rPr>
              <w:t xml:space="preserve">, con la misma publicidad que los pliegos (art. 115.3)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la carga estimada de verificación del contrato supera el umbral del §7.9.2 de la Parte I, se recaba la conformidad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(Parte I, §7.9.2)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verificador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consta en 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B · Cómo se contrata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calcula el valor estimado y se comprueban los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(arts.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 y del PCAP (art. 101.5)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elige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 (art. 116.4.a)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w:t>
            </w:r>
            <w:r>
              <w:rPr>
                <w:rFonts w:ascii="Calibri" w:cs="Calibri" w:eastAsia="Calibri" w:hAnsi="Calibri"/>
                <w:b/>
                <w:bCs/>
                <w:sz w:val="18"/>
                <w:szCs w:val="18"/>
              </w:rPr>
              <w:t xml:space="preserve">si el procedimiento es distinto del abierto o del restringido</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decide sobre la división en lotes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si no se divide (art. 116.4.g)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se acredita que no hay medios propios suficientes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(art. 116.4.f)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justifican solvencia, criterios de adjudicación y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 del baremo (art. 116.4.c;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declaran conflictos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del art. 64 y medidas del art.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 individualmente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medidas del art. 70, a través del expediente; la existencia de la declaración debe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redactan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servicio gestor. PCAP: contratación. Aprobación: 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proponente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C · Validación y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 (DA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en los municipios acogidos al Título X LBRL;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obligatorio; recomendable incorporarlo al expediente que se remite en caso de recurso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incluida la valoración de repercusiones en estabilidad presupuestaria y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motivado (art. 117.1)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117.1 y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del 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bl>
    <w:p>
      <w:pPr>
        <w:spacing w:after="200"/>
      </w:pPr>
    </w:p>
    <w:p>
      <w:pPr>
        <w:spacing w:after="140" w:line="276"/>
      </w:pPr>
      <w:r>
        <w:rPr>
          <w:rFonts w:ascii="Calibri" w:cs="Calibri" w:eastAsia="Calibri" w:hAnsi="Calibri"/>
          <w:sz w:val="21"/>
          <w:szCs w:val="21"/>
        </w:rPr>
        <w:t xml:space="preserve">Son </w:t>
      </w:r>
      <w:r>
        <w:rPr>
          <w:rFonts w:ascii="Calibri" w:cs="Calibri" w:eastAsia="Calibri" w:hAnsi="Calibri"/>
          <w:b/>
          <w:bCs/>
          <w:sz w:val="21"/>
          <w:szCs w:val="21"/>
        </w:rPr>
        <w:t xml:space="preserve">veinte pasos</w:t>
      </w:r>
      <w:r>
        <w:rPr>
          <w:rFonts w:ascii="Calibri" w:cs="Calibri" w:eastAsia="Calibri" w:hAnsi="Calibri"/>
          <w:sz w:val="21"/>
          <w:szCs w:val="21"/>
        </w:rPr>
        <w:t xml:space="preserve">,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PPT y el PCAP—, no doce. </w:t>
      </w:r>
      <w:r>
        <w:rPr>
          <w:rFonts w:ascii="Calibri" w:cs="Calibri" w:eastAsia="Calibri" w:hAnsi="Calibri"/>
          <w:b/>
          <w:bCs/>
          <w:sz w:val="21"/>
          <w:szCs w:val="21"/>
        </w:rPr>
        <w:t xml:space="preserve">Dieciocho de esos veintiún documentos los impone la norma</w:t>
      </w:r>
      <w:r>
        <w:rPr>
          <w:rFonts w:ascii="Calibri" w:cs="Calibri" w:eastAsia="Calibri" w:hAnsi="Calibri"/>
          <w:sz w:val="21"/>
          <w:szCs w:val="21"/>
        </w:rPr>
        <w:t xml:space="preserve"> con independencia de este catálogo; los tres restantes los añade este catálogo, y son la Ficha de Aplicabilidad (A-3), la conformidad del servicio verificador (A-6) y la carpeta de defensa (C-6). Cinco pasos son condicionales: A-2 sólo si el objeto comprende adquisición, desarrollo o mantenimiento de una aplicación; A-5 sólo si hay consulta; A-6 sólo cuando la carga estimada de verificación supere el umbral del §7.9.2; B-2 sólo si el procedimiento no es abierto ni restringido, a efectos de publicidad; B-4 sólo en contratos de servicios.</w:t>
      </w:r>
    </w:p>
    <w:p>
      <w:pPr>
        <w:spacing w:after="140" w:line="276"/>
      </w:pPr>
      <w:r>
        <w:rPr>
          <w:rFonts w:ascii="Calibri" w:cs="Calibri" w:eastAsia="Calibri" w:hAnsi="Calibri"/>
          <w:sz w:val="21"/>
          <w:szCs w:val="21"/>
        </w:rPr>
        <w:t xml:space="preserve">Este recuento es el del expediente y manda sobre cualquier otro del documento. Quedan </w:t>
      </w:r>
      <w:r>
        <w:rPr>
          <w:rFonts w:ascii="Calibri" w:cs="Calibri" w:eastAsia="Calibri" w:hAnsi="Calibri"/>
          <w:b/>
          <w:bCs/>
          <w:sz w:val="21"/>
          <w:szCs w:val="21"/>
        </w:rPr>
        <w:t xml:space="preserve">fuera</w:t>
      </w:r>
      <w:r>
        <w:rPr>
          <w:rFonts w:ascii="Calibri" w:cs="Calibri" w:eastAsia="Calibri" w:hAnsi="Calibri"/>
          <w:sz w:val="21"/>
          <w:szCs w:val="21"/>
        </w:rPr>
        <w:t xml:space="preserve"> de él, por no ser pasos de un expediente concreto, dos piezas que sí aparecen en la Parte 0, §0.5: el acuerdo anual del órgano de gobierno, que es previo a todo expediente, y la lista de comprobación de V.10, que se pasa antes de recabar el informe jurídico (C-1).</w:t>
      </w:r>
    </w:p>
    <w:p>
      <w:pPr>
        <w:pStyle w:val="Heading3"/>
        <w:keepNext/>
        <w:spacing w:after="140" w:before="320"/>
      </w:pPr>
      <w:r>
        <w:rPr>
          <w:rFonts w:ascii="Georgia" w:cs="Georgia" w:eastAsia="Georgia" w:hAnsi="Georgia"/>
          <w:b/>
          <w:bCs/>
          <w:color w:val="2F5496"/>
          <w:sz w:val="22"/>
          <w:szCs w:val="22"/>
        </w:rPr>
        <w:t xml:space="preserve">V.2.2 · Por qué el informe de necesidad va antes que la ficha</w:t>
      </w:r>
    </w:p>
    <w:p>
      <w:pPr>
        <w:spacing w:after="140" w:line="276"/>
      </w:pPr>
      <w:r>
        <w:rPr>
          <w:rFonts w:ascii="Calibri" w:cs="Calibri" w:eastAsia="Calibri" w:hAnsi="Calibri"/>
          <w:sz w:val="21"/>
          <w:szCs w:val="21"/>
        </w:rPr>
        <w:t xml:space="preserve">Porque la ficha es consecuencia de la necesidad y no al revés. El artículo 28.1 LCSP exige que «la naturaleza y extensión de las necesidades que pretenden cubrirse mediante el contrato proyectado, así como la idoneidad de su objeto y contenido para satisfacerlas […] deben ser determinadas con precisión, dejando constancia de ello en la documentación preparatoria, </w:t>
      </w:r>
      <w:r>
        <w:rPr>
          <w:rFonts w:ascii="Calibri" w:cs="Calibri" w:eastAsia="Calibri" w:hAnsi="Calibri"/>
          <w:b/>
          <w:bCs/>
          <w:sz w:val="21"/>
          <w:szCs w:val="21"/>
        </w:rPr>
        <w:t xml:space="preserve">antes de iniciar el procedimiento</w:t>
      </w:r>
      <w:r>
        <w:rPr>
          <w:rFonts w:ascii="Calibri" w:cs="Calibri" w:eastAsia="Calibri" w:hAnsi="Calibri"/>
          <w:sz w:val="21"/>
          <w:szCs w:val="21"/>
        </w:rPr>
        <w:t xml:space="preserve"> encaminado a su adjudicación». Y el artículo 116.4.e) exige justificar «la necesidad de la Administración a la que se pretende dar satisfacción mediante la contratación de las prestaciones correspondientes; y su relación con el objeto del contrato, </w:t>
      </w:r>
      <w:r>
        <w:rPr>
          <w:rFonts w:ascii="Calibri" w:cs="Calibri" w:eastAsia="Calibri" w:hAnsi="Calibri"/>
          <w:b/>
          <w:bCs/>
          <w:sz w:val="21"/>
          <w:szCs w:val="21"/>
        </w:rPr>
        <w:t xml:space="preserve">que deberá ser 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Si la ficha se rellena primero, el redactor marca casillas y después busca la necesidad que las sostenga. Eso produce una motivación construida hacia atrás, que es reconocible a simple vista y es el material con el que se ganan los recursos contra pliegos. Si el informe de necesidad se escribe primero, la ficha se limita a traducir cada necesidad ya escrita en la cláusula que la satisface, y el nexo del art. 116.4.e) queda documentado sin esfuerzo adicional.</w:t>
      </w:r>
    </w:p>
    <w:p>
      <w:pPr>
        <w:spacing w:after="140" w:line="276"/>
      </w:pPr>
      <w:r>
        <w:rPr>
          <w:rFonts w:ascii="Calibri" w:cs="Calibri" w:eastAsia="Calibri" w:hAnsi="Calibri"/>
          <w:sz w:val="21"/>
          <w:szCs w:val="21"/>
        </w:rPr>
        <w:t xml:space="preserve">Este orden coincide con el de la Parte 0, §0.4, que ya sitúa el informe de necesidad antes de la Ficha de Aplicabilidad. Conviene decir por qué, porque es el punto del circuito que con más frecuencia se invierte en la práctica: </w:t>
      </w:r>
      <w:r>
        <w:rPr>
          <w:rFonts w:ascii="Calibri" w:cs="Calibri" w:eastAsia="Calibri" w:hAnsi="Calibri"/>
          <w:b/>
          <w:bCs/>
          <w:sz w:val="21"/>
          <w:szCs w:val="21"/>
        </w:rPr>
        <w:t xml:space="preserve">el paso «informe de necesidad» precede al paso «ficha de aplicabilidad»</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V.2.3 · Quién tiene la pluma, y el punto donde nadie la tiene</w:t>
      </w:r>
    </w:p>
    <w:p>
      <w:pPr>
        <w:spacing w:after="140" w:line="276"/>
      </w:pPr>
      <w:r>
        <w:rPr>
          <w:rFonts w:ascii="Calibri" w:cs="Calibri" w:eastAsia="Calibri" w:hAnsi="Calibri"/>
          <w:sz w:val="21"/>
          <w:szCs w:val="21"/>
        </w:rPr>
        <w:t xml:space="preserve">El reparto ordinario es conocido: el PPT lo escribe el área gestora, el PCAP lo escribe contratación. El problema de este catálogo es que </w:t>
      </w:r>
      <w:r>
        <w:rPr>
          <w:rFonts w:ascii="Calibri" w:cs="Calibri" w:eastAsia="Calibri" w:hAnsi="Calibri"/>
          <w:b/>
          <w:bCs/>
          <w:sz w:val="21"/>
          <w:szCs w:val="21"/>
        </w:rPr>
        <w:t xml:space="preserve">sus cláusulas cruzan los dos documentos</w:t>
      </w:r>
      <w:r>
        <w:rPr>
          <w:rFonts w:ascii="Calibri" w:cs="Calibri" w:eastAsia="Calibri" w:hAnsi="Calibri"/>
          <w:sz w:val="21"/>
          <w:szCs w:val="21"/>
        </w:rPr>
        <w:t xml:space="preserve">: DT-0·v3 a DT-9·v3 son PPT, ADM-1·v3 a ADM-14·v3 son PCAP, y varias parejas sólo funcionan juntas (la prescripción técnica en el PPT y su penalidad en el PCAP; la obligación en el PPT y su carácter esencial en el PCAP). Si nadie coordina, aparecen los dos defectos clásicos: la obligación sin consecuencia y la penalidad sin obligación.</w:t>
      </w:r>
    </w:p>
    <w:p>
      <w:pPr>
        <w:spacing w:after="140" w:line="276"/>
      </w:pPr>
      <w:r>
        <w:rPr>
          <w:rFonts w:ascii="Calibri" w:cs="Calibri" w:eastAsia="Calibri" w:hAnsi="Calibri"/>
          <w:sz w:val="21"/>
          <w:szCs w:val="21"/>
        </w:rPr>
        <w:t xml:space="preserve">Regla operativa: </w:t>
      </w:r>
      <w:r>
        <w:rPr>
          <w:rFonts w:ascii="Calibri" w:cs="Calibri" w:eastAsia="Calibri" w:hAnsi="Calibri"/>
          <w:b/>
          <w:bCs/>
          <w:sz w:val="21"/>
          <w:szCs w:val="21"/>
        </w:rPr>
        <w:t xml:space="preserve">se designa un responsable único de la coherencia PPT-PCAP para cada expediente que use el catálogo</w:t>
      </w:r>
      <w:r>
        <w:rPr>
          <w:rFonts w:ascii="Calibri" w:cs="Calibri" w:eastAsia="Calibri" w:hAnsi="Calibri"/>
          <w:sz w:val="21"/>
          <w:szCs w:val="21"/>
        </w:rPr>
        <w:t xml:space="preserve">, antes de empezar a redactar, y se hace constar su nombre en la Ficha de Aplicabilidad. Recomendación por defecto: el técnico de contratación que redacta el PCAP, con obligación del área gestora de remitirle la Ficha firmada antes de redactar el PPT.</w:t>
      </w:r>
    </w:p>
    <w:p>
      <w:pPr>
        <w:spacing w:after="140" w:line="276"/>
      </w:pPr>
      <w:r>
        <w:rPr>
          <w:rFonts w:ascii="Calibri" w:cs="Calibri" w:eastAsia="Calibri" w:hAnsi="Calibri"/>
          <w:sz w:val="21"/>
          <w:szCs w:val="21"/>
        </w:rPr>
        <w:t xml:space="preserve">Punto de control mínimo, en una sola pasada, antes de elevar a informe jurídico:</w:t>
      </w:r>
    </w:p>
    <w:p>
      <w:pPr>
        <w:pStyle w:val="ListParagraph"/>
        <w:numPr>
          <w:ilvl w:val="0"/>
          <w:numId w:val="2"/>
        </w:numPr>
        <w:spacing w:after="70" w:line="268"/>
      </w:pPr>
      <w:r>
        <w:rPr>
          <w:rFonts w:ascii="Calibri" w:cs="Calibri" w:eastAsia="Calibri" w:hAnsi="Calibri"/>
          <w:sz w:val="21"/>
          <w:szCs w:val="21"/>
        </w:rPr>
        <w:t xml:space="preserve">Toda cláusula marcada SÍ en la ficha aparece una vez, y sólo una, en el pliego que le corresponde.</w:t>
      </w:r>
    </w:p>
    <w:p>
      <w:pPr>
        <w:pStyle w:val="ListParagraph"/>
        <w:numPr>
          <w:ilvl w:val="0"/>
          <w:numId w:val="2"/>
        </w:numPr>
        <w:spacing w:after="70" w:line="268"/>
      </w:pPr>
      <w:r>
        <w:rPr>
          <w:rFonts w:ascii="Calibri" w:cs="Calibri" w:eastAsia="Calibri" w:hAnsi="Calibri"/>
          <w:sz w:val="21"/>
          <w:szCs w:val="21"/>
        </w:rPr>
        <w:t xml:space="preserve">Toda cláusula marcada NO APLICA ha desaparecido </w:t>
      </w:r>
      <w:r>
        <w:rPr>
          <w:rFonts w:ascii="Calibri" w:cs="Calibri" w:eastAsia="Calibri" w:hAnsi="Calibri"/>
          <w:b/>
          <w:bCs/>
          <w:sz w:val="21"/>
          <w:szCs w:val="21"/>
        </w:rPr>
        <w:t xml:space="preserve">también de las menciones que arrastra</w:t>
      </w:r>
      <w:r>
        <w:rPr>
          <w:rFonts w:ascii="Calibri" w:cs="Calibri" w:eastAsia="Calibri" w:hAnsi="Calibri"/>
          <w:sz w:val="21"/>
          <w:szCs w:val="21"/>
        </w:rPr>
        <w:t xml:space="preserve">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Una cláusula borrada que sigue citada en la lista de obligaciones esenciales o en el cuadro de penalidades produce un pliego contradictorio, y la contradicción entre PCAP y PPT es un motivo de recurso acreditado (véase V.5.6).</w:t>
      </w:r>
    </w:p>
    <w:p>
      <w:pPr>
        <w:pStyle w:val="ListParagraph"/>
        <w:numPr>
          <w:ilvl w:val="0"/>
          <w:numId w:val="2"/>
        </w:numPr>
        <w:spacing w:after="70" w:line="268"/>
      </w:pPr>
      <w:r>
        <w:rPr>
          <w:rFonts w:ascii="Calibri" w:cs="Calibri" w:eastAsia="Calibri" w:hAnsi="Calibri"/>
          <w:sz w:val="21"/>
          <w:szCs w:val="21"/>
        </w:rPr>
        <w:t xml:space="preserve">Ninguna exigencia se computa a la vez como solvencia y como criterio de adjudicación, ni como prescripción obligatoria y como criterio, ni como criterio y como condición especial de ejecución.</w:t>
      </w:r>
    </w:p>
    <w:p>
      <w:pPr>
        <w:pStyle w:val="ListParagraph"/>
        <w:numPr>
          <w:ilvl w:val="0"/>
          <w:numId w:val="2"/>
        </w:numPr>
        <w:spacing w:after="70" w:line="268"/>
      </w:pPr>
      <w:r>
        <w:rPr>
          <w:rFonts w:ascii="Calibri" w:cs="Calibri" w:eastAsia="Calibri" w:hAnsi="Calibri"/>
          <w:sz w:val="21"/>
          <w:szCs w:val="21"/>
        </w:rPr>
        <w:t xml:space="preserve">Toda cláusula incorporada tiene, en la ficha, actor y periodicidad de verificación.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V.3 · Publicidad: el expediente se lee desde fuera desde el primer día</w:t>
      </w:r>
    </w:p>
    <w:p>
      <w:pPr>
        <w:spacing w:after="140" w:line="276"/>
      </w:pPr>
      <w:r>
        <w:rPr>
          <w:rFonts w:ascii="Calibri" w:cs="Calibri" w:eastAsia="Calibri" w:hAnsi="Calibri"/>
          <w:sz w:val="21"/>
          <w:szCs w:val="21"/>
        </w:rPr>
        <w:t xml:space="preserve">Este apartado corrige un error de planteamiento del diseño de la Fase 1, que trataba la Ficha de Aplicabilidad y el Informe de Necesidad como papel interno. </w:t>
      </w:r>
      <w:r>
        <w:rPr>
          <w:rFonts w:ascii="Calibri" w:cs="Calibri" w:eastAsia="Calibri" w:hAnsi="Calibri"/>
          <w:b/>
          <w:bCs/>
          <w:sz w:val="21"/>
          <w:szCs w:val="21"/>
        </w:rPr>
        <w:t xml:space="preserve">No lo son.</w:t>
      </w:r>
      <w:r>
        <w:rPr>
          <w:rFonts w:ascii="Calibri" w:cs="Calibri" w:eastAsia="Calibri" w:hAnsi="Calibri"/>
          <w:sz w:val="21"/>
          <w:szCs w:val="21"/>
        </w:rPr>
        <w:t xml:space="preserve"> La motivación de la necesidad se publica por mandato legal, y la memoria justificativa también. Todo lo que se escriba en ellos lo leerá, antes que ningún tribunal, el abogado del licitador que esté decidiendo si recurre.</w:t>
      </w:r>
    </w:p>
    <w:p>
      <w:pPr>
        <w:pStyle w:val="Heading3"/>
        <w:keepNext/>
        <w:spacing w:after="140" w:before="320"/>
      </w:pPr>
      <w:r>
        <w:rPr>
          <w:rFonts w:ascii="Georgia" w:cs="Georgia" w:eastAsia="Georgia" w:hAnsi="Georgia"/>
          <w:b/>
          <w:bCs/>
          <w:color w:val="2F5496"/>
          <w:sz w:val="22"/>
          <w:szCs w:val="22"/>
        </w:rPr>
        <w:t xml:space="preserve">V.3.1 · Qué se publica, por mandato de qué precepto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¿Publicación obligatoria?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la necesidad del contrato con la que se inicia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116.1 LCSP: el expediente «se iniciará por el órgano de contratación motivando la necesidad del contrato en los términos previstos en el artículo 28 de esta Ley y </w:t>
            </w:r>
            <w:r>
              <w:rPr>
                <w:rFonts w:ascii="Calibri" w:cs="Calibri" w:eastAsia="Calibri" w:hAnsi="Calibri"/>
                <w:b/>
                <w:bCs/>
                <w:sz w:val="18"/>
                <w:szCs w:val="18"/>
              </w:rPr>
              <w:t xml:space="preserve">que deberá ser publicado en el perfil de contratante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en contratos de servicios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utilizado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cuando se utilice un procedimiento distinto del abierto o del restringido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o documentos equivalentes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aprobación del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117.1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las consultas preliminares del mercado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las mismas obligaciones de publicidad que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115.3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Objeto de la consulta preliminar, fecha de inicio y denominación de los terceros participantes, </w:t>
            </w:r>
            <w:r>
              <w:rPr>
                <w:rFonts w:ascii="Calibri" w:cs="Calibri" w:eastAsia="Calibri" w:hAnsi="Calibri"/>
                <w:b/>
                <w:bCs/>
                <w:sz w:val="18"/>
                <w:szCs w:val="18"/>
              </w:rPr>
              <w:t xml:space="preserve">antes de iniciarla</w:t>
            </w:r>
            <w:r>
              <w:rPr>
                <w:rFonts w:ascii="Calibri" w:cs="Calibri" w:eastAsia="Calibri" w:hAnsi="Calibri"/>
                <w:b w:val="false"/>
                <w:bCs w:val="false"/>
                <w:sz w:val="18"/>
                <w:szCs w:val="18"/>
              </w:rPr>
              <w:t xml:space="preserve">; y razones de la elección de los asesores externos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Composición de la mesa de contratación y designación de los miembros del comité de expertos, con expresión del cargo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63.5 y DA 2.ª.7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 la mesa, informe de valoración de los criterios sujetos a juicio de valor y resolución de adjudicación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Interposición de recursos y eventual suspensión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último párrafo,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por sí misma; </w:t>
            </w: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porque su contenido se vuelca en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116.4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técnico, no; </w:t>
            </w:r>
            <w:r>
              <w:rPr>
                <w:rFonts w:ascii="Calibri" w:cs="Calibri" w:eastAsia="Calibri" w:hAnsi="Calibri"/>
                <w:b/>
                <w:bCs/>
                <w:sz w:val="18"/>
                <w:szCs w:val="18"/>
              </w:rPr>
              <w:t xml:space="preserve">su resultado y su motivación, sí</w:t>
            </w:r>
            <w:r>
              <w:rPr>
                <w:rFonts w:ascii="Calibri" w:cs="Calibri" w:eastAsia="Calibri" w:hAnsi="Calibri"/>
                <w:b w:val="false"/>
                <w:bCs w:val="false"/>
                <w:sz w:val="18"/>
                <w:szCs w:val="18"/>
              </w:rPr>
              <w:t xml:space="preserve">, a través de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116.4 LCSP y 2.3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crédito, informe de fiscalización,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Condiciones de la publicación que conviene tener presentes: el acceso al perfil es libre y no requiere identificación previa; la información se publica en formatos abiertos y reutilizables; permanece accesible </w:t>
      </w:r>
      <w:r>
        <w:rPr>
          <w:rFonts w:ascii="Calibri" w:cs="Calibri" w:eastAsia="Calibri" w:hAnsi="Calibri"/>
          <w:b/>
          <w:bCs/>
          <w:sz w:val="21"/>
          <w:szCs w:val="21"/>
        </w:rPr>
        <w:t xml:space="preserve">no menos de cinco años</w:t>
      </w:r>
      <w:r>
        <w:rPr>
          <w:rFonts w:ascii="Calibri" w:cs="Calibri" w:eastAsia="Calibri" w:hAnsi="Calibri"/>
          <w:sz w:val="21"/>
          <w:szCs w:val="21"/>
        </w:rPr>
        <w:t xml:space="preserve">; y el sistema debe contar con un dispositivo que acredite fehacientemente el momento de inicio de la difusión pública (art. 63.1 y 63.7 LCSP). Ese último dato no es decorativo: de él depende el cómputo del plazo de recurso contra los pliegos (V.5.3).</w:t>
      </w:r>
    </w:p>
    <w:p>
      <w:pPr>
        <w:spacing w:after="140" w:line="276"/>
      </w:pPr>
      <w:r>
        <w:rPr>
          <w:rFonts w:ascii="Calibri" w:cs="Calibri" w:eastAsia="Calibri" w:hAnsi="Calibri"/>
          <w:sz w:val="21"/>
          <w:szCs w:val="21"/>
        </w:rPr>
        <w:t xml:space="preserve">Puede excluirse de publicación determinada información en los supuestos del art. 154.7 LCSP, pero </w:t>
      </w:r>
      <w:r>
        <w:rPr>
          <w:rFonts w:ascii="Calibri" w:cs="Calibri" w:eastAsia="Calibri" w:hAnsi="Calibri"/>
          <w:b/>
          <w:bCs/>
          <w:sz w:val="21"/>
          <w:szCs w:val="21"/>
        </w:rPr>
        <w:t xml:space="preserve">cada exclusión debe justificarse en el expediente</w:t>
      </w:r>
      <w:r>
        <w:rPr>
          <w:rFonts w:ascii="Calibri" w:cs="Calibri" w:eastAsia="Calibri" w:hAnsi="Calibri"/>
          <w:sz w:val="21"/>
          <w:szCs w:val="21"/>
        </w:rPr>
        <w:t xml:space="preserve"> (art. 63.8 LCSP). La confidencialidad no es una casilla: es una decisión motivada.</w:t>
      </w:r>
    </w:p>
    <w:p>
      <w:pPr>
        <w:pStyle w:val="Heading3"/>
        <w:keepNext/>
        <w:spacing w:after="140" w:before="320"/>
      </w:pPr>
      <w:r>
        <w:rPr>
          <w:rFonts w:ascii="Georgia" w:cs="Georgia" w:eastAsia="Georgia" w:hAnsi="Georgia"/>
          <w:b/>
          <w:bCs/>
          <w:color w:val="2F5496"/>
          <w:sz w:val="22"/>
          <w:szCs w:val="22"/>
        </w:rPr>
        <w:t xml:space="preserve">V.3.2 · Siete reglas de redacción para documentos que nacen públicos</w:t>
      </w:r>
    </w:p>
    <w:p>
      <w:pPr>
        <w:pStyle w:val="ListParagraph"/>
        <w:numPr>
          <w:ilvl w:val="0"/>
          <w:numId w:val="2"/>
        </w:numPr>
        <w:spacing w:after="70" w:line="268"/>
      </w:pPr>
      <w:r>
        <w:rPr>
          <w:rFonts w:ascii="Calibri" w:cs="Calibri" w:eastAsia="Calibri" w:hAnsi="Calibri"/>
          <w:b/>
          <w:bCs/>
          <w:sz w:val="21"/>
          <w:szCs w:val="21"/>
        </w:rPr>
        <w:t xml:space="preserve">Nada de justificación circular.</w:t>
      </w:r>
      <w:r>
        <w:rPr>
          <w:rFonts w:ascii="Calibri" w:cs="Calibri" w:eastAsia="Calibri" w:hAnsi="Calibri"/>
          <w:sz w:val="21"/>
          <w:szCs w:val="21"/>
        </w:rPr>
        <w:t xml:space="preserve"> «Se exige X porque el catálogo lo prevé» no es una motivación. La motivación es la necesidad municipal concreta; el catálogo es sólo el instrumento que la traduce.</w:t>
      </w:r>
    </w:p>
    <w:p>
      <w:pPr>
        <w:pStyle w:val="ListParagraph"/>
        <w:numPr>
          <w:ilvl w:val="0"/>
          <w:numId w:val="2"/>
        </w:numPr>
        <w:spacing w:after="70" w:line="268"/>
      </w:pPr>
      <w:r>
        <w:rPr>
          <w:rFonts w:ascii="Calibri" w:cs="Calibri" w:eastAsia="Calibri" w:hAnsi="Calibri"/>
          <w:b/>
          <w:bCs/>
          <w:sz w:val="21"/>
          <w:szCs w:val="21"/>
        </w:rPr>
        <w:t xml:space="preserve">Una necesidad, una norma o un acuerdo, una cláusula.</w:t>
      </w:r>
      <w:r>
        <w:rPr>
          <w:rFonts w:ascii="Calibri" w:cs="Calibri" w:eastAsia="Calibri" w:hAnsi="Calibri"/>
          <w:sz w:val="21"/>
          <w:szCs w:val="21"/>
        </w:rPr>
        <w:t xml:space="preserve"> Si una exigencia no puede escribirse en esa forma, no entra.</w:t>
      </w:r>
    </w:p>
    <w:p>
      <w:pPr>
        <w:pStyle w:val="ListParagraph"/>
        <w:numPr>
          <w:ilvl w:val="0"/>
          <w:numId w:val="2"/>
        </w:numPr>
        <w:spacing w:after="70" w:line="268"/>
      </w:pPr>
      <w:r>
        <w:rPr>
          <w:rFonts w:ascii="Calibri" w:cs="Calibri" w:eastAsia="Calibri" w:hAnsi="Calibri"/>
          <w:b/>
          <w:bCs/>
          <w:sz w:val="21"/>
          <w:szCs w:val="21"/>
        </w:rPr>
        <w:t xml:space="preserve">Nada de adjetivos.</w:t>
      </w:r>
      <w:r>
        <w:rPr>
          <w:rFonts w:ascii="Calibri" w:cs="Calibri" w:eastAsia="Calibri" w:hAnsi="Calibri"/>
          <w:sz w:val="21"/>
          <w:szCs w:val="21"/>
        </w:rPr>
        <w:t xml:space="preserve"> «Puntero», «de última generación», «avanzado» no significan nada en un procedimiento contradictorio y sí sugieren que se está describiendo un producto.</w:t>
      </w:r>
    </w:p>
    <w:p>
      <w:pPr>
        <w:pStyle w:val="ListParagraph"/>
        <w:numPr>
          <w:ilvl w:val="0"/>
          <w:numId w:val="2"/>
        </w:numPr>
        <w:spacing w:after="70" w:line="268"/>
      </w:pPr>
      <w:r>
        <w:rPr>
          <w:rFonts w:ascii="Calibri" w:cs="Calibri" w:eastAsia="Calibri" w:hAnsi="Calibri"/>
          <w:b/>
          <w:bCs/>
          <w:sz w:val="21"/>
          <w:szCs w:val="21"/>
        </w:rPr>
        <w:t xml:space="preserve">Ni una sola marca, producto, protocolo o red citados sin su formulación funcional y sin la admisión de equivalentes</w:t>
      </w:r>
      <w:r>
        <w:rPr>
          <w:rFonts w:ascii="Calibri" w:cs="Calibri" w:eastAsia="Calibri" w:hAnsi="Calibri"/>
          <w:sz w:val="21"/>
          <w:szCs w:val="21"/>
        </w:rPr>
        <w:t xml:space="preserve"> (regla de prevalencia funcional, Parte I, §7).</w:t>
      </w:r>
    </w:p>
    <w:p>
      <w:pPr>
        <w:pStyle w:val="ListParagraph"/>
        <w:numPr>
          <w:ilvl w:val="0"/>
          <w:numId w:val="2"/>
        </w:numPr>
        <w:spacing w:after="70" w:line="268"/>
      </w:pPr>
      <w:r>
        <w:rPr>
          <w:rFonts w:ascii="Calibri" w:cs="Calibri" w:eastAsia="Calibri" w:hAnsi="Calibri"/>
          <w:b/>
          <w:bCs/>
          <w:sz w:val="21"/>
          <w:szCs w:val="21"/>
        </w:rPr>
        <w:t xml:space="preserve">Cifras, no impresiones.</w:t>
      </w:r>
      <w:r>
        <w:rPr>
          <w:rFonts w:ascii="Calibri" w:cs="Calibri" w:eastAsia="Calibri" w:hAnsi="Calibri"/>
          <w:sz w:val="21"/>
          <w:szCs w:val="21"/>
        </w:rPr>
        <w:t xml:space="preserve"> Si se afirma que hay concurrencia, se dice cuántos operadores se identificaron y de dónde salió el dato. Si no se sabe, se hace la consulta preliminar (V.4.13) o no se afirma.</w:t>
      </w:r>
    </w:p>
    <w:p>
      <w:pPr>
        <w:pStyle w:val="ListParagraph"/>
        <w:numPr>
          <w:ilvl w:val="0"/>
          <w:numId w:val="2"/>
        </w:numPr>
        <w:spacing w:after="70" w:line="268"/>
      </w:pPr>
      <w:r>
        <w:rPr>
          <w:rFonts w:ascii="Calibri" w:cs="Calibri" w:eastAsia="Calibri" w:hAnsi="Calibri"/>
          <w:b/>
          <w:bCs/>
          <w:sz w:val="21"/>
          <w:szCs w:val="21"/>
        </w:rPr>
        <w:t xml:space="preserve">No se copia el párrafo del expediente anterior.</w:t>
      </w:r>
      <w:r>
        <w:rPr>
          <w:rFonts w:ascii="Calibri" w:cs="Calibri" w:eastAsia="Calibri" w:hAnsi="Calibri"/>
          <w:sz w:val="21"/>
          <w:szCs w:val="21"/>
        </w:rPr>
        <w:t xml:space="preserve"> La motivación repetida literalmente en varios expedientes es la prueba documental de la motivación estereotipada, y es trivial de detectar cuando todos los expedientes están publicados en el mismo perfil.</w:t>
      </w:r>
    </w:p>
    <w:p>
      <w:pPr>
        <w:pStyle w:val="ListParagraph"/>
        <w:numPr>
          <w:ilvl w:val="0"/>
          <w:numId w:val="2"/>
        </w:numPr>
        <w:spacing w:after="70" w:line="268"/>
      </w:pPr>
      <w:r>
        <w:rPr>
          <w:rFonts w:ascii="Calibri" w:cs="Calibri" w:eastAsia="Calibri" w:hAnsi="Calibri"/>
          <w:b/>
          <w:bCs/>
          <w:sz w:val="21"/>
          <w:szCs w:val="21"/>
        </w:rPr>
        <w:t xml:space="preserve">Se escribe pensando en el párrafo que el recurrente citará.</w:t>
      </w:r>
      <w:r>
        <w:rPr>
          <w:rFonts w:ascii="Calibri" w:cs="Calibri" w:eastAsia="Calibri" w:hAnsi="Calibri"/>
          <w:sz w:val="21"/>
          <w:szCs w:val="21"/>
        </w:rPr>
        <w:t xml:space="preserve"> Antes de firmar, léase el documento buscando la frase que un abogado subrayaría. Si existe, reescríbase antes de publicar, porque después no se puede (V.5.6).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V.4 · Los documentos del expediente, uno por uno</w:t>
      </w:r>
    </w:p>
    <w:p>
      <w:pPr>
        <w:spacing w:after="140" w:line="276"/>
      </w:pPr>
      <w:r>
        <w:rPr>
          <w:rFonts w:ascii="Calibri" w:cs="Calibri" w:eastAsia="Calibri" w:hAnsi="Calibri"/>
          <w:sz w:val="21"/>
          <w:szCs w:val="21"/>
        </w:rPr>
        <w:t xml:space="preserve">Cada documento se describe con el mismo esquema: qué es, precepto, quién lo firma, momento, publicidad, contenido mínimo y el error que anula.</w:t>
      </w:r>
    </w:p>
    <w:p>
      <w:pPr>
        <w:pStyle w:val="Heading3"/>
        <w:keepNext/>
        <w:spacing w:after="140" w:before="320"/>
      </w:pPr>
      <w:r>
        <w:rPr>
          <w:rFonts w:ascii="Georgia" w:cs="Georgia" w:eastAsia="Georgia" w:hAnsi="Georgia"/>
          <w:b/>
          <w:bCs/>
          <w:color w:val="2F5496"/>
          <w:sz w:val="22"/>
          <w:szCs w:val="22"/>
        </w:rPr>
        <w:t xml:space="preserve">V.4.1 · Informe de necesidad y motivación del inicio del expediente</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28.1 y 116.1 LCSP, en relación con el art. 116.4.e).</w:t>
      </w:r>
    </w:p>
    <w:p>
      <w:pPr>
        <w:spacing w:after="140" w:line="276"/>
      </w:pPr>
      <w:r>
        <w:rPr>
          <w:rFonts w:ascii="Calibri" w:cs="Calibri" w:eastAsia="Calibri" w:hAnsi="Calibri"/>
          <w:b/>
          <w:bCs/>
          <w:sz w:val="21"/>
          <w:szCs w:val="21"/>
        </w:rPr>
        <w:t xml:space="preserve">Quién lo firma.</w:t>
      </w:r>
      <w:r>
        <w:rPr>
          <w:rFonts w:ascii="Calibri" w:cs="Calibri" w:eastAsia="Calibri" w:hAnsi="Calibri"/>
          <w:sz w:val="21"/>
          <w:szCs w:val="21"/>
        </w:rPr>
        <w:t xml:space="preserve"> El órgano de contratación inicia el expediente. La propuesta y la parte técnica las suscribe quien tenga la necesidad: el servicio gestor cuando la necesidad es funcional; el servicio competente por razón de la materia cuando la necesidad es normativa (seguridad de la información, protección de datos, control interno); y se remite al acuerdo del órgano de gobierno cuando la necesidad es institucional. Véase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El primero. Antes de la ficha, antes del pliego, antes de cualquier contacto con el mercado que no sea una consulta preliminar formalizada.</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 (art. 116.1).</w:t>
      </w:r>
    </w:p>
    <w:p>
      <w:pPr>
        <w:spacing w:after="140" w:line="276"/>
      </w:pPr>
      <w:r>
        <w:rPr>
          <w:rFonts w:ascii="Calibri" w:cs="Calibri" w:eastAsia="Calibri" w:hAnsi="Calibri"/>
          <w:b/>
          <w:bCs/>
          <w:sz w:val="21"/>
          <w:szCs w:val="21"/>
        </w:rPr>
        <w:t xml:space="preserve">Contenido mínimo.</w:t>
      </w:r>
    </w:p>
    <w:p>
      <w:pPr>
        <w:pStyle w:val="ListParagraph"/>
        <w:numPr>
          <w:ilvl w:val="0"/>
          <w:numId w:val="2"/>
        </w:numPr>
        <w:spacing w:after="70" w:line="268"/>
      </w:pPr>
      <w:r>
        <w:rPr>
          <w:rFonts w:ascii="Calibri" w:cs="Calibri" w:eastAsia="Calibri" w:hAnsi="Calibri"/>
          <w:sz w:val="21"/>
          <w:szCs w:val="21"/>
        </w:rPr>
        <w:t xml:space="preserve">Objeto proyectado, en términos funcionales.</w:t>
      </w:r>
    </w:p>
    <w:p>
      <w:pPr>
        <w:pStyle w:val="ListParagraph"/>
        <w:numPr>
          <w:ilvl w:val="0"/>
          <w:numId w:val="2"/>
        </w:numPr>
        <w:spacing w:after="70" w:line="268"/>
      </w:pPr>
      <w:r>
        <w:rPr>
          <w:rFonts w:ascii="Calibri" w:cs="Calibri" w:eastAsia="Calibri" w:hAnsi="Calibri"/>
          <w:sz w:val="21"/>
          <w:szCs w:val="21"/>
        </w:rPr>
        <w:t xml:space="preserve">Naturaleza y extensión de la necesidad, determinada con precisión (art. 28.1). No basta con enunciarla: hay que dimensionarla.</w:t>
      </w:r>
    </w:p>
    <w:p>
      <w:pPr>
        <w:pStyle w:val="ListParagraph"/>
        <w:numPr>
          <w:ilvl w:val="0"/>
          <w:numId w:val="2"/>
        </w:numPr>
        <w:spacing w:after="70" w:line="268"/>
      </w:pPr>
      <w:r>
        <w:rPr>
          <w:rFonts w:ascii="Calibri" w:cs="Calibri" w:eastAsia="Calibri" w:hAnsi="Calibri"/>
          <w:sz w:val="21"/>
          <w:szCs w:val="21"/>
        </w:rPr>
        <w:t xml:space="preserve">Idoneidad del objeto y del contenido para satisfacerla.</w:t>
      </w:r>
    </w:p>
    <w:p>
      <w:pPr>
        <w:pStyle w:val="ListParagraph"/>
        <w:numPr>
          <w:ilvl w:val="0"/>
          <w:numId w:val="2"/>
        </w:numPr>
        <w:spacing w:after="70" w:line="268"/>
      </w:pPr>
      <w:r>
        <w:rPr>
          <w:rFonts w:ascii="Calibri" w:cs="Calibri" w:eastAsia="Calibri" w:hAnsi="Calibri"/>
          <w:sz w:val="21"/>
          <w:szCs w:val="21"/>
        </w:rPr>
        <w:t xml:space="preserve">Relación necesidad-objeto, argumentada en los tres términos que la ley exige: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(art. 116.4.e).</w:t>
      </w:r>
    </w:p>
    <w:p>
      <w:pPr>
        <w:pStyle w:val="ListParagraph"/>
        <w:numPr>
          <w:ilvl w:val="0"/>
          <w:numId w:val="2"/>
        </w:numPr>
        <w:spacing w:after="70" w:line="268"/>
      </w:pPr>
      <w:r>
        <w:rPr>
          <w:rFonts w:ascii="Calibri" w:cs="Calibri" w:eastAsia="Calibri" w:hAnsi="Calibri"/>
          <w:sz w:val="21"/>
          <w:szCs w:val="21"/>
        </w:rPr>
        <w:t xml:space="preserve">Por qué el mantenimiento ordinario, la prórroga del contrato vigente o la reutilización de una aplicación existente no cubren la necesidad. Este apartado se apoya en el informe de consulta al directorio general de aplicaciones (V.4.3).</w:t>
      </w:r>
    </w:p>
    <w:p>
      <w:pPr>
        <w:pStyle w:val="ListParagraph"/>
        <w:numPr>
          <w:ilvl w:val="0"/>
          <w:numId w:val="2"/>
        </w:numPr>
        <w:spacing w:after="70" w:line="268"/>
      </w:pPr>
      <w:r>
        <w:rPr>
          <w:rFonts w:ascii="Calibri" w:cs="Calibri" w:eastAsia="Calibri" w:hAnsi="Calibri"/>
          <w:sz w:val="21"/>
          <w:szCs w:val="21"/>
        </w:rPr>
        <w:t xml:space="preserve">Coste de la no actuación, cuando lo haya y sea acreditable.</w:t>
      </w:r>
    </w:p>
    <w:p>
      <w:pPr>
        <w:pStyle w:val="ListParagraph"/>
        <w:numPr>
          <w:ilvl w:val="0"/>
          <w:numId w:val="2"/>
        </w:numPr>
        <w:spacing w:after="70" w:line="268"/>
      </w:pPr>
      <w:r>
        <w:rPr>
          <w:rFonts w:ascii="Calibri" w:cs="Calibri" w:eastAsia="Calibri" w:hAnsi="Calibri"/>
          <w:sz w:val="21"/>
          <w:szCs w:val="21"/>
        </w:rPr>
        <w:t xml:space="preserve">Cuando la ejecución requiera cesión de datos por el Ayuntamiento al contratista, </w:t>
      </w:r>
      <w:r>
        <w:rPr>
          <w:rFonts w:ascii="Calibri" w:cs="Calibri" w:eastAsia="Calibri" w:hAnsi="Calibri"/>
          <w:b/>
          <w:bCs/>
          <w:sz w:val="21"/>
          <w:szCs w:val="21"/>
        </w:rPr>
        <w:t xml:space="preserve">finalidad del tratamiento de los datos que vayan a ser cedidos</w:t>
      </w:r>
      <w:r>
        <w:rPr>
          <w:rFonts w:ascii="Calibri" w:cs="Calibri" w:eastAsia="Calibri" w:hAnsi="Calibri"/>
          <w:sz w:val="21"/>
          <w:szCs w:val="21"/>
        </w:rPr>
        <w:t xml:space="preserve"> (art. 116.1, párrafo segundo). Es obligatorio y se olvida sistemáticamente.</w:t>
      </w:r>
    </w:p>
    <w:p>
      <w:pPr>
        <w:pStyle w:val="ListParagraph"/>
        <w:numPr>
          <w:ilvl w:val="0"/>
          <w:numId w:val="2"/>
        </w:numPr>
        <w:spacing w:after="70" w:line="268"/>
      </w:pPr>
      <w:r>
        <w:rPr>
          <w:rFonts w:ascii="Calibri" w:cs="Calibri" w:eastAsia="Calibri" w:hAnsi="Calibri"/>
          <w:sz w:val="21"/>
          <w:szCs w:val="21"/>
        </w:rPr>
        <w:t xml:space="preserve">Origen de la necesidad, con la fuente identificada: petición del gestor, norma, acuerdo del órgano de gobierno o informe de un órgano de control. Con fecha y firma.</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Enunciar la necesidad sin dimensionarla y sin conectarla con el objeto. La consecuencia no es un reparo: es la anulación de los pliegos, porque el nexo del art. 116.4.e) es el presupuesto de validez de las exigencias que restringen la concurrencia.</w:t>
      </w:r>
    </w:p>
    <w:p>
      <w:pPr>
        <w:spacing w:after="140" w:line="276"/>
      </w:pPr>
      <w:r>
        <w:rPr>
          <w:rFonts w:ascii="Calibri" w:cs="Calibri" w:eastAsia="Calibri" w:hAnsi="Calibri"/>
          <w:sz w:val="21"/>
          <w:szCs w:val="21"/>
        </w:rPr>
        <w:t xml:space="preserve">El párrafo de cierre del informe de necesidad, que no es texto de pliego:</w:t>
      </w:r>
    </w:p>
    <w:p>
      <w:pPr>
        <w:spacing w:after="140" w:line="276"/>
      </w:pPr>
      <w:r>
        <w:rPr>
          <w:rFonts w:ascii="Calibri" w:cs="Calibri" w:eastAsia="Calibri" w:hAnsi="Calibri"/>
          <w:sz w:val="21"/>
          <w:szCs w:val="21"/>
        </w:rPr>
        <w:t xml:space="preserve">---- INICIO DEL MODELO — PÁRRAFO DE CIERRE DEL INFORME DE NECESIDAD ----</w:t>
      </w:r>
    </w:p>
    <w:p>
      <w:pPr>
        <w:spacing w:after="140" w:line="276"/>
      </w:pPr>
      <w:r>
        <w:rPr>
          <w:rFonts w:ascii="Calibri" w:cs="Calibri" w:eastAsia="Calibri" w:hAnsi="Calibri"/>
          <w:sz w:val="21"/>
          <w:szCs w:val="21"/>
        </w:rPr>
        <w:t xml:space="preserve">«La necesidad descrita se relaciona con el objeto de este contrato en los términos exigidos por el artículo 116.4.e) de la Ley 9/2017: es </w:t>
      </w:r>
      <w:r>
        <w:rPr>
          <w:rFonts w:ascii="Calibri" w:cs="Calibri" w:eastAsia="Calibri" w:hAnsi="Calibri"/>
          <w:b/>
          <w:bCs/>
          <w:sz w:val="21"/>
          <w:szCs w:val="21"/>
        </w:rPr>
        <w:t xml:space="preserve">directa</w:t>
      </w:r>
      <w:r>
        <w:rPr>
          <w:rFonts w:ascii="Calibri" w:cs="Calibri" w:eastAsia="Calibri" w:hAnsi="Calibri"/>
          <w:sz w:val="21"/>
          <w:szCs w:val="21"/>
        </w:rPr>
        <w:t xml:space="preserve">, porque [los datos, funciones o sistemas afectados son los generados o soportados por la propia prestación contratada]; es </w:t>
      </w:r>
      <w:r>
        <w:rPr>
          <w:rFonts w:ascii="Calibri" w:cs="Calibri" w:eastAsia="Calibri" w:hAnsi="Calibri"/>
          <w:b/>
          <w:bCs/>
          <w:sz w:val="21"/>
          <w:szCs w:val="21"/>
        </w:rPr>
        <w:t xml:space="preserve">clara</w:t>
      </w:r>
      <w:r>
        <w:rPr>
          <w:rFonts w:ascii="Calibri" w:cs="Calibri" w:eastAsia="Calibri" w:hAnsi="Calibri"/>
          <w:sz w:val="21"/>
          <w:szCs w:val="21"/>
        </w:rPr>
        <w:t xml:space="preserve">, porque su contenido queda determinado en las cláusulas [códigos] del pliego, con criterios de comprobación tasados; y es </w:t>
      </w:r>
      <w:r>
        <w:rPr>
          <w:rFonts w:ascii="Calibri" w:cs="Calibri" w:eastAsia="Calibri" w:hAnsi="Calibri"/>
          <w:b/>
          <w:bCs/>
          <w:sz w:val="21"/>
          <w:szCs w:val="21"/>
        </w:rPr>
        <w:t xml:space="preserve">proporcional</w:t>
      </w:r>
      <w:r>
        <w:rPr>
          <w:rFonts w:ascii="Calibri" w:cs="Calibri" w:eastAsia="Calibri" w:hAnsi="Calibri"/>
          <w:sz w:val="21"/>
          <w:szCs w:val="21"/>
        </w:rPr>
        <w:t xml:space="preserve">, porque [no exige al contratista prestación distinta de la que ya realiza para ejecutar el contrato / el coste incremental estimado es de [importe] euros sobre un valor estimado de [importe] euros].»</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V.4.2 · El eslabón que falta: la necesidad institucional y su doble vía de firma</w:t>
      </w:r>
    </w:p>
    <w:p>
      <w:pPr>
        <w:spacing w:after="140" w:line="276"/>
      </w:pPr>
      <w:r>
        <w:rPr>
          <w:rFonts w:ascii="Calibri" w:cs="Calibri" w:eastAsia="Calibri" w:hAnsi="Calibri"/>
          <w:sz w:val="21"/>
          <w:szCs w:val="21"/>
        </w:rPr>
        <w:t xml:space="preserve">Hay tres orígenes posibles de una necesidad, y cada uno se acredita de forma distinta. Confundirlos es lo que produce fichas firmadas por quien no puede firmarlas.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Ejemplo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necesita que la aplicación haga algo que hoy no hace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firmada por el gestor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del sistema del contratista y de su cadena de suministro; condición especial de ejecución de protección de datos cuando hay cesión de datos;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o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incorporado al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que ninguna norma impone hoy y que ningún gestor pedirá, porque no nacen de su servicio sino de una decisión de política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municipal</w:t>
            </w:r>
            <w:r>
              <w:rPr>
                <w:rFonts w:ascii="Calibri" w:cs="Calibri" w:eastAsia="Calibri" w:hAnsi="Calibri"/>
                <w:b w:val="false"/>
                <w:bCs w:val="false"/>
                <w:sz w:val="18"/>
                <w:szCs w:val="18"/>
              </w:rPr>
              <w:t xml:space="preserve"> que apruebe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fecha y número</w:t>
            </w:r>
          </w:p>
        </w:tc>
      </w:tr>
    </w:tbl>
    <w:p>
      <w:pPr>
        <w:spacing w:after="200"/>
      </w:pPr>
    </w:p>
    <w:p>
      <w:pPr>
        <w:spacing w:after="140" w:line="276"/>
      </w:pPr>
      <w:r>
        <w:rPr>
          <w:rFonts w:ascii="Calibri" w:cs="Calibri" w:eastAsia="Calibri" w:hAnsi="Calibri"/>
          <w:sz w:val="21"/>
          <w:szCs w:val="21"/>
        </w:rPr>
        <w:t xml:space="preserve">La tercera fila es la que sostiene el Anexo V. Sin ella, la ficha se rellena con el mismo párrafo en todos los expedientes y la justificación vuelve a ser estereotipada. </w:t>
      </w:r>
      <w:r>
        <w:rPr>
          <w:rFonts w:ascii="Calibri" w:cs="Calibri" w:eastAsia="Calibri" w:hAnsi="Calibri"/>
          <w:b/>
          <w:bCs/>
          <w:sz w:val="21"/>
          <w:szCs w:val="21"/>
        </w:rPr>
        <w:t xml:space="preserve">Con ella</w:t>
      </w:r>
      <w:r>
        <w:rPr>
          <w:rFonts w:ascii="Calibri" w:cs="Calibri" w:eastAsia="Calibri" w:hAnsi="Calibri"/>
          <w:sz w:val="21"/>
          <w:szCs w:val="21"/>
        </w:rPr>
        <w:t xml:space="preserve">, el informe de necesidad de cada expediente no invoca un documento técnico de una concejalía: invoca un acuerdo del órgano de gobierno, y la relación con el objeto pasa a derivarse de una política municipal aprobada, publicada y con calendario.</w:t>
      </w:r>
    </w:p>
    <w:p>
      <w:pPr>
        <w:spacing w:after="140" w:line="276"/>
      </w:pPr>
      <w:r>
        <w:rPr>
          <w:rFonts w:ascii="Calibri" w:cs="Calibri" w:eastAsia="Calibri" w:hAnsi="Calibri"/>
          <w:sz w:val="21"/>
          <w:szCs w:val="21"/>
        </w:rPr>
        <w:t xml:space="preserve">Regla de firma, por tanto: </w:t>
      </w:r>
      <w:r>
        <w:rPr>
          <w:rFonts w:ascii="Calibri" w:cs="Calibri" w:eastAsia="Calibri" w:hAnsi="Calibri"/>
          <w:b/>
          <w:bCs/>
          <w:sz w:val="21"/>
          <w:szCs w:val="21"/>
        </w:rPr>
        <w:t xml:space="preserve">necesidad funcional, la firma el gestor; necesidad normativa, la firma o la informa el servicio competente; necesidad institucional, se remite al acuerdo del órgano de gobierno</w:t>
      </w:r>
      <w:r>
        <w:rPr>
          <w:rFonts w:ascii="Calibri" w:cs="Calibri" w:eastAsia="Calibri" w:hAnsi="Calibri"/>
          <w:sz w:val="21"/>
          <w:szCs w:val="21"/>
        </w:rPr>
        <w:t xml:space="preserve">. Ningún gestor firma una ficha sobre el ENS o sobre el control interno, porque no es suya y porque su firma no acredita nada.</w:t>
      </w:r>
    </w:p>
    <w:p>
      <w:pPr>
        <w:spacing w:after="140" w:line="276"/>
      </w:pPr>
      <w:r>
        <w:rPr>
          <w:rFonts w:ascii="Calibri" w:cs="Calibri" w:eastAsia="Calibri" w:hAnsi="Calibri"/>
          <w:sz w:val="21"/>
          <w:szCs w:val="21"/>
        </w:rPr>
        <w:t xml:space="preserve">Órgano competente para el acuerdo: el órgano de gobierno municipal al que corresponda la aprobación de planes y programas — en municipios de gran población, la Junta de Gobierno Local (arts. 127.1.n) LBRL y DA 2.ª.4 LCSP); en el régimen común, el órgano que tenga atribuida la competencia según el reglamento orgánico de la corporación. Es un parámetro: </w:t>
      </w:r>
      <w:r>
        <w:rPr>
          <w:rFonts w:ascii="Calibri" w:cs="Calibri" w:eastAsia="Calibri" w:hAnsi="Calibri"/>
          <w:b/>
          <w:bCs/>
          <w:sz w:val="21"/>
          <w:szCs w:val="21"/>
        </w:rPr>
        <w:t xml:space="preserve">[órgano; se recomienda el mismo órgano que sea órgano de contratación, para que la necesidad y el expediente tengan el mismo origen institucional]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modelo de acuerdo está en el </w:t>
      </w:r>
      <w:r>
        <w:rPr>
          <w:rFonts w:ascii="Calibri" w:cs="Calibri" w:eastAsia="Calibri" w:hAnsi="Calibri"/>
          <w:b/>
          <w:bCs/>
          <w:sz w:val="21"/>
          <w:szCs w:val="21"/>
        </w:rPr>
        <w:t xml:space="preserve">Anexo VIII</w:t>
      </w:r>
      <w:r>
        <w:rPr>
          <w:rFonts w:ascii="Calibri" w:cs="Calibri" w:eastAsia="Calibri" w:hAnsi="Calibri"/>
          <w:sz w:val="21"/>
          <w:szCs w:val="21"/>
        </w:rPr>
        <w:t xml:space="preserve">. Su parte dispositiva mínima, que no es texto de pliego:</w:t>
      </w:r>
    </w:p>
    <w:p>
      <w:pPr>
        <w:spacing w:after="140" w:line="276"/>
      </w:pPr>
      <w:r>
        <w:rPr>
          <w:rFonts w:ascii="Calibri" w:cs="Calibri" w:eastAsia="Calibri" w:hAnsi="Calibri"/>
          <w:sz w:val="21"/>
          <w:szCs w:val="21"/>
        </w:rPr>
        <w:t xml:space="preserve">---- INICIO DEL MODELO — PARTE DISPOSITIVA DEL ACUERDO QUE CREA LA NECESIDAD INSTITUCIONAL ----</w:t>
      </w:r>
    </w:p>
    <w:p>
      <w:pPr>
        <w:spacing w:after="140" w:line="276"/>
      </w:pPr>
      <w:r>
        <w:rPr>
          <w:rFonts w:ascii="Calibri" w:cs="Calibri" w:eastAsia="Calibri" w:hAnsi="Calibri"/>
          <w:sz w:val="21"/>
          <w:szCs w:val="21"/>
        </w:rPr>
        <w:t xml:space="preserve">«Primero. Aprobar el Plan municipal de [denominación] para el periodo [ejercicio o periodo], con los objetivos y el calendario que figuran en el anexo.</w:t>
      </w:r>
    </w:p>
    <w:p>
      <w:pPr>
        <w:spacing w:after="140" w:line="276"/>
      </w:pPr>
      <w:r>
        <w:rPr>
          <w:rFonts w:ascii="Calibri" w:cs="Calibri" w:eastAsia="Calibri" w:hAnsi="Calibri"/>
          <w:sz w:val="21"/>
          <w:szCs w:val="21"/>
        </w:rPr>
        <w:t xml:space="preserve">Segundo. Aprobar el Catálogo de exigencias tecnológicas determinadas del ejercicio [año], que constituye el Anexo V del clausulado, en su versión [n.º], de fecha [dd/mm/aaaa].</w:t>
      </w:r>
    </w:p>
    <w:p>
      <w:pPr>
        <w:spacing w:after="140" w:line="276"/>
      </w:pPr>
      <w:r>
        <w:rPr>
          <w:rFonts w:ascii="Calibri" w:cs="Calibri" w:eastAsia="Calibri" w:hAnsi="Calibri"/>
          <w:sz w:val="21"/>
          <w:szCs w:val="21"/>
        </w:rPr>
        <w:t xml:space="preserve">Tercero. Declarar que las exigencias del Anexo V responden a una necesidad municipal de carácter institucional a los efectos de los artículos 28.1 y 116.4.e) de la Ley 9/2017, y que su incorporación a un pliego concreto requiere, en todo caso, la Ficha de Aplicabilidad y el informe de necesidad del expediente correspondiente.</w:t>
      </w:r>
    </w:p>
    <w:p>
      <w:pPr>
        <w:spacing w:after="140" w:line="276"/>
      </w:pPr>
      <w:r>
        <w:rPr>
          <w:rFonts w:ascii="Calibri" w:cs="Calibri" w:eastAsia="Calibri" w:hAnsi="Calibri"/>
          <w:sz w:val="21"/>
          <w:szCs w:val="21"/>
        </w:rPr>
        <w:t xml:space="preserve">Cuarto. Ordenar la publicación del acuerdo y de sus anexos en [sede electrónica y perfil de contratante], y su revisión antes del [fecha; se recomienda el 30 de noviembre de cada año].»</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V.4.3 · Consulta al directorio general de aplicaciones (art. 157.3 Ley 40/2015)</w:t>
      </w:r>
    </w:p>
    <w:p>
      <w:pPr>
        <w:spacing w:after="140" w:line="276"/>
      </w:pPr>
      <w:r>
        <w:rPr>
          <w:rFonts w:ascii="Calibri" w:cs="Calibri" w:eastAsia="Calibri" w:hAnsi="Calibri"/>
          <w:sz w:val="21"/>
          <w:szCs w:val="21"/>
        </w:rPr>
        <w:t xml:space="preserve">Este trámite es preceptivo, casi nadie lo documenta, y va </w:t>
      </w:r>
      <w:r>
        <w:rPr>
          <w:rFonts w:ascii="Calibri" w:cs="Calibri" w:eastAsia="Calibri" w:hAnsi="Calibri"/>
          <w:b/>
          <w:bCs/>
          <w:sz w:val="21"/>
          <w:szCs w:val="21"/>
        </w:rPr>
        <w:t xml:space="preserve">en contra</w:t>
      </w:r>
      <w:r>
        <w:rPr>
          <w:rFonts w:ascii="Calibri" w:cs="Calibri" w:eastAsia="Calibri" w:hAnsi="Calibri"/>
          <w:sz w:val="21"/>
          <w:szCs w:val="21"/>
        </w:rPr>
        <w:t xml:space="preserve"> de la presunción implícita de todo catálogo de exigencias tecnológicas, que es la de comprar algo nuevo. Precisamente por eso tiene que estar: un catálogo que exige tecnología y omite el trámite que obliga a comprobar si esa tecnología ya existe y es gratuita en otra Administración se defiende mal.</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157.3 de la Ley 40/2015, en relación con los arts. 157.1 y 158. Literal verificado en el texto consolidado:</w:t>
      </w:r>
    </w:p>
    <w:p>
      <w:pPr>
        <w:pBdr>
          <w:left w:val="single" w:color="BFBFBF" w:sz="12" w:space="8"/>
        </w:pBdr>
        <w:spacing w:after="140" w:line="264"/>
        <w:ind w:left="400"/>
      </w:pPr>
      <w:r>
        <w:rPr>
          <w:rFonts w:ascii="Georgia" w:cs="Georgia" w:eastAsia="Georgia" w:hAnsi="Georgia"/>
          <w:i/>
          <w:iCs/>
          <w:color w:val="595959"/>
          <w:sz w:val="20"/>
          <w:szCs w:val="20"/>
        </w:rPr>
        <w:t xml:space="preserve">«Las Administraciones Públicas, con carácter previo a la adquisición, desarrollo o al mantenimiento a lo largo de todo el ciclo de vida de una aplicación, tanto si se realiza con medios propios o por la contratación de los servicios correspondientes, deberán consultar en el directorio general de aplicaciones, dependiente de la Administración General del Estado, si existen soluciones disponibles para su reutilización, que puedan satisfacer total o parcialmente las necesidades, mejoras o actualizaciones que se pretenden cubrir, y siempre que los requisitos tecnológicos de interoperabilidad y seguridad así lo permitan.»</w:t>
      </w:r>
    </w:p>
    <w:p>
      <w:pPr>
        <w:spacing w:after="140" w:line="276"/>
      </w:pPr>
      <w:r>
        <w:rPr>
          <w:rFonts w:ascii="Calibri" w:cs="Calibri" w:eastAsia="Calibri" w:hAnsi="Calibri"/>
          <w:sz w:val="21"/>
          <w:szCs w:val="21"/>
        </w:rPr>
        <w:t xml:space="preserve">Y, en el párrafo final del mismo apartado:</w:t>
      </w:r>
    </w:p>
    <w:p>
      <w:pPr>
        <w:pBdr>
          <w:left w:val="single" w:color="BFBFBF" w:sz="12" w:space="8"/>
        </w:pBdr>
        <w:spacing w:after="140" w:line="264"/>
        <w:ind w:left="400"/>
      </w:pPr>
      <w:r>
        <w:rPr>
          <w:rFonts w:ascii="Georgia" w:cs="Georgia" w:eastAsia="Georgia" w:hAnsi="Georgia"/>
          <w:i/>
          <w:iCs/>
          <w:color w:val="595959"/>
          <w:sz w:val="20"/>
          <w:szCs w:val="20"/>
        </w:rPr>
        <w:t xml:space="preserve">«En el caso de existir una solución disponible para su reutilización total o parcial, las Administraciones Públicas estarán obligadas a su uso, salvo que la decisión de no reutilizarla se justifique en términos de eficiencia conforme al artículo 7 de la Ley Orgánica 2/2012, de 27 de abril, de Estabilidad Presupuestaria y Sostenibilidad Financiera.»</w:t>
      </w:r>
    </w:p>
    <w:p>
      <w:pPr>
        <w:spacing w:after="140" w:line="276"/>
      </w:pPr>
      <w:r>
        <w:rPr>
          <w:rFonts w:ascii="Calibri" w:cs="Calibri" w:eastAsia="Calibri" w:hAnsi="Calibri"/>
          <w:b/>
          <w:bCs/>
          <w:sz w:val="21"/>
          <w:szCs w:val="21"/>
        </w:rPr>
        <w:t xml:space="preserve">Cuándo procede.</w:t>
      </w:r>
      <w:r>
        <w:rPr>
          <w:rFonts w:ascii="Calibri" w:cs="Calibri" w:eastAsia="Calibri" w:hAnsi="Calibri"/>
          <w:sz w:val="21"/>
          <w:szCs w:val="21"/>
        </w:rPr>
        <w:t xml:space="preserve"> Siempre que el objeto comprenda adquisición, desarrollo o </w:t>
      </w:r>
      <w:r>
        <w:rPr>
          <w:rFonts w:ascii="Calibri" w:cs="Calibri" w:eastAsia="Calibri" w:hAnsi="Calibri"/>
          <w:b/>
          <w:bCs/>
          <w:sz w:val="21"/>
          <w:szCs w:val="21"/>
        </w:rPr>
        <w:t xml:space="preserve">mantenimiento</w:t>
      </w:r>
      <w:r>
        <w:rPr>
          <w:rFonts w:ascii="Calibri" w:cs="Calibri" w:eastAsia="Calibri" w:hAnsi="Calibri"/>
          <w:sz w:val="21"/>
          <w:szCs w:val="21"/>
        </w:rPr>
        <w:t xml:space="preserve"> de una aplicación. Nótese que el mantenimiento está expresamente incluido y a lo largo de todo el ciclo de vida: la prórroga de un mantenimiento no exime del trámite si se está renovando el contrato.</w:t>
      </w:r>
    </w:p>
    <w:p>
      <w:pPr>
        <w:spacing w:after="140" w:line="276"/>
      </w:pPr>
      <w:r>
        <w:rPr>
          <w:rFonts w:ascii="Calibri" w:cs="Calibri" w:eastAsia="Calibri" w:hAnsi="Calibri"/>
          <w:b/>
          <w:bCs/>
          <w:sz w:val="21"/>
          <w:szCs w:val="21"/>
        </w:rPr>
        <w:t xml:space="preserve">Quién lo hace y cuánto cuesta.</w:t>
      </w:r>
      <w:r>
        <w:rPr>
          <w:rFonts w:ascii="Calibri" w:cs="Calibri" w:eastAsia="Calibri" w:hAnsi="Calibri"/>
          <w:sz w:val="21"/>
          <w:szCs w:val="21"/>
        </w:rPr>
        <w:t xml:space="preserve"> El servicio de informática. Carga estimada: </w:t>
      </w:r>
      <w:r>
        <w:rPr>
          <w:rFonts w:ascii="Calibri" w:cs="Calibri" w:eastAsia="Calibri" w:hAnsi="Calibri"/>
          <w:b/>
          <w:bCs/>
          <w:sz w:val="21"/>
          <w:szCs w:val="21"/>
        </w:rPr>
        <w:t xml:space="preserve">20 a 40 minutos</w:t>
      </w:r>
      <w:r>
        <w:rPr>
          <w:rFonts w:ascii="Calibri" w:cs="Calibri" w:eastAsia="Calibri" w:hAnsi="Calibri"/>
          <w:sz w:val="21"/>
          <w:szCs w:val="21"/>
        </w:rPr>
        <w:t xml:space="preserve">, incluida la impresión del resultado. Es el trámite más barato del expediente y uno de los dos o tres que más se echan de menos en un recurso.</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No es obligatoria de forma autónoma. Recomendación: incorporarlo como anexo de la memoria justificativa, que sí se publica. Refuerza el apartado 5 del informe de necesidad y desactiva de antemano la alegación de que se compró sin mirar.</w:t>
      </w:r>
    </w:p>
    <w:p>
      <w:pPr>
        <w:spacing w:after="140" w:line="276"/>
      </w:pPr>
      <w:r>
        <w:rPr>
          <w:rFonts w:ascii="Calibri" w:cs="Calibri" w:eastAsia="Calibri" w:hAnsi="Calibri"/>
          <w:b/>
          <w:bCs/>
          <w:sz w:val="21"/>
          <w:szCs w:val="21"/>
        </w:rPr>
        <w:t xml:space="preserve">Contenido mínimo del informe de consulta.</w:t>
      </w:r>
    </w:p>
    <w:p>
      <w:pPr>
        <w:pStyle w:val="ListParagraph"/>
        <w:numPr>
          <w:ilvl w:val="0"/>
          <w:numId w:val="2"/>
        </w:numPr>
        <w:spacing w:after="70" w:line="268"/>
      </w:pPr>
      <w:r>
        <w:rPr>
          <w:rFonts w:ascii="Calibri" w:cs="Calibri" w:eastAsia="Calibri" w:hAnsi="Calibri"/>
          <w:sz w:val="21"/>
          <w:szCs w:val="21"/>
        </w:rPr>
        <w:t xml:space="preserve">Directorio consultado, dirección exacta y </w:t>
      </w:r>
      <w:r>
        <w:rPr>
          <w:rFonts w:ascii="Calibri" w:cs="Calibri" w:eastAsia="Calibri" w:hAnsi="Calibri"/>
          <w:b/>
          <w:bCs/>
          <w:sz w:val="21"/>
          <w:szCs w:val="21"/>
        </w:rPr>
        <w:t xml:space="preserve">fecha y hora</w:t>
      </w:r>
      <w:r>
        <w:rPr>
          <w:rFonts w:ascii="Calibri" w:cs="Calibri" w:eastAsia="Calibri" w:hAnsi="Calibri"/>
          <w:sz w:val="21"/>
          <w:szCs w:val="21"/>
        </w:rPr>
        <w:t xml:space="preserve"> de la consulta.</w:t>
      </w:r>
    </w:p>
    <w:p>
      <w:pPr>
        <w:pStyle w:val="ListParagraph"/>
        <w:numPr>
          <w:ilvl w:val="0"/>
          <w:numId w:val="2"/>
        </w:numPr>
        <w:spacing w:after="70" w:line="268"/>
      </w:pPr>
      <w:r>
        <w:rPr>
          <w:rFonts w:ascii="Calibri" w:cs="Calibri" w:eastAsia="Calibri" w:hAnsi="Calibri"/>
          <w:sz w:val="21"/>
          <w:szCs w:val="21"/>
        </w:rPr>
        <w:t xml:space="preserve">Términos de búsqueda empleados y criterios de filtrado.</w:t>
      </w:r>
    </w:p>
    <w:p>
      <w:pPr>
        <w:pStyle w:val="ListParagraph"/>
        <w:numPr>
          <w:ilvl w:val="0"/>
          <w:numId w:val="2"/>
        </w:numPr>
        <w:spacing w:after="70" w:line="268"/>
      </w:pPr>
      <w:r>
        <w:rPr>
          <w:rFonts w:ascii="Calibri" w:cs="Calibri" w:eastAsia="Calibri" w:hAnsi="Calibri"/>
          <w:sz w:val="21"/>
          <w:szCs w:val="21"/>
        </w:rPr>
        <w:t xml:space="preserve">Relación de soluciones encontradas que guarden relación con el objeto, con su identificador en el directorio.</w:t>
      </w:r>
    </w:p>
    <w:p>
      <w:pPr>
        <w:pStyle w:val="ListParagraph"/>
        <w:numPr>
          <w:ilvl w:val="0"/>
          <w:numId w:val="2"/>
        </w:numPr>
        <w:spacing w:after="70" w:line="268"/>
      </w:pPr>
      <w:r>
        <w:rPr>
          <w:rFonts w:ascii="Calibri" w:cs="Calibri" w:eastAsia="Calibri" w:hAnsi="Calibri"/>
          <w:sz w:val="21"/>
          <w:szCs w:val="21"/>
        </w:rPr>
        <w:t xml:space="preserve">Por cada una: si satisface total o parcialmente la necesidad, y por qué.</w:t>
      </w:r>
    </w:p>
    <w:p>
      <w:pPr>
        <w:pStyle w:val="ListParagraph"/>
        <w:numPr>
          <w:ilvl w:val="0"/>
          <w:numId w:val="2"/>
        </w:numPr>
        <w:spacing w:after="70" w:line="268"/>
      </w:pPr>
      <w:r>
        <w:rPr>
          <w:rFonts w:ascii="Calibri" w:cs="Calibri" w:eastAsia="Calibri" w:hAnsi="Calibri"/>
          <w:sz w:val="21"/>
          <w:szCs w:val="21"/>
        </w:rPr>
        <w:t xml:space="preserve">Si ninguna la satisface: constancia expresa.</w:t>
      </w:r>
    </w:p>
    <w:p>
      <w:pPr>
        <w:pStyle w:val="ListParagraph"/>
        <w:numPr>
          <w:ilvl w:val="0"/>
          <w:numId w:val="2"/>
        </w:numPr>
        <w:spacing w:after="70" w:line="268"/>
      </w:pPr>
      <w:r>
        <w:rPr>
          <w:rFonts w:ascii="Calibri" w:cs="Calibri" w:eastAsia="Calibri" w:hAnsi="Calibri"/>
          <w:sz w:val="21"/>
          <w:szCs w:val="21"/>
        </w:rPr>
        <w:t xml:space="preserve">Si alguna la satisface y no se reutiliza: </w:t>
      </w:r>
      <w:r>
        <w:rPr>
          <w:rFonts w:ascii="Calibri" w:cs="Calibri" w:eastAsia="Calibri" w:hAnsi="Calibri"/>
          <w:b/>
          <w:bCs/>
          <w:sz w:val="21"/>
          <w:szCs w:val="21"/>
        </w:rPr>
        <w:t xml:space="preserve">justificación en términos de eficiencia</w:t>
      </w:r>
      <w:r>
        <w:rPr>
          <w:rFonts w:ascii="Calibri" w:cs="Calibri" w:eastAsia="Calibri" w:hAnsi="Calibri"/>
          <w:sz w:val="21"/>
          <w:szCs w:val="21"/>
        </w:rPr>
        <w:t xml:space="preserve"> conforme al art. 7 de la Ley Orgánica 2/2012, con el cálculo comparativo (coste de adaptación y explotación de la solución reutilizable frente a coste del contrato proyectado, en el mismo horizonte temporal).</w:t>
      </w:r>
    </w:p>
    <w:p>
      <w:pPr>
        <w:pStyle w:val="ListParagraph"/>
        <w:numPr>
          <w:ilvl w:val="0"/>
          <w:numId w:val="2"/>
        </w:numPr>
        <w:spacing w:after="70" w:line="268"/>
      </w:pPr>
      <w:r>
        <w:rPr>
          <w:rFonts w:ascii="Calibri" w:cs="Calibri" w:eastAsia="Calibri" w:hAnsi="Calibri"/>
          <w:sz w:val="21"/>
          <w:szCs w:val="21"/>
        </w:rPr>
        <w:t xml:space="preserve">Firma del responsable del servicio de informática.</w:t>
      </w:r>
    </w:p>
    <w:p>
      <w:pPr>
        <w:spacing w:after="140" w:line="276"/>
      </w:pPr>
      <w:r>
        <w:rPr>
          <w:rFonts w:ascii="Calibri" w:cs="Calibri" w:eastAsia="Calibri" w:hAnsi="Calibri"/>
          <w:b/>
          <w:bCs/>
          <w:sz w:val="21"/>
          <w:szCs w:val="21"/>
        </w:rPr>
        <w:t xml:space="preserve">Enlace con el resto del catálogo.</w:t>
      </w:r>
      <w:r>
        <w:rPr>
          <w:rFonts w:ascii="Calibri" w:cs="Calibri" w:eastAsia="Calibri" w:hAnsi="Calibri"/>
          <w:sz w:val="21"/>
          <w:szCs w:val="21"/>
        </w:rPr>
        <w:t xml:space="preserve"> El art. 157.1 sólo obliga a poner a disposición de otras Administraciones las aplicaciones «de cuyos derechos de propiedad intelectual sean titulares». Ese es el fundamento de la cláusula ADM-8·v3: sin titularidad, el Ayuntamiento no puede cumplir el art. 157.1, y quien consulta hoy el directorio se beneficia de que otros lo cumplieran ayer. Es un argumento de reciprocidad que conviene escribir en la memoria porque además es cierto.</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Omitirlo cuando el objeto es una aplicación. No es un vicio menor de forma: es un trámite preceptivo cuya omisión, unida a una exigencia tecnológica restrictiva, dibuja el cuadro de un expediente que no comprobó si necesitaba comprar.</w:t>
      </w:r>
    </w:p>
    <w:p>
      <w:pPr>
        <w:pStyle w:val="Heading3"/>
        <w:keepNext/>
        <w:spacing w:after="140" w:before="320"/>
      </w:pPr>
      <w:r>
        <w:rPr>
          <w:rFonts w:ascii="Georgia" w:cs="Georgia" w:eastAsia="Georgia" w:hAnsi="Georgia"/>
          <w:b/>
          <w:bCs/>
          <w:color w:val="2F5496"/>
          <w:sz w:val="22"/>
          <w:szCs w:val="22"/>
        </w:rPr>
        <w:t xml:space="preserve">V.4.4 · Ficha de Aplicabilidad (Anexo II)</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No es un documento legal típico: es el instrumento interno que acredita el cumplimiento del art. 116.4.e) respecto de cada cláusula del catálogo. Su valor jurídico es el de documento del expediente.</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Doble vía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Después del informe de necesidad, antes de redactar PPT y PCAP.</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Su contenido se vuelca en la memoria justificativa, que se publica. Redáctese en consecuencia.</w:t>
      </w:r>
    </w:p>
    <w:p>
      <w:pPr>
        <w:spacing w:after="140" w:line="276"/>
      </w:pPr>
      <w:r>
        <w:rPr>
          <w:rFonts w:ascii="Calibri" w:cs="Calibri" w:eastAsia="Calibri" w:hAnsi="Calibri"/>
          <w:b/>
          <w:bCs/>
          <w:sz w:val="21"/>
          <w:szCs w:val="21"/>
        </w:rPr>
        <w:t xml:space="preserve">Contenido mínimo por cada cláusula marcada SÍ.</w:t>
      </w:r>
    </w:p>
    <w:p>
      <w:pPr>
        <w:pStyle w:val="ListParagraph"/>
        <w:numPr>
          <w:ilvl w:val="0"/>
          <w:numId w:val="2"/>
        </w:numPr>
        <w:spacing w:after="70" w:line="268"/>
      </w:pPr>
      <w:r>
        <w:rPr>
          <w:rFonts w:ascii="Calibri" w:cs="Calibri" w:eastAsia="Calibri" w:hAnsi="Calibri"/>
          <w:sz w:val="21"/>
          <w:szCs w:val="21"/>
        </w:rPr>
        <w:t xml:space="preserve">Código de la cláusula </w:t>
      </w:r>
      <w:r>
        <w:rPr>
          <w:rFonts w:ascii="Calibri" w:cs="Calibri" w:eastAsia="Calibri" w:hAnsi="Calibri"/>
          <w:b/>
          <w:bCs/>
          <w:sz w:val="21"/>
          <w:szCs w:val="21"/>
        </w:rPr>
        <w:t xml:space="preserve">con versión</w:t>
      </w:r>
      <w:r>
        <w:rPr>
          <w:rFonts w:ascii="Calibri" w:cs="Calibri" w:eastAsia="Calibri" w:hAnsi="Calibri"/>
          <w:sz w:val="21"/>
          <w:szCs w:val="21"/>
        </w:rPr>
        <w:t xml:space="preserve"> (DT-7·v3, ADM-2·v3). Sin versión, la referencia es ambigua respecto de los pliegos ya redactados con v2.</w:t>
      </w:r>
    </w:p>
    <w:p>
      <w:pPr>
        <w:pStyle w:val="ListParagraph"/>
        <w:numPr>
          <w:ilvl w:val="0"/>
          <w:numId w:val="2"/>
        </w:numPr>
        <w:spacing w:after="70" w:line="268"/>
      </w:pPr>
      <w:r>
        <w:rPr>
          <w:rFonts w:ascii="Calibri" w:cs="Calibri" w:eastAsia="Calibri" w:hAnsi="Calibri"/>
          <w:sz w:val="21"/>
          <w:szCs w:val="21"/>
        </w:rPr>
        <w:t xml:space="preserve">Necesidad municipal concreta que la justifica, con remisión al apartado del informe de necesidad.</w:t>
      </w:r>
    </w:p>
    <w:p>
      <w:pPr>
        <w:pStyle w:val="ListParagraph"/>
        <w:numPr>
          <w:ilvl w:val="0"/>
          <w:numId w:val="2"/>
        </w:numPr>
        <w:spacing w:after="70" w:line="268"/>
      </w:pPr>
      <w:r>
        <w:rPr>
          <w:rFonts w:ascii="Calibri" w:cs="Calibri" w:eastAsia="Calibri" w:hAnsi="Calibri"/>
          <w:sz w:val="21"/>
          <w:szCs w:val="21"/>
        </w:rPr>
        <w:t xml:space="preserve">Norma, acuerdo o informe del que nace.</w:t>
      </w:r>
    </w:p>
    <w:p>
      <w:pPr>
        <w:pStyle w:val="ListParagraph"/>
        <w:numPr>
          <w:ilvl w:val="0"/>
          <w:numId w:val="2"/>
        </w:numPr>
        <w:spacing w:after="70" w:line="268"/>
      </w:pPr>
      <w:r>
        <w:rPr>
          <w:rFonts w:ascii="Calibri" w:cs="Calibri" w:eastAsia="Calibri" w:hAnsi="Calibri"/>
          <w:sz w:val="21"/>
          <w:szCs w:val="21"/>
        </w:rPr>
        <w:t xml:space="preserve">Por qué la relación con el objeto de </w:t>
      </w:r>
      <w:r>
        <w:rPr>
          <w:rFonts w:ascii="Calibri" w:cs="Calibri" w:eastAsia="Calibri" w:hAnsi="Calibri"/>
          <w:b/>
          <w:bCs/>
          <w:sz w:val="21"/>
          <w:szCs w:val="21"/>
        </w:rPr>
        <w:t xml:space="preserve">este</w:t>
      </w:r>
      <w:r>
        <w:rPr>
          <w:rFonts w:ascii="Calibri" w:cs="Calibri" w:eastAsia="Calibri" w:hAnsi="Calibri"/>
          <w:sz w:val="21"/>
          <w:szCs w:val="21"/>
        </w:rPr>
        <w:t xml:space="preserve"> contrato es directa, clara y proporcional.</w:t>
      </w:r>
    </w:p>
    <w:p>
      <w:pPr>
        <w:pStyle w:val="ListParagraph"/>
        <w:numPr>
          <w:ilvl w:val="0"/>
          <w:numId w:val="2"/>
        </w:numPr>
        <w:spacing w:after="70" w:line="268"/>
      </w:pPr>
      <w:r>
        <w:rPr>
          <w:rFonts w:ascii="Calibri" w:cs="Calibri" w:eastAsia="Calibri" w:hAnsi="Calibri"/>
          <w:b/>
          <w:bCs/>
          <w:sz w:val="21"/>
          <w:szCs w:val="21"/>
        </w:rPr>
        <w:t xml:space="preserve">Actor municipal que verificará su cumplimiento y periodicidad.</w:t>
      </w:r>
      <w:r>
        <w:rPr>
          <w:rFonts w:ascii="Calibri" w:cs="Calibri" w:eastAsia="Calibri" w:hAnsi="Calibri"/>
          <w:sz w:val="21"/>
          <w:szCs w:val="21"/>
        </w:rPr>
        <w:t xml:space="preserve"> Sin esto, la cláusula no entra (regla 4 de V.1.3).</w:t>
      </w:r>
    </w:p>
    <w:p>
      <w:pPr>
        <w:pStyle w:val="ListParagraph"/>
        <w:numPr>
          <w:ilvl w:val="0"/>
          <w:numId w:val="2"/>
        </w:numPr>
        <w:spacing w:after="70" w:line="268"/>
      </w:pPr>
      <w:r>
        <w:rPr>
          <w:rFonts w:ascii="Calibri" w:cs="Calibri" w:eastAsia="Calibri" w:hAnsi="Calibri"/>
          <w:sz w:val="21"/>
          <w:szCs w:val="21"/>
        </w:rPr>
        <w:t xml:space="preserve">Carga estimada de esa verificación, en horas/año.</w:t>
      </w:r>
    </w:p>
    <w:p>
      <w:pPr>
        <w:spacing w:after="140" w:line="276"/>
      </w:pPr>
      <w:r>
        <w:rPr>
          <w:rFonts w:ascii="Calibri" w:cs="Calibri" w:eastAsia="Calibri" w:hAnsi="Calibri"/>
          <w:sz w:val="21"/>
          <w:szCs w:val="21"/>
        </w:rPr>
        <w:t xml:space="preserve">Y por cada cláusula marcada NO APLICA: motivo en una línea, y </w:t>
      </w:r>
      <w:r>
        <w:rPr>
          <w:rFonts w:ascii="Calibri" w:cs="Calibri" w:eastAsia="Calibri" w:hAnsi="Calibri"/>
          <w:b/>
          <w:bCs/>
          <w:sz w:val="21"/>
          <w:szCs w:val="21"/>
        </w:rPr>
        <w:t xml:space="preserve">comprobación de las menciones que arrastra</w:t>
      </w:r>
      <w:r>
        <w:rPr>
          <w:rFonts w:ascii="Calibri" w:cs="Calibri" w:eastAsia="Calibri" w:hAnsi="Calibri"/>
          <w:sz w:val="21"/>
          <w:szCs w:val="21"/>
        </w:rPr>
        <w:t xml:space="preserve"> según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Marcar SÍ sin rellenar los seis campos. Una ficha con casillas y sin motivación es peor que no tener ficha: documenta que la decisión se tomó sin motivar.</w:t>
      </w:r>
    </w:p>
    <w:p>
      <w:pPr>
        <w:pStyle w:val="Heading3"/>
        <w:keepNext/>
        <w:spacing w:after="140" w:before="320"/>
      </w:pPr>
      <w:r>
        <w:rPr>
          <w:rFonts w:ascii="Georgia" w:cs="Georgia" w:eastAsia="Georgia" w:hAnsi="Georgia"/>
          <w:b/>
          <w:bCs/>
          <w:color w:val="2F5496"/>
          <w:sz w:val="22"/>
          <w:szCs w:val="22"/>
        </w:rPr>
        <w:t xml:space="preserve">V.4.5 · Memoria justificativa del contrato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116.4 y 63.3.a) LCSP.</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El servicio proponente y, en su caso, el órgano de contratación. Es el documento que agrupa y ordena las justificaciones del art. 116.4.</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w:t>
      </w:r>
    </w:p>
    <w:p>
      <w:pPr>
        <w:spacing w:after="140" w:line="276"/>
      </w:pPr>
      <w:r>
        <w:rPr>
          <w:rFonts w:ascii="Calibri" w:cs="Calibri" w:eastAsia="Calibri" w:hAnsi="Calibri"/>
          <w:b/>
          <w:bCs/>
          <w:sz w:val="21"/>
          <w:szCs w:val="21"/>
        </w:rPr>
        <w:t xml:space="preserve">Contenido mínimo — es la lista del art. 116.4, y conviene seguir sus letras para que el fiscalizador las encuentre.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Letra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justificar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apoya en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elección del procedimiento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clasificación exigida a los participantes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exige; en tal caso, con justificación de su proporcionalidad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de solvencia técnica o profesional y económica y financiera, </w:t>
            </w:r>
            <w:r>
              <w:rPr>
                <w:rFonts w:ascii="Calibri" w:cs="Calibri" w:eastAsia="Calibri" w:hAnsi="Calibri"/>
                <w:b/>
                <w:bCs/>
                <w:sz w:val="18"/>
                <w:szCs w:val="18"/>
              </w:rPr>
              <w:t xml:space="preserve">los criterios de adjudicación y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V.4.7 y 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valor estimado, con indicación de todos los conceptos que lo integran, incluidos los costes laborales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necesidad y su relación </w:t>
            </w:r>
            <w:r>
              <w:rPr>
                <w:rFonts w:ascii="Calibri" w:cs="Calibri" w:eastAsia="Calibri" w:hAnsi="Calibri"/>
                <w:b/>
                <w:bCs/>
                <w:sz w:val="18"/>
                <w:szCs w:val="18"/>
              </w:rPr>
              <w:t xml:space="preserve">directa, clara y proporcional</w:t>
            </w:r>
            <w:r>
              <w:rPr>
                <w:rFonts w:ascii="Calibri" w:cs="Calibri" w:eastAsia="Calibri" w:hAnsi="Calibri"/>
                <w:b w:val="false"/>
                <w:bCs w:val="false"/>
                <w:sz w:val="18"/>
                <w:szCs w:val="18"/>
              </w:rPr>
              <w:t xml:space="preserve"> con 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 y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el 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decisión de no dividir en lotes, en su caso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V.4.9</w:t>
            </w:r>
          </w:p>
        </w:tc>
      </w:tr>
    </w:tbl>
    <w:p>
      <w:pPr>
        <w:spacing w:after="200"/>
      </w:pPr>
    </w:p>
    <w:p>
      <w:pPr>
        <w:spacing w:after="140" w:line="276"/>
      </w:pPr>
      <w:r>
        <w:rPr>
          <w:rFonts w:ascii="Calibri" w:cs="Calibri" w:eastAsia="Calibri" w:hAnsi="Calibri"/>
          <w:sz w:val="21"/>
          <w:szCs w:val="21"/>
        </w:rPr>
        <w:t xml:space="preserve">Además, y aunque no figuren en la enumeración del art. 116.4, la memoria debe recoger: la categoría de seguridad determinada conforme al ENS y la motivación de las exigencias de seguridad (V.4.11); el resultado de la consulta al directorio general de aplicaciones (V.4.3); y la referencia al acuerdo del órgano de gobierno cuando alguna cláusula responda a necesidad institucional (V.4.2).</w:t>
      </w:r>
    </w:p>
    <w:p>
      <w:pPr>
        <w:spacing w:after="140" w:line="276"/>
      </w:pPr>
      <w:r>
        <w:rPr>
          <w:rFonts w:ascii="Calibri" w:cs="Calibri" w:eastAsia="Calibri" w:hAnsi="Calibri"/>
          <w:b/>
          <w:bCs/>
          <w:sz w:val="21"/>
          <w:szCs w:val="21"/>
        </w:rPr>
        <w:t xml:space="preserve">Advertencia de método.</w:t>
      </w:r>
      <w:r>
        <w:rPr>
          <w:rFonts w:ascii="Calibri" w:cs="Calibri" w:eastAsia="Calibri" w:hAnsi="Calibri"/>
          <w:sz w:val="21"/>
          <w:szCs w:val="21"/>
        </w:rPr>
        <w:t xml:space="preserve"> La memoria del catálogo (Parte IV) </w:t>
      </w:r>
      <w:r>
        <w:rPr>
          <w:rFonts w:ascii="Calibri" w:cs="Calibri" w:eastAsia="Calibri" w:hAnsi="Calibri"/>
          <w:b/>
          <w:bCs/>
          <w:sz w:val="21"/>
          <w:szCs w:val="21"/>
        </w:rPr>
        <w:t xml:space="preserve">no sustituye</w:t>
      </w:r>
      <w:r>
        <w:rPr>
          <w:rFonts w:ascii="Calibri" w:cs="Calibri" w:eastAsia="Calibri" w:hAnsi="Calibri"/>
          <w:sz w:val="21"/>
          <w:szCs w:val="21"/>
        </w:rPr>
        <w:t xml:space="preserve"> a esta memoria. Remitirse a ella es exactamente la justificación por remisión que produce la motivación estereotipada.</w:t>
      </w:r>
    </w:p>
    <w:p>
      <w:pPr>
        <w:pStyle w:val="Heading3"/>
        <w:keepNext/>
        <w:spacing w:after="140" w:before="320"/>
      </w:pPr>
      <w:r>
        <w:rPr>
          <w:rFonts w:ascii="Georgia" w:cs="Georgia" w:eastAsia="Georgia" w:hAnsi="Georgia"/>
          <w:b/>
          <w:bCs/>
          <w:color w:val="2F5496"/>
          <w:sz w:val="22"/>
          <w:szCs w:val="22"/>
        </w:rPr>
        <w:t xml:space="preserve">V.4.6 · Justificación de la elección del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116.4.a) LCSP. Publicidad: obligatoria </w:t>
      </w:r>
      <w:r>
        <w:rPr>
          <w:rFonts w:ascii="Calibri" w:cs="Calibri" w:eastAsia="Calibri" w:hAnsi="Calibri"/>
          <w:b/>
          <w:bCs/>
          <w:sz w:val="21"/>
          <w:szCs w:val="21"/>
        </w:rPr>
        <w:t xml:space="preserve">sólo cuando se utilice un procedimiento distinto del abierto o del restringido</w:t>
      </w:r>
      <w:r>
        <w:rPr>
          <w:rFonts w:ascii="Calibri" w:cs="Calibri" w:eastAsia="Calibri" w:hAnsi="Calibri"/>
          <w:sz w:val="21"/>
          <w:szCs w:val="21"/>
        </w:rPr>
        <w:t xml:space="preserve"> (art. 63.3.a). Aun así, conviene que conste siempre en la memoria: la elección de procedimiento condiciona el baremo, y el baremo es uno de los flancos del catálogo.</w:t>
      </w:r>
    </w:p>
    <w:p>
      <w:pPr>
        <w:spacing w:after="140" w:line="276"/>
      </w:pPr>
      <w:r>
        <w:rPr>
          <w:rFonts w:ascii="Calibri" w:cs="Calibri" w:eastAsia="Calibri" w:hAnsi="Calibri"/>
          <w:b/>
          <w:bCs/>
          <w:sz w:val="21"/>
          <w:szCs w:val="21"/>
        </w:rPr>
        <w:t xml:space="preserve">Lo que hay que comprobar antes de elegir.</w:t>
      </w:r>
    </w:p>
    <w:p>
      <w:pPr>
        <w:pStyle w:val="ListParagraph"/>
        <w:numPr>
          <w:ilvl w:val="0"/>
          <w:numId w:val="1"/>
        </w:numPr>
        <w:spacing w:after="70" w:line="268"/>
      </w:pPr>
      <w:r>
        <w:rPr>
          <w:rFonts w:ascii="Calibri" w:cs="Calibri" w:eastAsia="Calibri" w:hAnsi="Calibri"/>
          <w:b/>
          <w:bCs/>
          <w:sz w:val="21"/>
          <w:szCs w:val="21"/>
        </w:rPr>
        <w:t xml:space="preserve">Abierto simplificado</w:t>
      </w:r>
      <w:r>
        <w:rPr>
          <w:rFonts w:ascii="Calibri" w:cs="Calibri" w:eastAsia="Calibri" w:hAnsi="Calibri"/>
          <w:sz w:val="21"/>
          <w:szCs w:val="21"/>
        </w:rPr>
        <w:t xml:space="preserve"> (art. 159.1 LCSP): exige dos condiciones acumulativas. Valor estimado igual o inferior a 2.000.000 € en obras e igual o inferior a </w:t>
      </w:r>
      <w:r>
        <w:rPr>
          <w:rFonts w:ascii="Calibri" w:cs="Calibri" w:eastAsia="Calibri" w:hAnsi="Calibri"/>
          <w:b/>
          <w:bCs/>
          <w:sz w:val="21"/>
          <w:szCs w:val="21"/>
        </w:rPr>
        <w:t xml:space="preserve">100.000 €</w:t>
      </w:r>
      <w:r>
        <w:rPr>
          <w:rFonts w:ascii="Calibri" w:cs="Calibri" w:eastAsia="Calibri" w:hAnsi="Calibri"/>
          <w:sz w:val="21"/>
          <w:szCs w:val="21"/>
        </w:rPr>
        <w:t xml:space="preserve"> en suministros y servicios (art. 159.1.a); y que los criterios sujetos a juicio de valor </w:t>
      </w:r>
      <w:r>
        <w:rPr>
          <w:rFonts w:ascii="Calibri" w:cs="Calibri" w:eastAsia="Calibri" w:hAnsi="Calibri"/>
          <w:b/>
          <w:bCs/>
          <w:sz w:val="21"/>
          <w:szCs w:val="21"/>
        </w:rPr>
        <w:t xml:space="preserve">no superen el 25 % del total</w:t>
      </w:r>
      <w:r>
        <w:rPr>
          <w:rFonts w:ascii="Calibri" w:cs="Calibri" w:eastAsia="Calibri" w:hAnsi="Calibri"/>
          <w:sz w:val="21"/>
          <w:szCs w:val="21"/>
        </w:rPr>
        <w:t xml:space="preserve">, o el 45 % si el contrato tiene por objeto prestaciones de carácter intelectual (art. 159.1.b). La cuantía de servicios y suministros coincide con la del umbral del recurso especial: por encima de 100.000 € se pierde el simplificado y los pliegos pasan a ser directamente recurribles. Es la misma cuantía que emplean ADM-7·v3, apartado 3, y el Anexo X, apartado X.2.a; </w:t>
      </w:r>
      <w:r>
        <w:rPr>
          <w:rFonts w:ascii="Calibri" w:cs="Calibri" w:eastAsia="Calibri" w:hAnsi="Calibri"/>
          <w:b/>
          <w:bCs/>
          <w:sz w:val="21"/>
          <w:szCs w:val="21"/>
        </w:rPr>
        <w:t xml:space="preserve">no debe confundirse con las cuantías de los arts. 21.1.a) y 22.1.a) LCSP</w:t>
      </w:r>
      <w:r>
        <w:rPr>
          <w:rFonts w:ascii="Calibri" w:cs="Calibri" w:eastAsia="Calibri" w:hAnsi="Calibri"/>
          <w:sz w:val="21"/>
          <w:szCs w:val="21"/>
        </w:rPr>
        <w:t xml:space="preserve">, que son las de los contratos sujetos a regulación armonizada adjudicados por la Administración General del Estado.</w:t>
      </w:r>
    </w:p>
    <w:p>
      <w:pPr>
        <w:pStyle w:val="ListParagraph"/>
        <w:numPr>
          <w:ilvl w:val="0"/>
          <w:numId w:val="1"/>
        </w:numPr>
        <w:spacing w:after="70" w:line="268"/>
      </w:pPr>
      <w:r>
        <w:rPr>
          <w:rFonts w:ascii="Calibri" w:cs="Calibri" w:eastAsia="Calibri" w:hAnsi="Calibri"/>
          <w:b/>
          <w:bCs/>
          <w:sz w:val="21"/>
          <w:szCs w:val="21"/>
        </w:rPr>
        <w:t xml:space="preserve">Abierto simplificado abreviado</w:t>
      </w:r>
      <w:r>
        <w:rPr>
          <w:rFonts w:ascii="Calibri" w:cs="Calibri" w:eastAsia="Calibri" w:hAnsi="Calibri"/>
          <w:sz w:val="21"/>
          <w:szCs w:val="21"/>
        </w:rPr>
        <w:t xml:space="preserve"> (art. 159.6 LCSP): obras de valor estimado inferior a 80.000 € y suministros y servicios de valor estimado inferior a 60.000 €, </w:t>
      </w:r>
      <w:r>
        <w:rPr>
          <w:rFonts w:ascii="Calibri" w:cs="Calibri" w:eastAsia="Calibri" w:hAnsi="Calibri"/>
          <w:b/>
          <w:bCs/>
          <w:sz w:val="21"/>
          <w:szCs w:val="21"/>
        </w:rPr>
        <w:t xml:space="preserve">excluidas las prestaciones de carácter intelectual</w:t>
      </w:r>
      <w:r>
        <w:rPr>
          <w:rFonts w:ascii="Calibri" w:cs="Calibri" w:eastAsia="Calibri" w:hAnsi="Calibri"/>
          <w:sz w:val="21"/>
          <w:szCs w:val="21"/>
        </w:rPr>
        <w:t xml:space="preserve">; y la oferta se evalúa </w:t>
      </w:r>
      <w:r>
        <w:rPr>
          <w:rFonts w:ascii="Calibri" w:cs="Calibri" w:eastAsia="Calibri" w:hAnsi="Calibri"/>
          <w:b/>
          <w:bCs/>
          <w:sz w:val="21"/>
          <w:szCs w:val="21"/>
        </w:rPr>
        <w:t xml:space="preserve">en todo caso con criterios cuantificables mediante la mera aplicación de fórmulas</w:t>
      </w:r>
      <w:r>
        <w:rPr>
          <w:rFonts w:ascii="Calibri" w:cs="Calibri" w:eastAsia="Calibri" w:hAnsi="Calibri"/>
          <w:sz w:val="21"/>
          <w:szCs w:val="21"/>
        </w:rPr>
        <w:t xml:space="preserve">, es decir, con cero juicio de valor.</w:t>
      </w:r>
    </w:p>
    <w:p>
      <w:pPr>
        <w:spacing w:after="140" w:line="276"/>
      </w:pPr>
      <w:r>
        <w:rPr>
          <w:rFonts w:ascii="Calibri" w:cs="Calibri" w:eastAsia="Calibri" w:hAnsi="Calibri"/>
          <w:sz w:val="21"/>
          <w:szCs w:val="21"/>
        </w:rPr>
        <w:t xml:space="preserve">La calificación de un contrato como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no se deduce del objeto ni del sector: se motiva por escrito en el expediente conforme a la regla de motivación del </w:t>
      </w:r>
      <w:r>
        <w:rPr>
          <w:rFonts w:ascii="Calibri" w:cs="Calibri" w:eastAsia="Calibri" w:hAnsi="Calibri"/>
          <w:b/>
          <w:bCs/>
          <w:sz w:val="21"/>
          <w:szCs w:val="21"/>
        </w:rPr>
        <w:t xml:space="preserve">Anexo XXIII</w:t>
      </w:r>
      <w:r>
        <w:rPr>
          <w:rFonts w:ascii="Calibri" w:cs="Calibri" w:eastAsia="Calibri" w:hAnsi="Calibri"/>
          <w:sz w:val="21"/>
          <w:szCs w:val="21"/>
        </w:rPr>
        <w:t xml:space="preserve">. De ella dependen aquí el 45 % y la exclusión del abreviado.</w:t>
      </w:r>
    </w:p>
    <w:p>
      <w:pPr>
        <w:spacing w:after="140" w:line="276"/>
      </w:pPr>
      <w:r>
        <w:rPr>
          <w:rFonts w:ascii="Calibri" w:cs="Calibri" w:eastAsia="Calibri" w:hAnsi="Calibri"/>
          <w:sz w:val="21"/>
          <w:szCs w:val="21"/>
        </w:rPr>
        <w:t xml:space="preserve">Consecuencia directa para este catálogo: un baremo con un bloque grande de juicio de valor expulsa el contrato del simplificado. Por eso la cláusula ADM-7·v3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(ADM-7.2), simplificado (ADM-7.3) y abreviado (ADM-7.4)— y no una, y el Anexo IV entrega la hoja de comprobación que las suma. La elección del procedimiento y la construcción del baremo son la misma decisión y se toman a la vez.</w:t>
      </w:r>
    </w:p>
    <w:p>
      <w:pPr>
        <w:pStyle w:val="Heading3"/>
        <w:keepNext/>
        <w:spacing w:after="140" w:before="320"/>
      </w:pPr>
      <w:r>
        <w:rPr>
          <w:rFonts w:ascii="Georgia" w:cs="Georgia" w:eastAsia="Georgia" w:hAnsi="Georgia"/>
          <w:b/>
          <w:bCs/>
          <w:color w:val="2F5496"/>
          <w:sz w:val="22"/>
          <w:szCs w:val="22"/>
        </w:rPr>
        <w:t xml:space="preserve">V.4.7 · Justificación de los criterios de solvencia, de adjudicación y de las condiciones especiales de ejecución</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116.4.c) LCSP.</w:t>
      </w:r>
    </w:p>
    <w:p>
      <w:pPr>
        <w:spacing w:after="140" w:line="276"/>
      </w:pPr>
      <w:r>
        <w:rPr>
          <w:rFonts w:ascii="Calibri" w:cs="Calibri" w:eastAsia="Calibri" w:hAnsi="Calibri"/>
          <w:sz w:val="21"/>
          <w:szCs w:val="21"/>
        </w:rPr>
        <w:t xml:space="preserve">Este es el apartado por el que se anuló el pliego de Parla (V.5.6). Su contenido mínimo:</w:t>
      </w:r>
    </w:p>
    <w:p>
      <w:pPr>
        <w:pStyle w:val="ListParagraph"/>
        <w:numPr>
          <w:ilvl w:val="0"/>
          <w:numId w:val="2"/>
        </w:numPr>
        <w:spacing w:after="70" w:line="268"/>
      </w:pPr>
      <w:r>
        <w:rPr>
          <w:rFonts w:ascii="Calibri" w:cs="Calibri" w:eastAsia="Calibri" w:hAnsi="Calibri"/>
          <w:b/>
          <w:bCs/>
          <w:sz w:val="21"/>
          <w:szCs w:val="21"/>
        </w:rPr>
        <w:t xml:space="preserve">Por cada criterio de solvencia</w:t>
      </w:r>
      <w:r>
        <w:rPr>
          <w:rFonts w:ascii="Calibri" w:cs="Calibri" w:eastAsia="Calibri" w:hAnsi="Calibri"/>
          <w:sz w:val="21"/>
          <w:szCs w:val="21"/>
        </w:rPr>
        <w:t xml:space="preserve">: qué capacidad acredita, por qué esa capacidad es necesaria para ejecutar este objeto y por qué el umbral fijado es proporcionado.</w:t>
      </w:r>
    </w:p>
    <w:p>
      <w:pPr>
        <w:pStyle w:val="ListParagraph"/>
        <w:numPr>
          <w:ilvl w:val="0"/>
          <w:numId w:val="2"/>
        </w:numPr>
        <w:spacing w:after="70" w:line="268"/>
      </w:pPr>
      <w:r>
        <w:rPr>
          <w:rFonts w:ascii="Calibri" w:cs="Calibri" w:eastAsia="Calibri" w:hAnsi="Calibri"/>
          <w:b/>
          <w:bCs/>
          <w:sz w:val="21"/>
          <w:szCs w:val="21"/>
        </w:rPr>
        <w:t xml:space="preserve">Por cada criterio de adjudicación</w:t>
      </w:r>
      <w:r>
        <w:rPr>
          <w:rFonts w:ascii="Calibri" w:cs="Calibri" w:eastAsia="Calibri" w:hAnsi="Calibri"/>
          <w:sz w:val="21"/>
          <w:szCs w:val="21"/>
        </w:rPr>
        <w:t xml:space="preserve">: qué mejora aporta a la prestación, cómo se verificará efectivamente, y por qué su peso es el que es. Un criterio que no puede verificarse con la documentación que se pide no es un criterio: es una declaración de intenciones puntuada.</w:t>
      </w:r>
    </w:p>
    <w:p>
      <w:pPr>
        <w:pStyle w:val="ListParagraph"/>
        <w:numPr>
          <w:ilvl w:val="0"/>
          <w:numId w:val="2"/>
        </w:numPr>
        <w:spacing w:after="70" w:line="268"/>
      </w:pPr>
      <w:r>
        <w:rPr>
          <w:rFonts w:ascii="Calibri" w:cs="Calibri" w:eastAsia="Calibri" w:hAnsi="Calibri"/>
          <w:b/>
          <w:bCs/>
          <w:sz w:val="21"/>
          <w:szCs w:val="21"/>
        </w:rPr>
        <w:t xml:space="preserve">Por cada condición especial de ejecución</w:t>
      </w:r>
      <w:r>
        <w:rPr>
          <w:rFonts w:ascii="Calibri" w:cs="Calibri" w:eastAsia="Calibri" w:hAnsi="Calibri"/>
          <w:sz w:val="21"/>
          <w:szCs w:val="21"/>
        </w:rPr>
        <w:t xml:space="preserve">: su vinculación al objeto y las consecuencias tasadas de su incumplimiento.</w:t>
      </w:r>
    </w:p>
    <w:p>
      <w:pPr>
        <w:pStyle w:val="ListParagraph"/>
        <w:numPr>
          <w:ilvl w:val="0"/>
          <w:numId w:val="2"/>
        </w:numPr>
        <w:spacing w:after="70" w:line="268"/>
      </w:pPr>
      <w:r>
        <w:rPr>
          <w:rFonts w:ascii="Calibri" w:cs="Calibri" w:eastAsia="Calibri" w:hAnsi="Calibri"/>
          <w:b/>
          <w:bCs/>
          <w:sz w:val="21"/>
          <w:szCs w:val="21"/>
        </w:rPr>
        <w:t xml:space="preserve">Prueba de la no duplicidad</w:t>
      </w:r>
      <w:r>
        <w:rPr>
          <w:rFonts w:ascii="Calibri" w:cs="Calibri" w:eastAsia="Calibri" w:hAnsi="Calibri"/>
          <w:sz w:val="21"/>
          <w:szCs w:val="21"/>
        </w:rPr>
        <w:t xml:space="preserve">: constancia expresa de que se ha aplicado la regla de separación de instrumentos, que se enuncia en la Parte I, §7.3, y se transcribe al pliego en ADM-7·v3, apartado 1.1, y de que ninguna exigencia se computa dos veces.</w:t>
      </w:r>
    </w:p>
    <w:p>
      <w:pPr>
        <w:pStyle w:val="ListParagraph"/>
        <w:numPr>
          <w:ilvl w:val="0"/>
          <w:numId w:val="2"/>
        </w:numPr>
        <w:spacing w:after="70" w:line="268"/>
      </w:pPr>
      <w:r>
        <w:rPr>
          <w:rFonts w:ascii="Calibri" w:cs="Calibri" w:eastAsia="Calibri" w:hAnsi="Calibri"/>
          <w:b/>
          <w:bCs/>
          <w:sz w:val="21"/>
          <w:szCs w:val="21"/>
        </w:rPr>
        <w:t xml:space="preserve">Hoja de comprobación del baremo</w:t>
      </w:r>
      <w:r>
        <w:rPr>
          <w:rFonts w:ascii="Calibri" w:cs="Calibri" w:eastAsia="Calibri" w:hAnsi="Calibri"/>
          <w:sz w:val="21"/>
          <w:szCs w:val="21"/>
        </w:rPr>
        <w:t xml:space="preserve"> (Anexo IV), que suma </w:t>
      </w:r>
      <w:r>
        <w:rPr>
          <w:rFonts w:ascii="Calibri" w:cs="Calibri" w:eastAsia="Calibri" w:hAnsi="Calibri"/>
          <w:b/>
          <w:bCs/>
          <w:sz w:val="21"/>
          <w:szCs w:val="21"/>
        </w:rPr>
        <w:t xml:space="preserve">el baremo entero del contrato, precio incluido</w:t>
      </w:r>
      <w:r>
        <w:rPr>
          <w:rFonts w:ascii="Calibri" w:cs="Calibri" w:eastAsia="Calibri" w:hAnsi="Calibri"/>
          <w:sz w:val="21"/>
          <w:szCs w:val="21"/>
        </w:rPr>
        <w:t xml:space="preserve">, y no sólo el bloque de innovación, y que avisa cuando la ponderación del juicio de valor obliga a constituir el comité de expertos o cuando expulsa el contrato del procedimiento previsto.</w:t>
      </w:r>
    </w:p>
    <w:p>
      <w:pPr>
        <w:pStyle w:val="ListParagraph"/>
        <w:numPr>
          <w:ilvl w:val="0"/>
          <w:numId w:val="2"/>
        </w:numPr>
        <w:spacing w:after="70" w:line="268"/>
      </w:pPr>
      <w:r>
        <w:rPr>
          <w:rFonts w:ascii="Calibri" w:cs="Calibri" w:eastAsia="Calibri" w:hAnsi="Calibri"/>
          <w:b/>
          <w:bCs/>
          <w:sz w:val="21"/>
          <w:szCs w:val="21"/>
        </w:rPr>
        <w:t xml:space="preserve">Por cada certificación exigida</w:t>
      </w:r>
      <w:r>
        <w:rPr>
          <w:rFonts w:ascii="Calibri" w:cs="Calibri" w:eastAsia="Calibri" w:hAnsi="Calibri"/>
          <w:sz w:val="21"/>
          <w:szCs w:val="21"/>
        </w:rPr>
        <w:t xml:space="preserve">: si se exige como habilitación, como solvencia, como prescripción de ejecución o como criterio, y la justificación de esa calificación. Es literalmente lo que faltaba en Parla.</w:t>
      </w:r>
    </w:p>
    <w:p>
      <w:pPr>
        <w:pStyle w:val="Heading3"/>
        <w:keepNext/>
        <w:spacing w:after="140" w:before="320"/>
      </w:pPr>
      <w:r>
        <w:rPr>
          <w:rFonts w:ascii="Georgia" w:cs="Georgia" w:eastAsia="Georgia" w:hAnsi="Georgia"/>
          <w:b/>
          <w:bCs/>
          <w:color w:val="2F5496"/>
          <w:sz w:val="22"/>
          <w:szCs w:val="22"/>
        </w:rPr>
        <w:t xml:space="preserve">V.4.8 · Informe de insuficiencia de medios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116.4.f) LCSP. Publicidad obligatoria (art. 63.3.a).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todos los contratos de servicios. Sin excepción.</w:t>
      </w:r>
    </w:p>
    <w:p>
      <w:pPr>
        <w:spacing w:after="140" w:line="276"/>
      </w:pPr>
      <w:r>
        <w:rPr>
          <w:rFonts w:ascii="Calibri" w:cs="Calibri" w:eastAsia="Calibri" w:hAnsi="Calibri"/>
          <w:b/>
          <w:bCs/>
          <w:sz w:val="21"/>
          <w:szCs w:val="21"/>
        </w:rPr>
        <w:t xml:space="preserve">Contenido mínimo.</w:t>
      </w:r>
      <w:r>
        <w:rPr>
          <w:rFonts w:ascii="Calibri" w:cs="Calibri" w:eastAsia="Calibri" w:hAnsi="Calibri"/>
          <w:sz w:val="21"/>
          <w:szCs w:val="21"/>
        </w:rPr>
        <w:t xml:space="preserve"> Medios personales y materiales de que dispone el Ayuntamiento para la prestación; por qué son insuficientes o inadecuados para este objeto y en esta magnitud; y por qué no procede su ampliación. La comparación se hace con datos de plantilla, no con afirmaciones generales.</w:t>
      </w:r>
    </w:p>
    <w:p>
      <w:pPr>
        <w:spacing w:after="140" w:line="276"/>
      </w:pPr>
      <w:r>
        <w:rPr>
          <w:rFonts w:ascii="Calibri" w:cs="Calibri" w:eastAsia="Calibri" w:hAnsi="Calibri"/>
          <w:b/>
          <w:bCs/>
          <w:sz w:val="21"/>
          <w:szCs w:val="21"/>
        </w:rPr>
        <w:t xml:space="preserve">Error frecuente.</w:t>
      </w:r>
      <w:r>
        <w:rPr>
          <w:rFonts w:ascii="Calibri" w:cs="Calibri" w:eastAsia="Calibri" w:hAnsi="Calibri"/>
          <w:sz w:val="21"/>
          <w:szCs w:val="21"/>
        </w:rPr>
        <w:t xml:space="preserve"> Un informe de tres líneas idéntico en todos los expedientes. Al estar publicado y ser trivialmente comparable en el mismo perfil de contratante, es una prueba documental que el recurrente obtiene sin esfuerzo.</w:t>
      </w:r>
    </w:p>
    <w:p>
      <w:pPr>
        <w:pStyle w:val="Heading3"/>
        <w:keepNext/>
        <w:spacing w:after="140" w:before="320"/>
      </w:pPr>
      <w:r>
        <w:rPr>
          <w:rFonts w:ascii="Georgia" w:cs="Georgia" w:eastAsia="Georgia" w:hAnsi="Georgia"/>
          <w:b/>
          <w:bCs/>
          <w:color w:val="2F5496"/>
          <w:sz w:val="22"/>
          <w:szCs w:val="22"/>
        </w:rPr>
        <w:t xml:space="preserve">V.4.9 · Decisión sobre la división en lotes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116.4.g) LCSP.</w:t>
      </w:r>
    </w:p>
    <w:p>
      <w:pPr>
        <w:spacing w:after="140" w:line="276"/>
      </w:pPr>
      <w:r>
        <w:rPr>
          <w:rFonts w:ascii="Calibri" w:cs="Calibri" w:eastAsia="Calibri" w:hAnsi="Calibri"/>
          <w:sz w:val="21"/>
          <w:szCs w:val="21"/>
        </w:rPr>
        <w:t xml:space="preserve">Merece mención propia en este catálogo porque sus exigencias empujan hacia el lote único: si se pide una interfaz normalizada, trazabilidad y reversibilidad sobre un conjunto de módulos, la tentación es contratarlo todo junto. La justificación de no dividir tiene que ser técnica y verificable, no de comodidad de gestión, y debe examinarse expresamente si la agregación no restringe artificialmente la competencia (art. 132.2 LCSP: la contratación no será concebida «con la intención de […] restringir artificialmente la competencia»).</w:t>
      </w:r>
    </w:p>
    <w:p>
      <w:pPr>
        <w:pStyle w:val="Heading3"/>
        <w:keepNext/>
        <w:spacing w:after="140" w:before="320"/>
      </w:pPr>
      <w:r>
        <w:rPr>
          <w:rFonts w:ascii="Georgia" w:cs="Georgia" w:eastAsia="Georgia" w:hAnsi="Georgia"/>
          <w:b/>
          <w:bCs/>
          <w:color w:val="2F5496"/>
          <w:sz w:val="22"/>
          <w:szCs w:val="22"/>
        </w:rPr>
        <w:t xml:space="preserve">V.4.10 · Cálculo y justificación del valor estimado, y los cuatro umbrales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101 y 116.4.d) LCSP.</w:t>
      </w:r>
    </w:p>
    <w:p>
      <w:pPr>
        <w:spacing w:after="140" w:line="276"/>
      </w:pPr>
      <w:r>
        <w:rPr>
          <w:rFonts w:ascii="Calibri" w:cs="Calibri" w:eastAsia="Calibri" w:hAnsi="Calibri"/>
          <w:b/>
          <w:bCs/>
          <w:sz w:val="21"/>
          <w:szCs w:val="21"/>
        </w:rPr>
        <w:t xml:space="preserve">Qué debe entrar en el cálculo</w:t>
      </w:r>
      <w:r>
        <w:rPr>
          <w:rFonts w:ascii="Calibri" w:cs="Calibri" w:eastAsia="Calibri" w:hAnsi="Calibri"/>
          <w:sz w:val="21"/>
          <w:szCs w:val="21"/>
        </w:rPr>
        <w:t xml:space="preserve"> (art. 101.2, literal verificado): además de los costes derivados de la normativa laboral, los costes de ejecución material, los gastos generales de estructura y el beneficio industrial; y además:</w:t>
      </w:r>
    </w:p>
    <w:p>
      <w:pPr>
        <w:pStyle w:val="ListParagraph"/>
        <w:numPr>
          <w:ilvl w:val="0"/>
          <w:numId w:val="1"/>
        </w:numPr>
        <w:spacing w:after="70" w:line="268"/>
      </w:pPr>
      <w:r>
        <w:rPr>
          <w:rFonts w:ascii="Calibri" w:cs="Calibri" w:eastAsia="Calibri" w:hAnsi="Calibri"/>
          <w:sz w:val="21"/>
          <w:szCs w:val="21"/>
        </w:rPr>
        <w:t xml:space="preserve">a) </w:t>
      </w:r>
      <w:r>
        <w:rPr>
          <w:rFonts w:ascii="Calibri" w:cs="Calibri" w:eastAsia="Calibri" w:hAnsi="Calibri"/>
          <w:b/>
          <w:bCs/>
          <w:sz w:val="21"/>
          <w:szCs w:val="21"/>
        </w:rPr>
        <w:t xml:space="preserve">cualquier forma de opción eventual y las eventuales prórrogas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b) primas o pagos a candidatos o licitadores, si se hubieran previsto;</w:t>
      </w:r>
    </w:p>
    <w:p>
      <w:pPr>
        <w:pStyle w:val="ListParagraph"/>
        <w:numPr>
          <w:ilvl w:val="0"/>
          <w:numId w:val="1"/>
        </w:numPr>
        <w:spacing w:after="70" w:line="268"/>
      </w:pPr>
      <w:r>
        <w:rPr>
          <w:rFonts w:ascii="Calibri" w:cs="Calibri" w:eastAsia="Calibri" w:hAnsi="Calibri"/>
          <w:sz w:val="21"/>
          <w:szCs w:val="21"/>
        </w:rPr>
        <w:t xml:space="preserve">c) cuando se haya previsto en el PCAP o en el anuncio la posibilidad de modificar el contrato conforme al art. 204, </w:t>
      </w:r>
      <w:r>
        <w:rPr>
          <w:rFonts w:ascii="Calibri" w:cs="Calibri" w:eastAsia="Calibri" w:hAnsi="Calibri"/>
          <w:b/>
          <w:bCs/>
          <w:sz w:val="21"/>
          <w:szCs w:val="21"/>
        </w:rPr>
        <w:t xml:space="preserve">el importe máximo que el contrato pueda alcanzar, teniendo en cuenta la totalidad de las modificaciones al alza previstas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Dos consecuencias que este catálogo no puede ocultar:</w:t>
      </w:r>
    </w:p>
    <w:p>
      <w:pPr>
        <w:pStyle w:val="ListParagraph"/>
        <w:numPr>
          <w:ilvl w:val="0"/>
          <w:numId w:val="1"/>
        </w:numPr>
        <w:spacing w:after="70" w:line="268"/>
      </w:pPr>
      <w:r>
        <w:rPr>
          <w:rFonts w:ascii="Calibri" w:cs="Calibri" w:eastAsia="Calibri" w:hAnsi="Calibri"/>
          <w:b/>
          <w:bCs/>
          <w:sz w:val="21"/>
          <w:szCs w:val="21"/>
        </w:rPr>
        <w:t xml:space="preserve">La bolsa de servicios evolutivos computa en el valor estimado.</w:t>
      </w:r>
      <w:r>
        <w:rPr>
          <w:rFonts w:ascii="Calibri" w:cs="Calibri" w:eastAsia="Calibri" w:hAnsi="Calibri"/>
          <w:sz w:val="21"/>
          <w:szCs w:val="21"/>
        </w:rPr>
        <w:t xml:space="preserve"> Si está en el presupuesto base de licitación, está en el valor estimado. Escribir que «no lo infla» es falso y la Intervención lo verá en la primera lectura.</w:t>
      </w:r>
    </w:p>
    <w:p>
      <w:pPr>
        <w:pStyle w:val="ListParagraph"/>
        <w:numPr>
          <w:ilvl w:val="0"/>
          <w:numId w:val="1"/>
        </w:numPr>
        <w:spacing w:after="70" w:line="268"/>
      </w:pPr>
      <w:r>
        <w:rPr>
          <w:rFonts w:ascii="Calibri" w:cs="Calibri" w:eastAsia="Calibri" w:hAnsi="Calibri"/>
          <w:b/>
          <w:bCs/>
          <w:sz w:val="21"/>
          <w:szCs w:val="21"/>
        </w:rPr>
        <w:t xml:space="preserve">La modificación prevista también computa, y por su importe máximo.</w:t>
      </w:r>
      <w:r>
        <w:rPr>
          <w:rFonts w:ascii="Calibri" w:cs="Calibri" w:eastAsia="Calibri" w:hAnsi="Calibri"/>
          <w:sz w:val="21"/>
          <w:szCs w:val="21"/>
        </w:rPr>
        <w:t xml:space="preserve"> Reservar un porcentaje de modificación sube el valor estimado y puede cruzar un umbral.</w:t>
      </w:r>
    </w:p>
    <w:p>
      <w:pPr>
        <w:spacing w:after="140" w:line="276"/>
      </w:pPr>
      <w:r>
        <w:rPr>
          <w:rFonts w:ascii="Calibri" w:cs="Calibri" w:eastAsia="Calibri" w:hAnsi="Calibri"/>
          <w:b/>
          <w:bCs/>
          <w:sz w:val="21"/>
          <w:szCs w:val="21"/>
        </w:rPr>
        <w:t xml:space="preserve">El método de cálculo debe figurar en el PCAP</w:t>
      </w:r>
      <w:r>
        <w:rPr>
          <w:rFonts w:ascii="Calibri" w:cs="Calibri" w:eastAsia="Calibri" w:hAnsi="Calibri"/>
          <w:sz w:val="21"/>
          <w:szCs w:val="21"/>
        </w:rPr>
        <w:t xml:space="preserve"> (art. 101.5). Este es uno de los tres textos de esta Parte que sí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Método de cálculo del valor estimado</w:t>
            </w:r>
            <w:r>
              <w:rPr>
                <w:rFonts w:ascii="Georgia" w:cs="Georgia" w:eastAsia="Georgia" w:hAnsi="Georgia"/>
                <w:sz w:val="20"/>
                <w:szCs w:val="20"/>
              </w:rPr>
              <w:t xml:space="preserve"> (artículo 101.5 de la Ley 9/2017).</w:t>
            </w:r>
          </w:p>
          <w:p>
            <w:pPr>
              <w:spacing w:after="100" w:line="264"/>
            </w:pPr>
            <w:r>
              <w:rPr>
                <w:rFonts w:ascii="Georgia" w:cs="Georgia" w:eastAsia="Georgia" w:hAnsi="Georgia"/>
                <w:sz w:val="20"/>
                <w:szCs w:val="20"/>
              </w:rPr>
              <w:t xml:space="preserve">El valor estimado del contrato asciende a [importe] euros, IVA excluido, y se ha calculado como suma de los siguientes conceptos:</w:t>
            </w:r>
          </w:p>
          <w:p>
            <w:pPr>
              <w:spacing w:after="100" w:line="264"/>
            </w:pPr>
            <w:r>
              <w:rPr>
                <w:rFonts w:ascii="Georgia" w:cs="Georgia" w:eastAsia="Georgia" w:hAnsi="Georgia"/>
                <w:sz w:val="20"/>
                <w:szCs w:val="20"/>
              </w:rPr>
              <w:t xml:space="preserve">a) Presupuesto base de licitación del periodo inicial, sin IVA: [importe] euros, del que corresponden a costes directos de personal [importe] euros, a otros costes directos [importe] euros, a gastos generales de estructura [importe] euros y a beneficio industrial [importe] euros.</w:t>
            </w:r>
          </w:p>
          <w:p>
            <w:pPr>
              <w:spacing w:after="100" w:line="264"/>
            </w:pPr>
            <w:r>
              <w:rPr>
                <w:rFonts w:ascii="Georgia" w:cs="Georgia" w:eastAsia="Georgia" w:hAnsi="Georgia"/>
                <w:sz w:val="20"/>
                <w:szCs w:val="20"/>
              </w:rPr>
              <w:t xml:space="preserve">b) Prórrogas previstas: [número] prórroga(s) de [duración] cada una, por importe de [importe] euros.</w:t>
            </w:r>
          </w:p>
          <w:p>
            <w:pPr>
              <w:spacing w:after="100" w:line="264"/>
            </w:pPr>
            <w:r>
              <w:rPr>
                <w:rFonts w:ascii="Georgia" w:cs="Georgia" w:eastAsia="Georgia" w:hAnsi="Georgia"/>
                <w:sz w:val="20"/>
                <w:szCs w:val="20"/>
              </w:rPr>
              <w:t xml:space="preserve">c) Bolsa de servicios evolutivos prevista en la cláusula [código]: [importe] euros.</w:t>
            </w:r>
          </w:p>
          <w:p>
            <w:pPr>
              <w:spacing w:after="100" w:line="264"/>
            </w:pPr>
            <w:r>
              <w:rPr>
                <w:rFonts w:ascii="Georgia" w:cs="Georgia" w:eastAsia="Georgia" w:hAnsi="Georgia"/>
                <w:sz w:val="20"/>
                <w:szCs w:val="20"/>
              </w:rPr>
              <w:t xml:space="preserve">d) Importe máximo de las modificaciones al alza previstas al amparo del artículo 204 de la Ley 9/2017: [X; se recomienda 0 —la modificación prevista no se utiliza por defecto—; si se utiliza, en ningún caso superior al VEINTE] por ciento del precio inicial, equivalente a [importe] euros.</w:t>
            </w:r>
          </w:p>
          <w:p>
            <w:pPr>
              <w:spacing w:after="100" w:line="264"/>
            </w:pPr>
            <w:r>
              <w:rPr>
                <w:rFonts w:ascii="Georgia" w:cs="Georgia" w:eastAsia="Georgia" w:hAnsi="Georgia"/>
                <w:sz w:val="20"/>
                <w:szCs w:val="20"/>
              </w:rPr>
              <w:t xml:space="preserve">No se han previsto opciones eventuales distintas de las anteriores ni primas o pagos a los licitadores.</w:t>
            </w:r>
          </w:p>
        </w:tc>
      </w:tr>
    </w:tbl>
    <w:p>
      <w:pPr>
        <w:spacing w:after="220"/>
      </w:pPr>
    </w:p>
    <w:p>
      <w:pPr>
        <w:spacing w:after="140" w:line="276"/>
      </w:pPr>
      <w:r>
        <w:rPr>
          <w:rFonts w:ascii="Calibri" w:cs="Calibri" w:eastAsia="Calibri" w:hAnsi="Calibri"/>
          <w:b/>
          <w:bCs/>
          <w:sz w:val="21"/>
          <w:szCs w:val="21"/>
        </w:rPr>
        <w:t xml:space="preserve">Los cuatro umbrales, con su fecha de caducidad.</w:t>
      </w:r>
      <w:r>
        <w:rPr>
          <w:rFonts w:ascii="Calibri" w:cs="Calibri" w:eastAsia="Calibri" w:hAnsi="Calibri"/>
          <w:sz w:val="21"/>
          <w:szCs w:val="21"/>
        </w:rPr>
        <w:t xml:space="preserve"> Todos ellos son valores normativos, no parámetros del órgano de contratación; pero cambian, y quien copie este documento tiene que comprobar su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Cuantía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desencadena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15.000 € (servicios y suministros); &lt; 40.000 €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simplificado del art. 118; véase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simplificado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60.000 € (servicios y suministros, excluidas prestaciones intelectuales); &lt; 80.000 €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Cero criterios de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(servicios y suministros); superior a 3.000.000 € (obras); superior a 3.000.000 €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pasan a ser directamente recurribles ante el tribunal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216.000 € (servicios y suministros adjudicados por entidades distintas de la AGE)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Publicidad en el DOUE y plazos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21.1.b) y 22.1.b) LCSP, en la redacción dada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Comprobar antes de cada uso</w:t>
            </w:r>
            <w:r>
              <w:rPr>
                <w:rFonts w:ascii="Calibri" w:cs="Calibri" w:eastAsia="Calibri" w:hAnsi="Calibri"/>
                <w:b w:val="false"/>
                <w:bCs w:val="false"/>
                <w:sz w:val="18"/>
                <w:szCs w:val="18"/>
              </w:rPr>
              <w:t xml:space="preserve">: se actualiza cada dos años. El importe vigente en obras y concesiones es 5.404.000 € (art. 20.1 LCSP)</w:t>
            </w:r>
          </w:p>
        </w:tc>
      </w:tr>
    </w:tbl>
    <w:p>
      <w:pPr>
        <w:spacing w:after="200"/>
      </w:pPr>
    </w:p>
    <w:p>
      <w:pPr>
        <w:spacing w:after="140" w:line="276"/>
      </w:pPr>
      <w:r>
        <w:rPr>
          <w:rFonts w:ascii="Calibri" w:cs="Calibri" w:eastAsia="Calibri" w:hAnsi="Calibri"/>
          <w:b/>
          <w:bCs/>
          <w:sz w:val="21"/>
          <w:szCs w:val="21"/>
        </w:rPr>
        <w:t xml:space="preserve">Antes de reservar una modificación</w:t>
      </w:r>
      <w:r>
        <w:rPr>
          <w:rFonts w:ascii="Calibri" w:cs="Calibri" w:eastAsia="Calibri" w:hAnsi="Calibri"/>
          <w:sz w:val="21"/>
          <w:szCs w:val="21"/>
        </w:rPr>
        <w:t xml:space="preserve">, léase el ejemplo trabajado de la Parte 0, §0.2, y la cláusula ADM-14·v3: una reserva de modificación computa en el valor estimado por su importe máximo (art. 101.2.c) y puede cruzar el umbral del recurso especial, abriendo contra los pliegos una vía de impugnación que sin ella no existía. Regla por defecto de este catálogo: </w:t>
      </w:r>
      <w:r>
        <w:rPr>
          <w:rFonts w:ascii="Calibri" w:cs="Calibri" w:eastAsia="Calibri" w:hAnsi="Calibri"/>
          <w:b/>
          <w:bCs/>
          <w:sz w:val="21"/>
          <w:szCs w:val="21"/>
        </w:rPr>
        <w:t xml:space="preserve">la modificación prevista no se incorpora salvo justificación expresa</w:t>
      </w:r>
      <w:r>
        <w:rPr>
          <w:rFonts w:ascii="Calibri" w:cs="Calibri" w:eastAsia="Calibri" w:hAnsi="Calibri"/>
          <w:sz w:val="21"/>
          <w:szCs w:val="21"/>
        </w:rPr>
        <w:t xml:space="preserve">, y la vía preferente para la evolución retribuida es la bolsa de servicios evolutivos dentro del contrato.</w:t>
      </w:r>
    </w:p>
    <w:p>
      <w:pPr>
        <w:spacing w:after="140" w:line="276"/>
      </w:pPr>
      <w:r>
        <w:rPr>
          <w:rFonts w:ascii="Calibri" w:cs="Calibri" w:eastAsia="Calibri" w:hAnsi="Calibri"/>
          <w:b/>
          <w:bCs/>
          <w:sz w:val="21"/>
          <w:szCs w:val="21"/>
        </w:rPr>
        <w:t xml:space="preserve">Advertencia final del artículo 101.4.</w:t>
      </w:r>
      <w:r>
        <w:rPr>
          <w:rFonts w:ascii="Calibri" w:cs="Calibri" w:eastAsia="Calibri" w:hAnsi="Calibri"/>
          <w:sz w:val="21"/>
          <w:szCs w:val="21"/>
        </w:rPr>
        <w:t xml:space="preserve"> «La elección del método para calcular el valor estimado no podrá efectuarse con la intención de sustraer el contrato a la aplicación de las normas de adjudicación que correspondan.» Ajustar a la baja el valor estimado para quedarse por debajo de 100.000 € y evitar el recurso especial es, además de un fraude de ley, una decisión que se descubre sola: el importe de adjudicación se publica.</w:t>
      </w:r>
    </w:p>
    <w:p>
      <w:pPr>
        <w:pStyle w:val="Heading3"/>
        <w:keepNext/>
        <w:spacing w:after="140" w:before="320"/>
      </w:pPr>
      <w:r>
        <w:rPr>
          <w:rFonts w:ascii="Georgia" w:cs="Georgia" w:eastAsia="Georgia" w:hAnsi="Georgia"/>
          <w:b/>
          <w:bCs/>
          <w:color w:val="2F5496"/>
          <w:sz w:val="22"/>
          <w:szCs w:val="22"/>
        </w:rPr>
        <w:t xml:space="preserve">V.4.11 · Categorización ENS y análisis de riesgos</w:t>
      </w:r>
    </w:p>
    <w:p>
      <w:pPr>
        <w:spacing w:after="140" w:line="276"/>
      </w:pPr>
      <w:r>
        <w:rPr>
          <w:rFonts w:ascii="Calibri" w:cs="Calibri" w:eastAsia="Calibri" w:hAnsi="Calibri"/>
          <w:sz w:val="21"/>
          <w:szCs w:val="21"/>
        </w:rPr>
        <w:t xml:space="preserve">Este documento es el que faltaba en el expediente que el Tribunal Administrativo de Contratación Pública de la Comunidad de Madrid anuló en el caso de Parla. Se explica en V.5.6; aquí va 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Real Decreto 311/2022: arts. 40 y 41 y anexo I (categorías), art. 28 (medidas y Declaración de Aplicabilidad), art. 38.1 (conformidad), art. 2.3 (pliegos y cadena de suministro).</w:t>
      </w:r>
    </w:p>
    <w:p>
      <w:pPr>
        <w:spacing w:after="140" w:line="276"/>
      </w:pPr>
      <w:r>
        <w:rPr>
          <w:rFonts w:ascii="Calibri" w:cs="Calibri" w:eastAsia="Calibri" w:hAnsi="Calibri"/>
          <w:b/>
          <w:bCs/>
          <w:sz w:val="21"/>
          <w:szCs w:val="21"/>
        </w:rPr>
        <w:t xml:space="preserve">La categoría no se elige: resulta.</w:t>
      </w:r>
      <w:r>
        <w:rPr>
          <w:rFonts w:ascii="Calibri" w:cs="Calibri" w:eastAsia="Calibri" w:hAnsi="Calibri"/>
          <w:sz w:val="21"/>
          <w:szCs w:val="21"/>
        </w:rPr>
        <w:t xml:space="preserve"> El art. 40.2 dispone que la determinación de la categoría «se efectuará en función de la valoración del impacto que tendría un incidente que afectase a la seguridad de la información o de los servicios con perjuicio para la disponibilidad, autenticidad, integridad, confidencialidad o trazabilidad, siguiendo el procedimiento descrito en el anexo I». Escribir «se exige ENS Nivel Alto» sin haber recorrido el anexo I es escribir una restricción sin fundamento.</w:t>
      </w:r>
    </w:p>
    <w:p>
      <w:pPr>
        <w:spacing w:after="140" w:line="276"/>
      </w:pPr>
      <w:r>
        <w:rPr>
          <w:rFonts w:ascii="Calibri" w:cs="Calibri" w:eastAsia="Calibri" w:hAnsi="Calibri"/>
          <w:b/>
          <w:bCs/>
          <w:sz w:val="21"/>
          <w:szCs w:val="21"/>
        </w:rPr>
        <w:t xml:space="preserve">Quién hace qué</w:t>
      </w:r>
      <w:r>
        <w:rPr>
          <w:rFonts w:ascii="Calibri" w:cs="Calibri" w:eastAsia="Calibri" w:hAnsi="Calibri"/>
          <w:sz w:val="21"/>
          <w:szCs w:val="21"/>
        </w:rPr>
        <w:t xml:space="preserve"> (art. 41):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al responsable o responsables de la información o servicios afectados (art. 41.1).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con base en esas valoraciones, corresponde al responsable o responsables de la seguridad (art. 41.2).</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Declaración de Aplicabilidad</w:t>
      </w:r>
      <w:r>
        <w:rPr>
          <w:rFonts w:ascii="Calibri" w:cs="Calibri" w:eastAsia="Calibri" w:hAnsi="Calibri"/>
          <w:sz w:val="21"/>
          <w:szCs w:val="21"/>
        </w:rPr>
        <w:t xml:space="preserve"> —relación de medidas seleccionadas— la firma el responsable de la seguridad (art. 28.2).</w:t>
      </w:r>
    </w:p>
    <w:p>
      <w:pPr>
        <w:spacing w:after="140" w:line="276"/>
      </w:pPr>
      <w:r>
        <w:rPr>
          <w:rFonts w:ascii="Calibri" w:cs="Calibri" w:eastAsia="Calibri" w:hAnsi="Calibri"/>
          <w:b/>
          <w:bCs/>
          <w:sz w:val="21"/>
          <w:szCs w:val="21"/>
        </w:rPr>
        <w:t xml:space="preserve">Qué se exige después al contratista.</w:t>
      </w:r>
      <w:r>
        <w:rPr>
          <w:rFonts w:ascii="Calibri" w:cs="Calibri" w:eastAsia="Calibri" w:hAnsi="Calibri"/>
          <w:sz w:val="21"/>
          <w:szCs w:val="21"/>
        </w:rPr>
        <w:t xml:space="preserve"> El art. 2.3, párrafo tercero, del RD 311/2022 es el precepto que hay que citar en la memoria, literal:</w:t>
      </w:r>
    </w:p>
    <w:p>
      <w:pPr>
        <w:pBdr>
          <w:left w:val="single" w:color="BFBFBF" w:sz="12" w:space="8"/>
        </w:pBdr>
        <w:spacing w:after="140" w:line="264"/>
        <w:ind w:left="400"/>
      </w:pPr>
      <w:r>
        <w:rPr>
          <w:rFonts w:ascii="Georgia" w:cs="Georgia" w:eastAsia="Georgia" w:hAnsi="Georgia"/>
          <w:i/>
          <w:iCs/>
          <w:color w:val="595959"/>
          <w:sz w:val="20"/>
          <w:szCs w:val="20"/>
        </w:rPr>
        <w:t xml:space="preserve">«Los pliegos de prescripciones administrativas o técnicas de los contratos que celebren las entidades del sector público incluidas en el ámbito de aplicación de este real decreto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p>
    <w:p>
      <w:pPr>
        <w:spacing w:after="140" w:line="276"/>
      </w:pPr>
      <w:r>
        <w:rPr>
          <w:rFonts w:ascii="Calibri" w:cs="Calibri" w:eastAsia="Calibri" w:hAnsi="Calibri"/>
          <w:sz w:val="21"/>
          <w:szCs w:val="21"/>
        </w:rPr>
        <w:t xml:space="preserve">Y el párrafo cuarto, que es el que hace proporcional la exigencia sobre la cadena de suministro:</w:t>
      </w:r>
    </w:p>
    <w:p>
      <w:pPr>
        <w:pBdr>
          <w:left w:val="single" w:color="BFBFBF" w:sz="12" w:space="8"/>
        </w:pBdr>
        <w:spacing w:after="140" w:line="264"/>
        <w:ind w:left="400"/>
      </w:pPr>
      <w:r>
        <w:rPr>
          <w:rFonts w:ascii="Georgia" w:cs="Georgia" w:eastAsia="Georgia" w:hAnsi="Georgia"/>
          <w:i/>
          <w:iCs/>
          <w:color w:val="595959"/>
          <w:sz w:val="20"/>
          <w:szCs w:val="20"/>
        </w:rPr>
        <w:t xml:space="preserve">«Esta cautela se extenderá también a la cadena de suministro de dichos contratistas, </w:t>
      </w:r>
      <w:r>
        <w:rPr>
          <w:rFonts w:ascii="Georgia" w:cs="Georgia" w:eastAsia="Georgia" w:hAnsi="Georgia"/>
          <w:b/>
          <w:bCs/>
          <w:i/>
          <w:iCs/>
          <w:color w:val="595959"/>
          <w:sz w:val="20"/>
          <w:szCs w:val="20"/>
        </w:rPr>
        <w:t xml:space="preserve">en la medida que sea necesario y de acuerdo con los resultados del correspondiente análisis de riesgos</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De ahí la exigencia de análisis de riesgos: sin él, la extensión a la cadena de suministro no está motivada y es desproporcionada por definición.</w:t>
      </w:r>
    </w:p>
    <w:p>
      <w:pPr>
        <w:spacing w:after="140" w:line="276"/>
      </w:pPr>
      <w:r>
        <w:rPr>
          <w:rFonts w:ascii="Calibri" w:cs="Calibri" w:eastAsia="Calibri" w:hAnsi="Calibri"/>
          <w:b/>
          <w:bCs/>
          <w:sz w:val="21"/>
          <w:szCs w:val="21"/>
        </w:rPr>
        <w:t xml:space="preserve">Autoevaluación o certificación.</w:t>
      </w:r>
      <w:r>
        <w:rPr>
          <w:rFonts w:ascii="Calibri" w:cs="Calibri" w:eastAsia="Calibri" w:hAnsi="Calibri"/>
          <w:sz w:val="21"/>
          <w:szCs w:val="21"/>
        </w:rPr>
        <w:t xml:space="preserve"> El art. 38.1 distingue: los sistemas de categoría </w:t>
      </w:r>
      <w:r>
        <w:rPr>
          <w:rFonts w:ascii="Calibri" w:cs="Calibri" w:eastAsia="Calibri" w:hAnsi="Calibri"/>
          <w:b/>
          <w:bCs/>
          <w:sz w:val="21"/>
          <w:szCs w:val="21"/>
        </w:rPr>
        <w:t xml:space="preserve">MEDIA o ALTA</w:t>
      </w:r>
      <w:r>
        <w:rPr>
          <w:rFonts w:ascii="Calibri" w:cs="Calibri" w:eastAsia="Calibri" w:hAnsi="Calibri"/>
          <w:sz w:val="21"/>
          <w:szCs w:val="21"/>
        </w:rPr>
        <w:t xml:space="preserve"> precisan auditoría para la certificación de conformidad; los de categoría </w:t>
      </w:r>
      <w:r>
        <w:rPr>
          <w:rFonts w:ascii="Calibri" w:cs="Calibri" w:eastAsia="Calibri" w:hAnsi="Calibri"/>
          <w:b/>
          <w:bCs/>
          <w:sz w:val="21"/>
          <w:szCs w:val="21"/>
        </w:rPr>
        <w:t xml:space="preserve">BÁSICA</w:t>
      </w:r>
      <w:r>
        <w:rPr>
          <w:rFonts w:ascii="Calibri" w:cs="Calibri" w:eastAsia="Calibri" w:hAnsi="Calibri"/>
          <w:sz w:val="21"/>
          <w:szCs w:val="21"/>
        </w:rPr>
        <w:t xml:space="preserve"> sólo requieren autoevaluación para su declaración de conformidad. Exigir certificación de conformidad a un contrato cuyo sistema es de categoría básica es exigir de más, y la diferencia de coste es apreciable para una pyme.</w:t>
      </w:r>
    </w:p>
    <w:p>
      <w:pPr>
        <w:spacing w:after="140" w:line="276"/>
      </w:pPr>
      <w:r>
        <w:rPr>
          <w:rFonts w:ascii="Calibri" w:cs="Calibri" w:eastAsia="Calibri" w:hAnsi="Calibri"/>
          <w:b/>
          <w:bCs/>
          <w:sz w:val="21"/>
          <w:szCs w:val="21"/>
        </w:rPr>
        <w:t xml:space="preserve">Contenido mínimo del documento.</w:t>
      </w:r>
    </w:p>
    <w:p>
      <w:pPr>
        <w:pStyle w:val="ListParagraph"/>
        <w:numPr>
          <w:ilvl w:val="0"/>
          <w:numId w:val="2"/>
        </w:numPr>
        <w:spacing w:after="70" w:line="268"/>
      </w:pPr>
      <w:r>
        <w:rPr>
          <w:rFonts w:ascii="Calibri" w:cs="Calibri" w:eastAsia="Calibri" w:hAnsi="Calibri"/>
          <w:sz w:val="21"/>
          <w:szCs w:val="21"/>
        </w:rPr>
        <w:t xml:space="preserve">Identificación del sistema o sistemas afectados por el contrato.</w:t>
      </w:r>
    </w:p>
    <w:p>
      <w:pPr>
        <w:pStyle w:val="ListParagraph"/>
        <w:numPr>
          <w:ilvl w:val="0"/>
          <w:numId w:val="2"/>
        </w:numPr>
        <w:spacing w:after="70" w:line="268"/>
      </w:pPr>
      <w:r>
        <w:rPr>
          <w:rFonts w:ascii="Calibri" w:cs="Calibri" w:eastAsia="Calibri" w:hAnsi="Calibri"/>
          <w:sz w:val="21"/>
          <w:szCs w:val="21"/>
        </w:rPr>
        <w:t xml:space="preserve">Valoración de la información y de los servicios en las cinco dimensiones (disponibilidad, autenticidad, integridad, confidencialidad, trazabilidad), con firma del responsable correspondiente.</w:t>
      </w:r>
    </w:p>
    <w:p>
      <w:pPr>
        <w:pStyle w:val="ListParagraph"/>
        <w:numPr>
          <w:ilvl w:val="0"/>
          <w:numId w:val="2"/>
        </w:numPr>
        <w:spacing w:after="70" w:line="268"/>
      </w:pPr>
      <w:r>
        <w:rPr>
          <w:rFonts w:ascii="Calibri" w:cs="Calibri" w:eastAsia="Calibri" w:hAnsi="Calibri"/>
          <w:sz w:val="21"/>
          <w:szCs w:val="21"/>
        </w:rPr>
        <w:t xml:space="preserve">Categoría resultante, con firma del responsable de la seguridad.</w:t>
      </w:r>
    </w:p>
    <w:p>
      <w:pPr>
        <w:pStyle w:val="ListParagraph"/>
        <w:numPr>
          <w:ilvl w:val="0"/>
          <w:numId w:val="2"/>
        </w:numPr>
        <w:spacing w:after="70" w:line="268"/>
      </w:pPr>
      <w:r>
        <w:rPr>
          <w:rFonts w:ascii="Calibri" w:cs="Calibri" w:eastAsia="Calibri" w:hAnsi="Calibri"/>
          <w:sz w:val="21"/>
          <w:szCs w:val="21"/>
        </w:rPr>
        <w:t xml:space="preserve">Análisis de riesgos, con conclusión expresa sobre si procede o no extender la cautela a la cadena de suministro y </w:t>
      </w:r>
      <w:r>
        <w:rPr>
          <w:rFonts w:ascii="Calibri" w:cs="Calibri" w:eastAsia="Calibri" w:hAnsi="Calibri"/>
          <w:b/>
          <w:bCs/>
          <w:sz w:val="21"/>
          <w:szCs w:val="21"/>
        </w:rPr>
        <w:t xml:space="preserve">hasta qué nivel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Traducción a exigencias del pliego: qué se exige, </w:t>
      </w:r>
      <w:r>
        <w:rPr>
          <w:rFonts w:ascii="Calibri" w:cs="Calibri" w:eastAsia="Calibri" w:hAnsi="Calibri"/>
          <w:b/>
          <w:bCs/>
          <w:sz w:val="21"/>
          <w:szCs w:val="21"/>
        </w:rPr>
        <w:t xml:space="preserve">con qué calificación jurídica</w:t>
      </w:r>
      <w:r>
        <w:rPr>
          <w:rFonts w:ascii="Calibri" w:cs="Calibri" w:eastAsia="Calibri" w:hAnsi="Calibri"/>
          <w:sz w:val="21"/>
          <w:szCs w:val="21"/>
        </w:rPr>
        <w:t xml:space="preserve"> (habilitación, solvencia, prescripción de ejecución o criterio) y en qué momento debe acreditarse.</w:t>
      </w:r>
    </w:p>
    <w:p>
      <w:pPr>
        <w:pStyle w:val="ListParagraph"/>
        <w:numPr>
          <w:ilvl w:val="0"/>
          <w:numId w:val="2"/>
        </w:numPr>
        <w:spacing w:after="70" w:line="268"/>
      </w:pPr>
      <w:r>
        <w:rPr>
          <w:rFonts w:ascii="Calibri" w:cs="Calibri" w:eastAsia="Calibri" w:hAnsi="Calibri"/>
          <w:sz w:val="21"/>
          <w:szCs w:val="21"/>
        </w:rPr>
        <w:t xml:space="preserve">Alcance material que deben tener las declaraciones o certificaciones exigidas, y admisión expresa de que la acreditación pueda aportarse por el subcontratista que ejecute la parte afectada, cuando la subcontratación esté admitida.</w:t>
      </w: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a 6 horas la primera vez para una familia de sistemas; 1 hora para reutilizar la valoración en un contrato posterior sobre el mismo sistema. Es un trabajo que se amortiza: la categorización es del sistema, no del contrato.</w:t>
      </w:r>
    </w:p>
    <w:p>
      <w:pPr>
        <w:pStyle w:val="Heading3"/>
        <w:keepNext/>
        <w:spacing w:after="140" w:before="320"/>
      </w:pPr>
      <w:r>
        <w:rPr>
          <w:rFonts w:ascii="Georgia" w:cs="Georgia" w:eastAsia="Georgia" w:hAnsi="Georgia"/>
          <w:b/>
          <w:bCs/>
          <w:color w:val="2F5496"/>
          <w:sz w:val="22"/>
          <w:szCs w:val="22"/>
        </w:rPr>
        <w:t xml:space="preserve">V.4.12 · Conflicto de interés (art. 64) y participación previa en la preparación (art. 70)</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64 y 70 LCSP.</w:t>
      </w:r>
    </w:p>
    <w:p>
      <w:pPr>
        <w:spacing w:after="140" w:line="276"/>
      </w:pPr>
      <w:r>
        <w:rPr>
          <w:rFonts w:ascii="Calibri" w:cs="Calibri" w:eastAsia="Calibri" w:hAnsi="Calibri"/>
          <w:sz w:val="21"/>
          <w:szCs w:val="21"/>
        </w:rPr>
        <w:t xml:space="preserve">El art. 64.1 impone al órgano de contratación tomar medidas «para luchar contra el fraude, el favoritismo y la corrupción, y prevenir, detectar y solucionar de modo efectivo los conflictos de intereses». El art. 64.2 define el conflicto como «cualquier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 y añade que quien tenga conocimiento de un posible conflicto </w:t>
      </w:r>
      <w:r>
        <w:rPr>
          <w:rFonts w:ascii="Calibri" w:cs="Calibri" w:eastAsia="Calibri" w:hAnsi="Calibri"/>
          <w:b/>
          <w:bCs/>
          <w:sz w:val="21"/>
          <w:szCs w:val="21"/>
        </w:rPr>
        <w:t xml:space="preserve">deberá ponerlo inmediatamente en conocimiento del órgano de contratación</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Quién firma.</w:t>
      </w:r>
      <w:r>
        <w:rPr>
          <w:rFonts w:ascii="Calibri" w:cs="Calibri" w:eastAsia="Calibri" w:hAnsi="Calibri"/>
          <w:sz w:val="21"/>
          <w:szCs w:val="21"/>
        </w:rPr>
        <w:t xml:space="preserve"> Cada persona que interviene, individualmente y por escrito: miembros de la mesa, redactores del PPT y del PCAP, técnicos que valoran, miembros del comité de expertos si lo hay, y asesores externos que hayan intervenido en la preparación.</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Antes de la aprobación del expediente. Una declaración firmada después de conocidas las ofertas no acredita nada.</w:t>
      </w:r>
    </w:p>
    <w:p>
      <w:pPr>
        <w:spacing w:after="140" w:line="276"/>
      </w:pPr>
      <w:r>
        <w:rPr>
          <w:rFonts w:ascii="Calibri" w:cs="Calibri" w:eastAsia="Calibri" w:hAnsi="Calibri"/>
          <w:b/>
          <w:bCs/>
          <w:sz w:val="21"/>
          <w:szCs w:val="21"/>
        </w:rPr>
        <w:t xml:space="preserve">El caso de los asesores externos.</w:t>
      </w:r>
      <w:r>
        <w:rPr>
          <w:rFonts w:ascii="Calibri" w:cs="Calibri" w:eastAsia="Calibri" w:hAnsi="Calibri"/>
          <w:sz w:val="21"/>
          <w:szCs w:val="21"/>
        </w:rPr>
        <w:t xml:space="preserve"> Cuando un documento normativo, un catálogo o un pliego se ha elaborado con asesoramiento externo, la declaración tiene que alcanzarlo. Regla de este catálogo: </w:t>
      </w:r>
      <w:r>
        <w:rPr>
          <w:rFonts w:ascii="Calibri" w:cs="Calibri" w:eastAsia="Calibri" w:hAnsi="Calibri"/>
          <w:b/>
          <w:bCs/>
          <w:sz w:val="21"/>
          <w:szCs w:val="21"/>
        </w:rPr>
        <w:t xml:space="preserve">se declara la identidad de los asesores externos que han intervenido en su elaboración, su vinculación con operadores del mercado afectado, y las medidas adoptadas para que esa intervención no genere ventaja</w:t>
      </w:r>
      <w:r>
        <w:rPr>
          <w:rFonts w:ascii="Calibri" w:cs="Calibri" w:eastAsia="Calibri" w:hAnsi="Calibri"/>
          <w:sz w:val="21"/>
          <w:szCs w:val="21"/>
        </w:rPr>
        <w:t xml:space="preserve">. Un conflicto declarado por iniciativa propia y neutralizado en el propio texto es un activo del expediente. Descubierto por el recurrente, deja de ser una discusión técnica y pasa a ser una imputación de favorecimiento.</w:t>
      </w:r>
    </w:p>
    <w:p>
      <w:pPr>
        <w:spacing w:after="140" w:line="276"/>
      </w:pPr>
      <w:r>
        <w:rPr>
          <w:rFonts w:ascii="Calibri" w:cs="Calibri" w:eastAsia="Calibri" w:hAnsi="Calibri"/>
          <w:b/>
          <w:bCs/>
          <w:sz w:val="21"/>
          <w:szCs w:val="21"/>
        </w:rPr>
        <w:t xml:space="preserve">Participación previa en la preparación: art. 70.</w:t>
      </w:r>
      <w:r>
        <w:rPr>
          <w:rFonts w:ascii="Calibri" w:cs="Calibri" w:eastAsia="Calibri" w:hAnsi="Calibri"/>
          <w:sz w:val="21"/>
          <w:szCs w:val="21"/>
        </w:rPr>
        <w:t xml:space="preserve"> Si una empresa participó en la elaboración de las especificaciones técnicas o de los documentos preparatorios, o asesoró al órgano de contratación durante la preparación, el órgano de contratación </w:t>
      </w:r>
      <w:r>
        <w:rPr>
          <w:rFonts w:ascii="Calibri" w:cs="Calibri" w:eastAsia="Calibri" w:hAnsi="Calibri"/>
          <w:b/>
          <w:bCs/>
          <w:sz w:val="21"/>
          <w:szCs w:val="21"/>
        </w:rPr>
        <w:t xml:space="preserve">tomará las medidas adecuadas para que su participación no falsee la competencia</w:t>
      </w:r>
      <w:r>
        <w:rPr>
          <w:rFonts w:ascii="Calibri" w:cs="Calibri" w:eastAsia="Calibri" w:hAnsi="Calibri"/>
          <w:sz w:val="21"/>
          <w:szCs w:val="21"/>
        </w:rPr>
        <w:t xml:space="preserve">. Las medidas que la propia ley enumera:</w:t>
      </w:r>
    </w:p>
    <w:p>
      <w:pPr>
        <w:pStyle w:val="ListParagraph"/>
        <w:numPr>
          <w:ilvl w:val="0"/>
          <w:numId w:val="1"/>
        </w:numPr>
        <w:spacing w:after="70" w:line="268"/>
      </w:pPr>
      <w:r>
        <w:rPr>
          <w:rFonts w:ascii="Calibri" w:cs="Calibri" w:eastAsia="Calibri" w:hAnsi="Calibri"/>
          <w:sz w:val="21"/>
          <w:szCs w:val="21"/>
        </w:rPr>
        <w:t xml:space="preserve">comunicar a los demás candidatos o licitadores la información intercambiada en el marco de esa participación o como resultado de ella;</w:t>
      </w:r>
    </w:p>
    <w:p>
      <w:pPr>
        <w:pStyle w:val="ListParagraph"/>
        <w:numPr>
          <w:ilvl w:val="0"/>
          <w:numId w:val="1"/>
        </w:numPr>
        <w:spacing w:after="70" w:line="268"/>
      </w:pPr>
      <w:r>
        <w:rPr>
          <w:rFonts w:ascii="Calibri" w:cs="Calibri" w:eastAsia="Calibri" w:hAnsi="Calibri"/>
          <w:sz w:val="21"/>
          <w:szCs w:val="21"/>
        </w:rPr>
        <w:t xml:space="preserve">establecer plazos adecuados para la presentación de ofertas;</w:t>
      </w:r>
    </w:p>
    <w:p>
      <w:pPr>
        <w:pStyle w:val="ListParagraph"/>
        <w:numPr>
          <w:ilvl w:val="0"/>
          <w:numId w:val="1"/>
        </w:numPr>
        <w:spacing w:after="70" w:line="268"/>
      </w:pPr>
      <w:r>
        <w:rPr>
          <w:rFonts w:ascii="Calibri" w:cs="Calibri" w:eastAsia="Calibri" w:hAnsi="Calibri"/>
          <w:sz w:val="21"/>
          <w:szCs w:val="21"/>
        </w:rPr>
        <w:t xml:space="preserve">y, sólo cuando no haya otro medio de garantizar la igualdad de trato, la exclusión, que exige </w:t>
      </w:r>
      <w:r>
        <w:rPr>
          <w:rFonts w:ascii="Calibri" w:cs="Calibri" w:eastAsia="Calibri" w:hAnsi="Calibri"/>
          <w:b/>
          <w:bCs/>
          <w:sz w:val="21"/>
          <w:szCs w:val="21"/>
        </w:rPr>
        <w:t xml:space="preserve">audiencia previa</w:t>
      </w:r>
      <w:r>
        <w:rPr>
          <w:rFonts w:ascii="Calibri" w:cs="Calibri" w:eastAsia="Calibri" w:hAnsi="Calibri"/>
          <w:sz w:val="21"/>
          <w:szCs w:val="21"/>
        </w:rPr>
        <w:t xml:space="preserve"> al afectado para que justifique que su participación no falsea la competencia ni le dispensa un trato privilegiado.</w:t>
      </w:r>
    </w:p>
    <w:p>
      <w:pPr>
        <w:spacing w:after="140" w:line="276"/>
      </w:pPr>
      <w:r>
        <w:rPr>
          <w:rFonts w:ascii="Calibri" w:cs="Calibri" w:eastAsia="Calibri" w:hAnsi="Calibri"/>
          <w:sz w:val="21"/>
          <w:szCs w:val="21"/>
        </w:rPr>
        <w:t xml:space="preserve">El propio art. 70.1, párrafo último, dispone que «las medidas adoptadas se consignarán en los informes específicos previstos en el artículo 336». Dos precisiones: ese informe sólo es exigible en contratos </w:t>
      </w:r>
      <w:r>
        <w:rPr>
          <w:rFonts w:ascii="Calibri" w:cs="Calibri" w:eastAsia="Calibri" w:hAnsi="Calibri"/>
          <w:b/>
          <w:bCs/>
          <w:sz w:val="21"/>
          <w:szCs w:val="21"/>
        </w:rPr>
        <w:t xml:space="preserve">sujetos a regulación armonizada</w:t>
      </w:r>
      <w:r>
        <w:rPr>
          <w:rFonts w:ascii="Calibri" w:cs="Calibri" w:eastAsia="Calibri" w:hAnsi="Calibri"/>
          <w:sz w:val="21"/>
          <w:szCs w:val="21"/>
        </w:rPr>
        <w:t xml:space="preserve"> (art. 336.1), y sus letras i) y j) recogen expresamente «los conflictos de intereses detectados y las medidas tomadas al respecto» y «las medidas tomadas en el marco del artículo 70». Por debajo del umbral armonizado el informe del art. 336 no es exigible, pero las medidas se hacen constar igualmente en el expediente.</w:t>
      </w:r>
    </w:p>
    <w:p>
      <w:pPr>
        <w:spacing w:after="140" w:line="276"/>
      </w:pPr>
      <w:r>
        <w:rPr>
          <w:rFonts w:ascii="Calibri" w:cs="Calibri" w:eastAsia="Calibri" w:hAnsi="Calibri"/>
          <w:b/>
          <w:bCs/>
          <w:sz w:val="21"/>
          <w:szCs w:val="21"/>
        </w:rPr>
        <w:t xml:space="preserve">Relación con la consulta preliminar.</w:t>
      </w:r>
      <w:r>
        <w:rPr>
          <w:rFonts w:ascii="Calibri" w:cs="Calibri" w:eastAsia="Calibri" w:hAnsi="Calibri"/>
          <w:sz w:val="21"/>
          <w:szCs w:val="21"/>
        </w:rPr>
        <w:t xml:space="preserve"> La participación en una consulta preliminar del mercado del art. 115 </w:t>
      </w:r>
      <w:r>
        <w:rPr>
          <w:rFonts w:ascii="Calibri" w:cs="Calibri" w:eastAsia="Calibri" w:hAnsi="Calibri"/>
          <w:b/>
          <w:bCs/>
          <w:sz w:val="21"/>
          <w:szCs w:val="21"/>
        </w:rPr>
        <w:t xml:space="preserve">no impide</w:t>
      </w:r>
      <w:r>
        <w:rPr>
          <w:rFonts w:ascii="Calibri" w:cs="Calibri" w:eastAsia="Calibri" w:hAnsi="Calibri"/>
          <w:sz w:val="21"/>
          <w:szCs w:val="21"/>
        </w:rPr>
        <w:t xml:space="preserve"> la posterior intervención en el procedimiento (art. 115.3, último párrafo). Pero sí obliga a publicar lo que se intercambió y a no cerrar el objeto en torno a lo que aportó un consultado (art. 115.2).</w:t>
      </w:r>
    </w:p>
    <w:p>
      <w:pPr>
        <w:spacing w:after="140" w:line="276"/>
      </w:pPr>
      <w:r>
        <w:rPr>
          <w:rFonts w:ascii="Calibri" w:cs="Calibri" w:eastAsia="Calibri" w:hAnsi="Calibri"/>
          <w:b/>
          <w:bCs/>
          <w:sz w:val="21"/>
          <w:szCs w:val="21"/>
        </w:rPr>
        <w:t xml:space="preserve">Los modelos están en el Anexo IX</w:t>
      </w:r>
      <w:r>
        <w:rPr>
          <w:rFonts w:ascii="Calibri" w:cs="Calibri" w:eastAsia="Calibri" w:hAnsi="Calibri"/>
          <w:sz w:val="21"/>
          <w:szCs w:val="21"/>
        </w:rPr>
        <w:t xml:space="preserve">, que no se reproduce aquí para que las dos redacciones no puedan divergir: modelo A, declaración individual del art. 64; modelo B, declaración de participación previa del art. 70; y cuadro C, medidas adoptadas para que la participación previa no falsee la competencia, con su constancia documental. Las medidas del art. 70 se justifican en la memoria del catálogo, Parte IV, §M7.</w:t>
      </w:r>
    </w:p>
    <w:p>
      <w:pPr>
        <w:pStyle w:val="Heading3"/>
        <w:keepNext/>
        <w:spacing w:after="140" w:before="320"/>
      </w:pPr>
      <w:r>
        <w:rPr>
          <w:rFonts w:ascii="Georgia" w:cs="Georgia" w:eastAsia="Georgia" w:hAnsi="Georgia"/>
          <w:b/>
          <w:bCs/>
          <w:color w:val="2F5496"/>
          <w:sz w:val="22"/>
          <w:szCs w:val="22"/>
        </w:rPr>
        <w:t xml:space="preserve">V.4.13 · Consultas preliminares del mercado (art. 115 LCSP), hechas una vez al año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115 LCSP.</w:t>
      </w:r>
    </w:p>
    <w:p>
      <w:pPr>
        <w:spacing w:after="140" w:line="276"/>
      </w:pPr>
      <w:r>
        <w:rPr>
          <w:rFonts w:ascii="Calibri" w:cs="Calibri" w:eastAsia="Calibri" w:hAnsi="Calibri"/>
          <w:b/>
          <w:bCs/>
          <w:sz w:val="21"/>
          <w:szCs w:val="21"/>
        </w:rPr>
        <w:t xml:space="preserve">Por qué es la mejor póliza del catálogo.</w:t>
      </w:r>
      <w:r>
        <w:rPr>
          <w:rFonts w:ascii="Calibri" w:cs="Calibri" w:eastAsia="Calibri" w:hAnsi="Calibri"/>
          <w:sz w:val="21"/>
          <w:szCs w:val="21"/>
        </w:rPr>
        <w:t xml:space="preserve"> Convierte «lo que se nos ocurrió pedir» en «lo que el mercado acreditó que puede darse». Es el documento que transforma la afirmación de neutralidad tecnológica en prueba de neutralidad tecnológica, y sin él la memoria sólo afirma.</w:t>
      </w:r>
    </w:p>
    <w:p>
      <w:pPr>
        <w:spacing w:after="140" w:line="276"/>
      </w:pPr>
      <w:r>
        <w:rPr>
          <w:rFonts w:ascii="Calibri" w:cs="Calibri" w:eastAsia="Calibri" w:hAnsi="Calibri"/>
          <w:b/>
          <w:bCs/>
          <w:sz w:val="21"/>
          <w:szCs w:val="21"/>
        </w:rPr>
        <w:t xml:space="preserve">Los modelos están en el Anexo XXII</w:t>
      </w:r>
      <w:r>
        <w:rPr>
          <w:rFonts w:ascii="Calibri" w:cs="Calibri" w:eastAsia="Calibri" w:hAnsi="Calibri"/>
          <w:sz w:val="21"/>
          <w:szCs w:val="21"/>
        </w:rPr>
        <w:t xml:space="preserve">: modelo A, anuncio previo de la consulta; modelo B, informe motivado del art. 115.3.</w:t>
      </w:r>
    </w:p>
    <w:p>
      <w:pPr>
        <w:spacing w:after="140" w:line="276"/>
      </w:pPr>
      <w:r>
        <w:rPr>
          <w:rFonts w:ascii="Calibri" w:cs="Calibri" w:eastAsia="Calibri" w:hAnsi="Calibri"/>
          <w:b/>
          <w:bCs/>
          <w:sz w:val="21"/>
          <w:szCs w:val="21"/>
        </w:rPr>
        <w:t xml:space="preserve">Cómo se hace, en el orden que impone la ley.</w:t>
      </w:r>
    </w:p>
    <w:p>
      <w:pPr>
        <w:pStyle w:val="ListParagraph"/>
        <w:numPr>
          <w:ilvl w:val="0"/>
          <w:numId w:val="2"/>
        </w:numPr>
        <w:spacing w:after="70" w:line="268"/>
      </w:pPr>
      <w:r>
        <w:rPr>
          <w:rFonts w:ascii="Calibri" w:cs="Calibri" w:eastAsia="Calibri" w:hAnsi="Calibri"/>
          <w:b/>
          <w:bCs/>
          <w:sz w:val="21"/>
          <w:szCs w:val="21"/>
        </w:rPr>
        <w:t xml:space="preserve">Antes de iniciar la consulta</w:t>
      </w:r>
      <w:r>
        <w:rPr>
          <w:rFonts w:ascii="Calibri" w:cs="Calibri" w:eastAsia="Calibri" w:hAnsi="Calibri"/>
          <w:sz w:val="21"/>
          <w:szCs w:val="21"/>
        </w:rPr>
        <w:t xml:space="preserve">, se publica en el perfil de contratante ubicado en la Plataforma de Contratación del Sector Público o servicio de información equivalente a nivel autonómico: el objeto de la consulta, cuándo se inicia y </w:t>
      </w:r>
      <w:r>
        <w:rPr>
          <w:rFonts w:ascii="Calibri" w:cs="Calibri" w:eastAsia="Calibri" w:hAnsi="Calibri"/>
          <w:b/>
          <w:bCs/>
          <w:sz w:val="21"/>
          <w:szCs w:val="21"/>
        </w:rPr>
        <w:t xml:space="preserve">las denominaciones de los terceros que vayan a participar</w:t>
      </w:r>
      <w:r>
        <w:rPr>
          <w:rFonts w:ascii="Calibri" w:cs="Calibri" w:eastAsia="Calibri" w:hAnsi="Calibri"/>
          <w:sz w:val="21"/>
          <w:szCs w:val="21"/>
        </w:rPr>
        <w:t xml:space="preserve">; y también las razones que motiven la elección de los asesores externos seleccionados (art. 115.1).</w:t>
      </w:r>
    </w:p>
    <w:p>
      <w:pPr>
        <w:pStyle w:val="ListParagraph"/>
        <w:numPr>
          <w:ilvl w:val="0"/>
          <w:numId w:val="2"/>
        </w:numPr>
        <w:spacing w:after="70" w:line="268"/>
      </w:pPr>
      <w:r>
        <w:rPr>
          <w:rFonts w:ascii="Calibri" w:cs="Calibri" w:eastAsia="Calibri" w:hAnsi="Calibri"/>
          <w:sz w:val="21"/>
          <w:szCs w:val="21"/>
        </w:rPr>
        <w:t xml:space="preserve">Se realiza la consulta. No puede revelarse a unos participantes las soluciones propuestas por otros (art. 115.3).</w:t>
      </w:r>
    </w:p>
    <w:p>
      <w:pPr>
        <w:pStyle w:val="ListParagraph"/>
        <w:numPr>
          <w:ilvl w:val="0"/>
          <w:numId w:val="2"/>
        </w:numPr>
        <w:spacing w:after="70" w:line="268"/>
      </w:pPr>
      <w:r>
        <w:rPr>
          <w:rFonts w:ascii="Calibri" w:cs="Calibri" w:eastAsia="Calibri" w:hAnsi="Calibri"/>
          <w:sz w:val="21"/>
          <w:szCs w:val="21"/>
        </w:rPr>
        <w:t xml:space="preserve">Se elabora un </w:t>
      </w:r>
      <w:r>
        <w:rPr>
          <w:rFonts w:ascii="Calibri" w:cs="Calibri" w:eastAsia="Calibri" w:hAnsi="Calibri"/>
          <w:b/>
          <w:bCs/>
          <w:sz w:val="21"/>
          <w:szCs w:val="21"/>
        </w:rPr>
        <w:t xml:space="preserve">informe motivado</w:t>
      </w:r>
      <w:r>
        <w:rPr>
          <w:rFonts w:ascii="Calibri" w:cs="Calibri" w:eastAsia="Calibri" w:hAnsi="Calibri"/>
          <w:sz w:val="21"/>
          <w:szCs w:val="21"/>
        </w:rPr>
        <w:t xml:space="preserve"> que relacione los estudios realizados y sus autores, las entidades consultadas, las cuestiones formuladas y las respuestas recibidas. Ese informe </w:t>
      </w:r>
      <w:r>
        <w:rPr>
          <w:rFonts w:ascii="Calibri" w:cs="Calibri" w:eastAsia="Calibri" w:hAnsi="Calibri"/>
          <w:b/>
          <w:bCs/>
          <w:sz w:val="21"/>
          <w:szCs w:val="21"/>
        </w:rPr>
        <w:t xml:space="preserve">forma parte del expediente y se publica con la misma publicidad que los pliegos</w:t>
      </w:r>
      <w:r>
        <w:rPr>
          <w:rFonts w:ascii="Calibri" w:cs="Calibri" w:eastAsia="Calibri" w:hAnsi="Calibri"/>
          <w:sz w:val="21"/>
          <w:szCs w:val="21"/>
        </w:rPr>
        <w:t xml:space="preserve"> (art. 115.3).</w:t>
      </w:r>
    </w:p>
    <w:p>
      <w:pPr>
        <w:pStyle w:val="ListParagraph"/>
        <w:numPr>
          <w:ilvl w:val="0"/>
          <w:numId w:val="2"/>
        </w:numPr>
        <w:spacing w:after="70" w:line="268"/>
      </w:pPr>
      <w:r>
        <w:rPr>
          <w:rFonts w:ascii="Calibri" w:cs="Calibri" w:eastAsia="Calibri" w:hAnsi="Calibri"/>
          <w:sz w:val="21"/>
          <w:szCs w:val="21"/>
        </w:rPr>
        <w:t xml:space="preserve">Al elaborar los pliegos, se tienen en cuenta los resultados; si no se tienen en cuenta, </w:t>
      </w:r>
      <w:r>
        <w:rPr>
          <w:rFonts w:ascii="Calibri" w:cs="Calibri" w:eastAsia="Calibri" w:hAnsi="Calibri"/>
          <w:b/>
          <w:bCs/>
          <w:sz w:val="21"/>
          <w:szCs w:val="21"/>
        </w:rPr>
        <w:t xml:space="preserve">se deja constancia de los motivos en el mismo informe</w:t>
      </w:r>
      <w:r>
        <w:rPr>
          <w:rFonts w:ascii="Calibri" w:cs="Calibri" w:eastAsia="Calibri" w:hAnsi="Calibri"/>
          <w:sz w:val="21"/>
          <w:szCs w:val="21"/>
        </w:rPr>
        <w:t xml:space="preserve"> (art. 115.3).</w:t>
      </w:r>
    </w:p>
    <w:p>
      <w:pPr>
        <w:spacing w:after="140" w:line="276"/>
      </w:pPr>
      <w:r>
        <w:rPr>
          <w:rFonts w:ascii="Calibri" w:cs="Calibri" w:eastAsia="Calibri" w:hAnsi="Calibri"/>
          <w:b/>
          <w:bCs/>
          <w:sz w:val="21"/>
          <w:szCs w:val="21"/>
        </w:rPr>
        <w:t xml:space="preserve">Los dos límites que no se pueden cruzar</w:t>
      </w:r>
      <w:r>
        <w:rPr>
          <w:rFonts w:ascii="Calibri" w:cs="Calibri" w:eastAsia="Calibri" w:hAnsi="Calibri"/>
          <w:sz w:val="21"/>
          <w:szCs w:val="21"/>
        </w:rPr>
        <w:t xml:space="preserve"> (art. 115.2): de las consultas no puede resultar «un objeto contractual tan concreto y delimitado que únicamente se ajuste a las características técnicas de uno de los consultados»; y las consultas no pueden comportar ventaja alguna respecto de la adjudicación para las empresas participantes.</w:t>
      </w:r>
    </w:p>
    <w:p>
      <w:pPr>
        <w:spacing w:after="140" w:line="276"/>
      </w:pPr>
      <w:r>
        <w:rPr>
          <w:rFonts w:ascii="Calibri" w:cs="Calibri" w:eastAsia="Calibri" w:hAnsi="Calibri"/>
          <w:b/>
          <w:bCs/>
          <w:sz w:val="21"/>
          <w:szCs w:val="21"/>
        </w:rPr>
        <w:t xml:space="preserve">Regla operativa de este catálogo: la consulta se hace centralizada y una vez al año, no por expediente.</w:t>
      </w:r>
      <w:r>
        <w:rPr>
          <w:rFonts w:ascii="Calibri" w:cs="Calibri" w:eastAsia="Calibri" w:hAnsi="Calibri"/>
          <w:sz w:val="21"/>
          <w:szCs w:val="21"/>
        </w:rPr>
        <w:t xml:space="preserve"> El contraste de mercado que exige el Anexo V y la consulta preliminar del art. 115 son el mismo trabajo. Hacerlos por expediente es inasumible para un área de contratación y, además, nadie de contratación puede hacer por su cuenta un estudio de mercado de tecnologías emergentes. Se hacen </w:t>
      </w:r>
      <w:r>
        <w:rPr>
          <w:rFonts w:ascii="Calibri" w:cs="Calibri" w:eastAsia="Calibri" w:hAnsi="Calibri"/>
          <w:b/>
          <w:bCs/>
          <w:sz w:val="21"/>
          <w:szCs w:val="21"/>
        </w:rPr>
        <w:t xml:space="preserve">al aprobar el Anexo V del ejercicio</w:t>
      </w:r>
      <w:r>
        <w:rPr>
          <w:rFonts w:ascii="Calibri" w:cs="Calibri" w:eastAsia="Calibri" w:hAnsi="Calibri"/>
          <w:sz w:val="21"/>
          <w:szCs w:val="21"/>
        </w:rPr>
        <w:t xml:space="preserve">, con alcance suficiente para cubrir los perfiles de contrato previstos, y el informe resultante se invoca en cada expediente del año.</w:t>
      </w:r>
    </w:p>
    <w:p>
      <w:pPr>
        <w:spacing w:after="140" w:line="276"/>
      </w:pPr>
      <w:r>
        <w:rPr>
          <w:rFonts w:ascii="Calibri" w:cs="Calibri" w:eastAsia="Calibri" w:hAnsi="Calibri"/>
          <w:sz w:val="21"/>
          <w:szCs w:val="21"/>
        </w:rPr>
        <w:t xml:space="preserve">Carga estimada: </w:t>
      </w:r>
      <w:r>
        <w:rPr>
          <w:rFonts w:ascii="Calibri" w:cs="Calibri" w:eastAsia="Calibri" w:hAnsi="Calibri"/>
          <w:b/>
          <w:bCs/>
          <w:sz w:val="21"/>
          <w:szCs w:val="21"/>
        </w:rPr>
        <w:t xml:space="preserve">40 a 60 horas al año</w:t>
      </w:r>
      <w:r>
        <w:rPr>
          <w:rFonts w:ascii="Calibri" w:cs="Calibri" w:eastAsia="Calibri" w:hAnsi="Calibri"/>
          <w:sz w:val="21"/>
          <w:szCs w:val="21"/>
        </w:rPr>
        <w:t xml:space="preserve"> para la consulta centralizada, frente a un mínimo de 15 horas por expediente si se hiciera contrato a contrato. La comparación es el argumento para pedir el recurso.</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Fecha de la consulta anual: </w:t>
      </w:r>
      <w:r>
        <w:rPr>
          <w:rFonts w:ascii="Calibri" w:cs="Calibri" w:eastAsia="Calibri" w:hAnsi="Calibri"/>
          <w:b/>
          <w:bCs/>
          <w:sz w:val="21"/>
          <w:szCs w:val="21"/>
        </w:rPr>
        <w:t xml:space="preserve">[fecha; se recomienda entre septiembre y octubre, para que el informe esté cerrado antes de la aprobación del Anexo V del ejercicio siguiente]</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V.4.14 · Pliegos: PCAP y PPT</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al expediente se incorporarán el PCAP y el PPT.</w:t>
      </w:r>
    </w:p>
    <w:p>
      <w:pPr>
        <w:spacing w:after="140" w:line="276"/>
      </w:pPr>
      <w:r>
        <w:rPr>
          <w:rFonts w:ascii="Calibri" w:cs="Calibri" w:eastAsia="Calibri" w:hAnsi="Calibri"/>
          <w:sz w:val="21"/>
          <w:szCs w:val="21"/>
        </w:rPr>
        <w:t xml:space="preserve">Tres advertencias de esta Parte:</w:t>
      </w:r>
    </w:p>
    <w:p>
      <w:pPr>
        <w:pStyle w:val="ListParagraph"/>
        <w:numPr>
          <w:ilvl w:val="0"/>
          <w:numId w:val="2"/>
        </w:numPr>
        <w:spacing w:after="70" w:line="268"/>
      </w:pPr>
      <w:r>
        <w:rPr>
          <w:rFonts w:ascii="Calibri" w:cs="Calibri" w:eastAsia="Calibri" w:hAnsi="Calibri"/>
          <w:b/>
          <w:bCs/>
          <w:sz w:val="21"/>
          <w:szCs w:val="21"/>
        </w:rPr>
        <w:t xml:space="preserve">El PCAP sólo puede modificarse después por error material, de hecho o aritmético</w:t>
      </w:r>
      <w:r>
        <w:rPr>
          <w:rFonts w:ascii="Calibri" w:cs="Calibri" w:eastAsia="Calibri" w:hAnsi="Calibri"/>
          <w:sz w:val="21"/>
          <w:szCs w:val="21"/>
        </w:rPr>
        <w:t xml:space="preserve"> (art. 122.1). Cualquier otra modificación conlleva </w:t>
      </w:r>
      <w:r>
        <w:rPr>
          <w:rFonts w:ascii="Calibri" w:cs="Calibri" w:eastAsia="Calibri" w:hAnsi="Calibri"/>
          <w:b/>
          <w:bCs/>
          <w:sz w:val="21"/>
          <w:szCs w:val="21"/>
        </w:rPr>
        <w:t xml:space="preserve">retroacción de actuaciones</w:t>
      </w:r>
      <w:r>
        <w:rPr>
          <w:rFonts w:ascii="Calibri" w:cs="Calibri" w:eastAsia="Calibri" w:hAnsi="Calibri"/>
          <w:sz w:val="21"/>
          <w:szCs w:val="21"/>
        </w:rPr>
        <w:t xml:space="preserve">. Es decir: lo que se publica mal, se corrige rehaciendo, no retocando.</w:t>
      </w:r>
    </w:p>
    <w:p>
      <w:pPr>
        <w:pStyle w:val="ListParagraph"/>
        <w:numPr>
          <w:ilvl w:val="0"/>
          <w:numId w:val="2"/>
        </w:numPr>
        <w:spacing w:after="70" w:line="268"/>
      </w:pPr>
      <w:r>
        <w:rPr>
          <w:rFonts w:ascii="Calibri" w:cs="Calibri" w:eastAsia="Calibri" w:hAnsi="Calibri"/>
          <w:b/>
          <w:bCs/>
          <w:sz w:val="21"/>
          <w:szCs w:val="21"/>
        </w:rPr>
        <w:t xml:space="preserve">Las condiciones especiales de ejecución y la cláusula de modificación prevista van al PCAP</w:t>
      </w:r>
      <w:r>
        <w:rPr>
          <w:rFonts w:ascii="Calibri" w:cs="Calibri" w:eastAsia="Calibri" w:hAnsi="Calibri"/>
          <w:sz w:val="21"/>
          <w:szCs w:val="21"/>
        </w:rPr>
        <w:t xml:space="preserve">, no al PPT (art. 122.2 y regla de ubicación de la Parte I, §7). Su reproducción en el PPT carece de efectos y genera contradicciones.</w:t>
      </w:r>
    </w:p>
    <w:p>
      <w:pPr>
        <w:pStyle w:val="ListParagraph"/>
        <w:numPr>
          <w:ilvl w:val="0"/>
          <w:numId w:val="2"/>
        </w:numPr>
        <w:spacing w:after="70" w:line="268"/>
      </w:pPr>
      <w:r>
        <w:rPr>
          <w:rFonts w:ascii="Calibri" w:cs="Calibri" w:eastAsia="Calibri" w:hAnsi="Calibri"/>
          <w:b/>
          <w:bCs/>
          <w:sz w:val="21"/>
          <w:szCs w:val="21"/>
        </w:rPr>
        <w:t xml:space="preserve">Cuando la ejecución requiera tratamiento de datos personales por cuenta del Ayuntamiento</w:t>
      </w:r>
      <w:r>
        <w:rPr>
          <w:rFonts w:ascii="Calibri" w:cs="Calibri" w:eastAsia="Calibri" w:hAnsi="Calibri"/>
          <w:sz w:val="21"/>
          <w:szCs w:val="21"/>
        </w:rPr>
        <w:t xml:space="preserve">, el PCAP debe hacer constar, además, la finalidad de la cesión, la obligación de someterse a la normativa de protección de datos, la obligación del adjudicatario de presentar </w:t>
      </w:r>
      <w:r>
        <w:rPr>
          <w:rFonts w:ascii="Calibri" w:cs="Calibri" w:eastAsia="Calibri" w:hAnsi="Calibri"/>
          <w:b/>
          <w:bCs/>
          <w:sz w:val="21"/>
          <w:szCs w:val="21"/>
        </w:rPr>
        <w:t xml:space="preserve">antes de la formalización</w:t>
      </w:r>
      <w:r>
        <w:rPr>
          <w:rFonts w:ascii="Calibri" w:cs="Calibri" w:eastAsia="Calibri" w:hAnsi="Calibri"/>
          <w:sz w:val="21"/>
          <w:szCs w:val="21"/>
        </w:rPr>
        <w:t xml:space="preserve"> una declaración sobre dónde estarán ubicados los servidores y desde dónde se prestarán los servicios asociados, y la obligación de comunicar cualquier cambio de esa información durante la vida del contrato (art. 122.2, letras a) a d)). Esa declaración previa a la formalización es un hito del circuito que suele olvidarse.</w:t>
      </w:r>
    </w:p>
    <w:p>
      <w:pPr>
        <w:pStyle w:val="Heading3"/>
        <w:keepNext/>
        <w:spacing w:after="140" w:before="320"/>
      </w:pPr>
      <w:r>
        <w:rPr>
          <w:rFonts w:ascii="Georgia" w:cs="Georgia" w:eastAsia="Georgia" w:hAnsi="Georgia"/>
          <w:b/>
          <w:bCs/>
          <w:color w:val="2F5496"/>
          <w:sz w:val="22"/>
          <w:szCs w:val="22"/>
        </w:rPr>
        <w:t xml:space="preserve">V.4.15 · Informe jurídico preceptivo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DA 3.ª.8 LCSP: «Será también preceptivo el informe jurídico del Secretario en la aprobación de expedientes de contratación, modificación de contratos, revisión de precios, prórrogas, mantenimiento del equilibrio económico, interpretación y resolución de los contratos». Y, párrafo segundo: «Conforme a lo dispuesto en la letra e) de la disposición adicional octava de la Ley 7/1985 […] en los municipios acogidos al régimen regulado en su Título X, corresponderá al titular de la asesoría jurídica la emisión de los informes atribuidos al Secretario en el presente apartado».</w:t>
      </w:r>
    </w:p>
    <w:p>
      <w:pPr>
        <w:spacing w:after="140" w:line="276"/>
      </w:pPr>
      <w:r>
        <w:rPr>
          <w:rFonts w:ascii="Calibri" w:cs="Calibri" w:eastAsia="Calibri" w:hAnsi="Calibri"/>
          <w:sz w:val="21"/>
          <w:szCs w:val="21"/>
        </w:rPr>
        <w:t xml:space="preserve">Obsérvese que el informe es preceptivo </w:t>
      </w:r>
      <w:r>
        <w:rPr>
          <w:rFonts w:ascii="Calibri" w:cs="Calibri" w:eastAsia="Calibri" w:hAnsi="Calibri"/>
          <w:b/>
          <w:bCs/>
          <w:sz w:val="21"/>
          <w:szCs w:val="21"/>
        </w:rPr>
        <w:t xml:space="preserve">también en las prórrogas y en las modificaciones</w:t>
      </w:r>
      <w:r>
        <w:rPr>
          <w:rFonts w:ascii="Calibri" w:cs="Calibri" w:eastAsia="Calibri" w:hAnsi="Calibri"/>
          <w:sz w:val="21"/>
          <w:szCs w:val="21"/>
        </w:rPr>
        <w:t xml:space="preserve">: es el punto por el que este catálogo entra en los contratos vivos (V.7.3).</w:t>
      </w:r>
    </w:p>
    <w:p>
      <w:pPr>
        <w:spacing w:after="140" w:line="276"/>
      </w:pPr>
      <w:r>
        <w:rPr>
          <w:rFonts w:ascii="Calibri" w:cs="Calibri" w:eastAsia="Calibri" w:hAnsi="Calibri"/>
          <w:b/>
          <w:bCs/>
          <w:sz w:val="21"/>
          <w:szCs w:val="21"/>
        </w:rPr>
        <w:t xml:space="preserve">Checklist de quince puntos para el informe jurídico.</w:t>
      </w:r>
      <w:r>
        <w:rPr>
          <w:rFonts w:ascii="Calibri" w:cs="Calibri" w:eastAsia="Calibri" w:hAnsi="Calibri"/>
          <w:sz w:val="21"/>
          <w:szCs w:val="21"/>
        </w:rPr>
        <w:t xml:space="preserve"> Cada punto lleva su precepto, de modo que el informe pueda redactarse recorriéndolo.</w:t>
      </w:r>
    </w:p>
    <w:p>
      <w:pPr>
        <w:pStyle w:val="ListParagraph"/>
        <w:numPr>
          <w:ilvl w:val="0"/>
          <w:numId w:val="2"/>
        </w:numPr>
        <w:spacing w:after="70" w:line="268"/>
      </w:pPr>
      <w:r>
        <w:rPr>
          <w:rFonts w:ascii="Calibri" w:cs="Calibri" w:eastAsia="Calibri" w:hAnsi="Calibri"/>
          <w:b/>
          <w:bCs/>
          <w:sz w:val="21"/>
          <w:szCs w:val="21"/>
        </w:rPr>
        <w:t xml:space="preserve">Competencia del órgano</w:t>
      </w:r>
      <w:r>
        <w:rPr>
          <w:rFonts w:ascii="Calibri" w:cs="Calibri" w:eastAsia="Calibri" w:hAnsi="Calibri"/>
          <w:sz w:val="21"/>
          <w:szCs w:val="21"/>
        </w:rPr>
        <w:t xml:space="preserve"> que aprueba el expediente y el gasto (DA 2.ª LCSP; en municipios de gran población, Junta de Gobierno Local, DA 2.ª.4).</w:t>
      </w:r>
    </w:p>
    <w:p>
      <w:pPr>
        <w:pStyle w:val="ListParagraph"/>
        <w:numPr>
          <w:ilvl w:val="0"/>
          <w:numId w:val="2"/>
        </w:numPr>
        <w:spacing w:after="70" w:line="268"/>
      </w:pPr>
      <w:r>
        <w:rPr>
          <w:rFonts w:ascii="Calibri" w:cs="Calibri" w:eastAsia="Calibri" w:hAnsi="Calibri"/>
          <w:b/>
          <w:bCs/>
          <w:sz w:val="21"/>
          <w:szCs w:val="21"/>
        </w:rPr>
        <w:t xml:space="preserve">Necesidad determinada con precisión</w:t>
      </w:r>
      <w:r>
        <w:rPr>
          <w:rFonts w:ascii="Calibri" w:cs="Calibri" w:eastAsia="Calibri" w:hAnsi="Calibri"/>
          <w:sz w:val="21"/>
          <w:szCs w:val="21"/>
        </w:rPr>
        <w:t xml:space="preserve"> y constancia en la documentación preparatoria (art. 28.1).</w:t>
      </w:r>
    </w:p>
    <w:p>
      <w:pPr>
        <w:pStyle w:val="ListParagraph"/>
        <w:numPr>
          <w:ilvl w:val="0"/>
          <w:numId w:val="2"/>
        </w:numPr>
        <w:spacing w:after="70" w:line="268"/>
      </w:pPr>
      <w:r>
        <w:rPr>
          <w:rFonts w:ascii="Calibri" w:cs="Calibri" w:eastAsia="Calibri" w:hAnsi="Calibri"/>
          <w:b/>
          <w:bCs/>
          <w:sz w:val="21"/>
          <w:szCs w:val="21"/>
        </w:rPr>
        <w:t xml:space="preserve">Relación necesidad-objeto</w:t>
      </w:r>
      <w:r>
        <w:rPr>
          <w:rFonts w:ascii="Calibri" w:cs="Calibri" w:eastAsia="Calibri" w:hAnsi="Calibri"/>
          <w:sz w:val="21"/>
          <w:szCs w:val="21"/>
        </w:rPr>
        <w:t xml:space="preserve"> justificada como directa, clara y proporcional (art. 116.4.e).</w:t>
      </w:r>
    </w:p>
    <w:p>
      <w:pPr>
        <w:pStyle w:val="ListParagraph"/>
        <w:numPr>
          <w:ilvl w:val="0"/>
          <w:numId w:val="2"/>
        </w:numPr>
        <w:spacing w:after="70" w:line="268"/>
      </w:pPr>
      <w:r>
        <w:rPr>
          <w:rFonts w:ascii="Calibri" w:cs="Calibri" w:eastAsia="Calibri" w:hAnsi="Calibri"/>
          <w:b/>
          <w:bCs/>
          <w:sz w:val="21"/>
          <w:szCs w:val="21"/>
        </w:rPr>
        <w:t xml:space="preserve">Finalidad del tratamiento</w:t>
      </w:r>
      <w:r>
        <w:rPr>
          <w:rFonts w:ascii="Calibri" w:cs="Calibri" w:eastAsia="Calibri" w:hAnsi="Calibri"/>
          <w:sz w:val="21"/>
          <w:szCs w:val="21"/>
        </w:rPr>
        <w:t xml:space="preserve"> especificada cuando hay cesión de datos al contratista (art. 116.1, párrafo segundo).</w:t>
      </w:r>
    </w:p>
    <w:p>
      <w:pPr>
        <w:pStyle w:val="ListParagraph"/>
        <w:numPr>
          <w:ilvl w:val="0"/>
          <w:numId w:val="2"/>
        </w:numPr>
        <w:spacing w:after="70" w:line="268"/>
      </w:pPr>
      <w:r>
        <w:rPr>
          <w:rFonts w:ascii="Calibri" w:cs="Calibri" w:eastAsia="Calibri" w:hAnsi="Calibri"/>
          <w:b/>
          <w:bCs/>
          <w:sz w:val="21"/>
          <w:szCs w:val="21"/>
        </w:rPr>
        <w:t xml:space="preserve">Justificación de la elección del procedimiento</w:t>
      </w:r>
      <w:r>
        <w:rPr>
          <w:rFonts w:ascii="Calibri" w:cs="Calibri" w:eastAsia="Calibri" w:hAnsi="Calibri"/>
          <w:sz w:val="21"/>
          <w:szCs w:val="21"/>
        </w:rPr>
        <w:t xml:space="preserve"> y compatibilidad con el baremo (arts. 116.4.a y 159.1.b y 159.6).</w:t>
      </w:r>
    </w:p>
    <w:p>
      <w:pPr>
        <w:pStyle w:val="ListParagraph"/>
        <w:numPr>
          <w:ilvl w:val="0"/>
          <w:numId w:val="2"/>
        </w:numPr>
        <w:spacing w:after="70" w:line="268"/>
      </w:pPr>
      <w:r>
        <w:rPr>
          <w:rFonts w:ascii="Calibri" w:cs="Calibri" w:eastAsia="Calibri" w:hAnsi="Calibri"/>
          <w:b/>
          <w:bCs/>
          <w:sz w:val="21"/>
          <w:szCs w:val="21"/>
        </w:rPr>
        <w:t xml:space="preserve">Justificación de solvencia, criterios y condiciones especiales de ejecución</w:t>
      </w:r>
      <w:r>
        <w:rPr>
          <w:rFonts w:ascii="Calibri" w:cs="Calibri" w:eastAsia="Calibri" w:hAnsi="Calibri"/>
          <w:sz w:val="21"/>
          <w:szCs w:val="21"/>
        </w:rPr>
        <w:t xml:space="preserve"> (art. 116.4.c), con constancia de la no duplicidad de instrumentos.</w:t>
      </w:r>
    </w:p>
    <w:p>
      <w:pPr>
        <w:pStyle w:val="ListParagraph"/>
        <w:numPr>
          <w:ilvl w:val="0"/>
          <w:numId w:val="2"/>
        </w:numPr>
        <w:spacing w:after="70" w:line="268"/>
      </w:pPr>
      <w:r>
        <w:rPr>
          <w:rFonts w:ascii="Calibri" w:cs="Calibri" w:eastAsia="Calibri" w:hAnsi="Calibri"/>
          <w:b/>
          <w:bCs/>
          <w:sz w:val="21"/>
          <w:szCs w:val="21"/>
        </w:rPr>
        <w:t xml:space="preserve">Preponderancia de los criterios evaluables mediante fórmulas</w:t>
      </w:r>
      <w:r>
        <w:rPr>
          <w:rFonts w:ascii="Calibri" w:cs="Calibri" w:eastAsia="Calibri" w:hAnsi="Calibri"/>
          <w:sz w:val="21"/>
          <w:szCs w:val="21"/>
        </w:rPr>
        <w:t xml:space="preserve"> y, si no la hay, constitución del comité de expertos u organismo técnico especializado (art. 146.2 y 146.2.a; DA 2.ª.8 para su composición en entidades locales).</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completo, con prórrogas, opciones y máximo de modificaciones al alza (art. 101.2), y método de cálculo incorporado al PCAP (art. 101.5).</w:t>
      </w:r>
    </w:p>
    <w:p>
      <w:pPr>
        <w:pStyle w:val="ListParagraph"/>
        <w:numPr>
          <w:ilvl w:val="0"/>
          <w:numId w:val="2"/>
        </w:numPr>
        <w:spacing w:after="70" w:line="268"/>
      </w:pPr>
      <w:r>
        <w:rPr>
          <w:rFonts w:ascii="Calibri" w:cs="Calibri" w:eastAsia="Calibri" w:hAnsi="Calibri"/>
          <w:b/>
          <w:bCs/>
          <w:sz w:val="21"/>
          <w:szCs w:val="21"/>
        </w:rPr>
        <w:t xml:space="preserve">Informe de insuficiencia de medios</w:t>
      </w:r>
      <w:r>
        <w:rPr>
          <w:rFonts w:ascii="Calibri" w:cs="Calibri" w:eastAsia="Calibri" w:hAnsi="Calibri"/>
          <w:sz w:val="21"/>
          <w:szCs w:val="21"/>
        </w:rPr>
        <w:t xml:space="preserve"> en contratos de servicios (art. 116.4.f).</w:t>
      </w:r>
    </w:p>
    <w:p>
      <w:pPr>
        <w:pStyle w:val="ListParagraph"/>
        <w:numPr>
          <w:ilvl w:val="0"/>
          <w:numId w:val="2"/>
        </w:numPr>
        <w:spacing w:after="70" w:line="268"/>
      </w:pPr>
      <w:r>
        <w:rPr>
          <w:rFonts w:ascii="Calibri" w:cs="Calibri" w:eastAsia="Calibri" w:hAnsi="Calibri"/>
          <w:b/>
          <w:bCs/>
          <w:sz w:val="21"/>
          <w:szCs w:val="21"/>
        </w:rPr>
        <w:t xml:space="preserve">Decisión sobre lotes</w:t>
      </w:r>
      <w:r>
        <w:rPr>
          <w:rFonts w:ascii="Calibri" w:cs="Calibri" w:eastAsia="Calibri" w:hAnsi="Calibri"/>
          <w:sz w:val="21"/>
          <w:szCs w:val="21"/>
        </w:rPr>
        <w:t xml:space="preserve"> motivada (art. 116.4.g) y ausencia de restricción artificial de la competencia (art. 132.2).</w:t>
      </w:r>
    </w:p>
    <w:p>
      <w:pPr>
        <w:pStyle w:val="ListParagraph"/>
        <w:numPr>
          <w:ilvl w:val="0"/>
          <w:numId w:val="2"/>
        </w:numPr>
        <w:spacing w:after="70" w:line="268"/>
      </w:pPr>
      <w:r>
        <w:rPr>
          <w:rFonts w:ascii="Calibri" w:cs="Calibri" w:eastAsia="Calibri" w:hAnsi="Calibri"/>
          <w:b/>
          <w:bCs/>
          <w:sz w:val="21"/>
          <w:szCs w:val="21"/>
        </w:rPr>
        <w:t xml:space="preserve">Prescripciones técnicas formuladas de forma que no restrinjan injustificadamente la concurrencia</w:t>
      </w:r>
      <w:r>
        <w:rPr>
          <w:rFonts w:ascii="Calibri" w:cs="Calibri" w:eastAsia="Calibri" w:hAnsi="Calibri"/>
          <w:sz w:val="21"/>
          <w:szCs w:val="21"/>
        </w:rPr>
        <w:t xml:space="preserve">, con admisión de equivalentes acompañando a cada referencia y con prueba de la equivalencia exigida en la oferta (arts. 126 y 128 LCSP y cláusula DT-0·v3).</w:t>
      </w:r>
    </w:p>
    <w:p>
      <w:pPr>
        <w:pStyle w:val="ListParagraph"/>
        <w:numPr>
          <w:ilvl w:val="0"/>
          <w:numId w:val="2"/>
        </w:numPr>
        <w:spacing w:after="70" w:line="268"/>
      </w:pPr>
      <w:r>
        <w:rPr>
          <w:rFonts w:ascii="Calibri" w:cs="Calibri" w:eastAsia="Calibri" w:hAnsi="Calibri"/>
          <w:b/>
          <w:bCs/>
          <w:sz w:val="21"/>
          <w:szCs w:val="21"/>
        </w:rPr>
        <w:t xml:space="preserve">Exigencias de seguridad</w:t>
      </w:r>
      <w:r>
        <w:rPr>
          <w:rFonts w:ascii="Calibri" w:cs="Calibri" w:eastAsia="Calibri" w:hAnsi="Calibri"/>
          <w:sz w:val="21"/>
          <w:szCs w:val="21"/>
        </w:rPr>
        <w:t xml:space="preserve">: categoría ENS determinada conforme al anexo I del RD 311/2022, calificación jurídica de cada certificación exigida y motivación de la extensión a la cadena de suministro con base en el análisis de riesgos (arts. 40, 41, 38.1 y 2.3 RD 311/2022).</w:t>
      </w:r>
    </w:p>
    <w:p>
      <w:pPr>
        <w:pStyle w:val="ListParagraph"/>
        <w:numPr>
          <w:ilvl w:val="0"/>
          <w:numId w:val="2"/>
        </w:numPr>
        <w:spacing w:after="70" w:line="268"/>
      </w:pPr>
      <w:r>
        <w:rPr>
          <w:rFonts w:ascii="Calibri" w:cs="Calibri" w:eastAsia="Calibri" w:hAnsi="Calibri"/>
          <w:b/>
          <w:bCs/>
          <w:sz w:val="21"/>
          <w:szCs w:val="21"/>
        </w:rPr>
        <w:t xml:space="preserve">Obligaciones calificadas como esenciales</w:t>
      </w:r>
      <w:r>
        <w:rPr>
          <w:rFonts w:ascii="Calibri" w:cs="Calibri" w:eastAsia="Calibri" w:hAnsi="Calibri"/>
          <w:sz w:val="21"/>
          <w:szCs w:val="21"/>
        </w:rPr>
        <w:t xml:space="preserve">: que estén enumeradas de manera precisa, clara e inequívoca, sin cláusulas de tipo general, y que las declaradas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concurran realmente en este contrato (art. 211.1.f).2.º; arts. 202.1, párrafo tercero, y 122.2, cuyos supuestos de hecho son condicionados).</w:t>
      </w:r>
    </w:p>
    <w:p>
      <w:pPr>
        <w:pStyle w:val="ListParagraph"/>
        <w:numPr>
          <w:ilvl w:val="0"/>
          <w:numId w:val="2"/>
        </w:numPr>
        <w:spacing w:after="70" w:line="268"/>
      </w:pPr>
      <w:r>
        <w:rPr>
          <w:rFonts w:ascii="Calibri" w:cs="Calibri" w:eastAsia="Calibri" w:hAnsi="Calibri"/>
          <w:b/>
          <w:bCs/>
          <w:sz w:val="21"/>
          <w:szCs w:val="21"/>
        </w:rPr>
        <w:t xml:space="preserve">Penalidades</w:t>
      </w:r>
      <w:r>
        <w:rPr>
          <w:rFonts w:ascii="Calibri" w:cs="Calibri" w:eastAsia="Calibri" w:hAnsi="Calibri"/>
          <w:sz w:val="21"/>
          <w:szCs w:val="21"/>
        </w:rPr>
        <w:t xml:space="preserve">: tipificadas, proporcionadas y con el procedimiento de imposición previsto (arts. 192 y 193).</w:t>
      </w:r>
    </w:p>
    <w:p>
      <w:pPr>
        <w:pStyle w:val="ListParagraph"/>
        <w:numPr>
          <w:ilvl w:val="0"/>
          <w:numId w:val="2"/>
        </w:numPr>
        <w:spacing w:after="70" w:line="268"/>
      </w:pPr>
      <w:r>
        <w:rPr>
          <w:rFonts w:ascii="Calibri" w:cs="Calibri" w:eastAsia="Calibri" w:hAnsi="Calibri"/>
          <w:b/>
          <w:bCs/>
          <w:sz w:val="21"/>
          <w:szCs w:val="21"/>
        </w:rPr>
        <w:t xml:space="preserve">Conflicto de interés y participación previa</w:t>
      </w:r>
      <w:r>
        <w:rPr>
          <w:rFonts w:ascii="Calibri" w:cs="Calibri" w:eastAsia="Calibri" w:hAnsi="Calibri"/>
          <w:sz w:val="21"/>
          <w:szCs w:val="21"/>
        </w:rPr>
        <w:t xml:space="preserve">: declaraciones incorporadas y, en su caso, medidas del art. 70 con audiencia previa antes de cualquier exclusión (arts. 64 y 70).</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Antelación mínima con que se remite el expediente completo para informe jurídico: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 Remitirlo con dos días obliga a informar sin leer, y un informe jurídico que no ha leído el expediente no protege nada.</w:t>
      </w:r>
    </w:p>
    <w:p>
      <w:pPr>
        <w:pStyle w:val="Heading3"/>
        <w:keepNext/>
        <w:spacing w:after="140" w:before="320"/>
      </w:pPr>
      <w:r>
        <w:rPr>
          <w:rFonts w:ascii="Georgia" w:cs="Georgia" w:eastAsia="Georgia" w:hAnsi="Georgia"/>
          <w:b/>
          <w:bCs/>
          <w:color w:val="2F5496"/>
          <w:sz w:val="22"/>
          <w:szCs w:val="22"/>
        </w:rPr>
        <w:t xml:space="preserve">V.4.16 · Crédito, fiscalización previa y estabilidad presupuestaria</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(certificado de existencia de crédito o documento equivalente, y fiscalización previa); DA 3.ª.3 LCSP; art. 214 del texto refundido de la Ley reguladora de las Haciendas Locales; Real Decreto 424/2017.</w:t>
      </w:r>
    </w:p>
    <w:p>
      <w:pPr>
        <w:spacing w:after="140" w:line="276"/>
      </w:pPr>
      <w:r>
        <w:rPr>
          <w:rFonts w:ascii="Calibri" w:cs="Calibri" w:eastAsia="Calibri" w:hAnsi="Calibri"/>
          <w:b/>
          <w:bCs/>
          <w:sz w:val="21"/>
          <w:szCs w:val="21"/>
        </w:rPr>
        <w:t xml:space="preserve">Qué añade la DA 3.ª.3 LCSP, literal:</w:t>
      </w:r>
      <w:r>
        <w:rPr>
          <w:rFonts w:ascii="Calibri" w:cs="Calibri" w:eastAsia="Calibri" w:hAnsi="Calibri"/>
          <w:sz w:val="21"/>
          <w:szCs w:val="21"/>
        </w:rPr>
        <w:t xml:space="preserve"> «Los actos de fiscalización se ejercen por el órgano Interventor de la Entidad local. Esta fiscalización recaerá también sobre la valoración que se incorpore al expediente de contratación sobre las repercusiones de cada nuevo contrato, excepto los contratos menores, en el cumplimiento por la Entidad local de los principios de estabilidad presupuestaria y sostenibilidad financiera que exige el artículo 7.3 de la Ley Orgánica 2/2012». Esa valoración es, por tanto, </w:t>
      </w:r>
      <w:r>
        <w:rPr>
          <w:rFonts w:ascii="Calibri" w:cs="Calibri" w:eastAsia="Calibri" w:hAnsi="Calibri"/>
          <w:b/>
          <w:bCs/>
          <w:sz w:val="21"/>
          <w:szCs w:val="21"/>
        </w:rPr>
        <w:t xml:space="preserve">un documento del expediente</w:t>
      </w:r>
      <w:r>
        <w:rPr>
          <w:rFonts w:ascii="Calibri" w:cs="Calibri" w:eastAsia="Calibri" w:hAnsi="Calibri"/>
          <w:sz w:val="21"/>
          <w:szCs w:val="21"/>
        </w:rPr>
        <w:t xml:space="preserve">, y su ausencia es un defecto de expediente, no una opinión.</w:t>
      </w:r>
    </w:p>
    <w:p>
      <w:pPr>
        <w:spacing w:after="140" w:line="276"/>
      </w:pPr>
      <w:r>
        <w:rPr>
          <w:rFonts w:ascii="Calibri" w:cs="Calibri" w:eastAsia="Calibri" w:hAnsi="Calibri"/>
          <w:b/>
          <w:bCs/>
          <w:sz w:val="21"/>
          <w:szCs w:val="21"/>
        </w:rPr>
        <w:t xml:space="preserve">El coste del catálogo tiene que estar cifrado.</w:t>
      </w:r>
      <w:r>
        <w:rPr>
          <w:rFonts w:ascii="Calibri" w:cs="Calibri" w:eastAsia="Calibri" w:hAnsi="Calibri"/>
          <w:sz w:val="21"/>
          <w:szCs w:val="21"/>
        </w:rPr>
        <w:t xml:space="preserve"> Este catálogo genera gasto real: depósito de código si se activa, bolsa de servicios evolutivos, entorno de pruebas y ensayo de reversibilidad, horas de comisión de seguimiento y de verificación. Un expediente que incorpora estas cláusulas y no cifra su coste no se fiscaliza de conformidad. Tabla mínima a incorporar: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en este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estimado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su verificación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[aplicación presupuestaria]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y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imputado]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Régimen de fiscalización.</w:t>
      </w:r>
      <w:r>
        <w:rPr>
          <w:rFonts w:ascii="Calibri" w:cs="Calibri" w:eastAsia="Calibri" w:hAnsi="Calibri"/>
          <w:sz w:val="21"/>
          <w:szCs w:val="21"/>
        </w:rPr>
        <w:t xml:space="preserve"> El Pleno puede acordar, previo informe del órgano interventor y a propuesta del Presidente, el régimen de fiscalización e intervención limitada previa de requisitos básicos (art. 13.1 RD 424/2017). En ese régimen se comprueban la existencia y adecuación del crédito, la competencia del órgano, y «aquellos otros extremos que, por su trascendencia en el proceso de gestión, se determinen por el Pleno a propuesta del Presidente previo informe del órgano interventor» (art. 13.2.c).</w:t>
      </w:r>
    </w:p>
    <w:p>
      <w:pPr>
        <w:spacing w:after="140" w:line="276"/>
      </w:pPr>
      <w:r>
        <w:rPr>
          <w:rFonts w:ascii="Calibri" w:cs="Calibri" w:eastAsia="Calibri" w:hAnsi="Calibri"/>
          <w:b/>
          <w:bCs/>
          <w:sz w:val="21"/>
          <w:szCs w:val="21"/>
        </w:rPr>
        <w:t xml:space="preserve">Recomendación operativa, y es de las más baratas de todo el documento:</w:t>
      </w:r>
      <w:r>
        <w:rPr>
          <w:rFonts w:ascii="Calibri" w:cs="Calibri" w:eastAsia="Calibri" w:hAnsi="Calibri"/>
          <w:sz w:val="21"/>
          <w:szCs w:val="21"/>
        </w:rPr>
        <w:t xml:space="preserve"> que el Pleno incorpore como </w:t>
      </w:r>
      <w:r>
        <w:rPr>
          <w:rFonts w:ascii="Calibri" w:cs="Calibri" w:eastAsia="Calibri" w:hAnsi="Calibri"/>
          <w:b/>
          <w:bCs/>
          <w:sz w:val="21"/>
          <w:szCs w:val="21"/>
        </w:rPr>
        <w:t xml:space="preserve">extremo adicional de fiscalización</w:t>
      </w:r>
      <w:r>
        <w:rPr>
          <w:rFonts w:ascii="Calibri" w:cs="Calibri" w:eastAsia="Calibri" w:hAnsi="Calibri"/>
          <w:sz w:val="21"/>
          <w:szCs w:val="21"/>
        </w:rPr>
        <w:t xml:space="preserve">, al amparo del art. 13.2.c) del RD 424/2017, la comprobación de que consta en el expediente </w:t>
      </w:r>
      <w:r>
        <w:rPr>
          <w:rFonts w:ascii="Calibri" w:cs="Calibri" w:eastAsia="Calibri" w:hAnsi="Calibri"/>
          <w:b/>
          <w:bCs/>
          <w:sz w:val="21"/>
          <w:szCs w:val="21"/>
        </w:rPr>
        <w:t xml:space="preserve">el informe de necesidad y la Ficha de Aplicabilidad firmada</w:t>
      </w:r>
      <w:r>
        <w:rPr>
          <w:rFonts w:ascii="Calibri" w:cs="Calibri" w:eastAsia="Calibri" w:hAnsi="Calibri"/>
          <w:sz w:val="21"/>
          <w:szCs w:val="21"/>
        </w:rPr>
        <w:t xml:space="preserve"> cuando el pliego incorpore cláusulas de este catálogo. Con una línea en el acuerdo del Pleno, la regla de cierre del catálogo deja de depender de la diligencia de cada redactor y pasa a comprobarse en fiscalización. Es, además, exactamente el ámbito que el art. 13.2.c) señala: «En la determinación de estos extremos se atenderá especialmente a aquellos requisitos contemplados en la normativa reguladora para asegurar la objetividad, la transparencia, la no discriminación y la igualdad de trato en las actuaciones públicas».</w:t>
      </w:r>
    </w:p>
    <w:p>
      <w:pPr>
        <w:spacing w:after="140" w:line="276"/>
      </w:pPr>
      <w:r>
        <w:rPr>
          <w:rFonts w:ascii="Calibri" w:cs="Calibri" w:eastAsia="Calibri" w:hAnsi="Calibri"/>
          <w:b/>
          <w:bCs/>
          <w:sz w:val="21"/>
          <w:szCs w:val="21"/>
        </w:rPr>
        <w:t xml:space="preserve">Extremos que el informe de fiscalización debe recorrer en estos expedientes.</w:t>
      </w:r>
    </w:p>
    <w:p>
      <w:pPr>
        <w:pStyle w:val="ListParagraph"/>
        <w:numPr>
          <w:ilvl w:val="0"/>
          <w:numId w:val="2"/>
        </w:numPr>
        <w:spacing w:after="70" w:line="268"/>
      </w:pPr>
      <w:r>
        <w:rPr>
          <w:rFonts w:ascii="Calibri" w:cs="Calibri" w:eastAsia="Calibri" w:hAnsi="Calibri"/>
          <w:sz w:val="21"/>
          <w:szCs w:val="21"/>
        </w:rPr>
        <w:t xml:space="preserve">Existencia y adecuación del crédito; y, si el gasto es plurianual, cumplimiento del art. 174 del TRLRHL (art. 13.2.a RD 424/2017).</w:t>
      </w:r>
    </w:p>
    <w:p>
      <w:pPr>
        <w:pStyle w:val="ListParagraph"/>
        <w:numPr>
          <w:ilvl w:val="0"/>
          <w:numId w:val="2"/>
        </w:numPr>
        <w:spacing w:after="70" w:line="268"/>
      </w:pPr>
      <w:r>
        <w:rPr>
          <w:rFonts w:ascii="Calibri" w:cs="Calibri" w:eastAsia="Calibri" w:hAnsi="Calibri"/>
          <w:sz w:val="21"/>
          <w:szCs w:val="21"/>
        </w:rPr>
        <w:t xml:space="preserve">Competencia del órgano de contratación (art. 13.2.b).</w:t>
      </w:r>
    </w:p>
    <w:p>
      <w:pPr>
        <w:pStyle w:val="ListParagraph"/>
        <w:numPr>
          <w:ilvl w:val="0"/>
          <w:numId w:val="2"/>
        </w:numPr>
        <w:spacing w:after="70" w:line="268"/>
      </w:pPr>
      <w:r>
        <w:rPr>
          <w:rFonts w:ascii="Calibri" w:cs="Calibri" w:eastAsia="Calibri" w:hAnsi="Calibri"/>
          <w:sz w:val="21"/>
          <w:szCs w:val="21"/>
        </w:rPr>
        <w:t xml:space="preserve">Incorporación del certificado de existencia de crédito (art. 116.3 LCSP).</w:t>
      </w:r>
    </w:p>
    <w:p>
      <w:pPr>
        <w:pStyle w:val="ListParagraph"/>
        <w:numPr>
          <w:ilvl w:val="0"/>
          <w:numId w:val="2"/>
        </w:numPr>
        <w:spacing w:after="70" w:line="268"/>
      </w:pPr>
      <w:r>
        <w:rPr>
          <w:rFonts w:ascii="Calibri" w:cs="Calibri" w:eastAsia="Calibri" w:hAnsi="Calibri"/>
          <w:sz w:val="21"/>
          <w:szCs w:val="21"/>
        </w:rPr>
        <w:t xml:space="preserve">Valoración de repercusiones en estabilidad presupuestaria y sostenibilidad financiera (DA 3.ª.3 LCSP).</w:t>
      </w:r>
    </w:p>
    <w:p>
      <w:pPr>
        <w:pStyle w:val="ListParagraph"/>
        <w:numPr>
          <w:ilvl w:val="0"/>
          <w:numId w:val="2"/>
        </w:numPr>
        <w:spacing w:after="70" w:line="268"/>
      </w:pPr>
      <w:r>
        <w:rPr>
          <w:rFonts w:ascii="Calibri" w:cs="Calibri" w:eastAsia="Calibri" w:hAnsi="Calibri"/>
          <w:sz w:val="21"/>
          <w:szCs w:val="21"/>
        </w:rPr>
        <w:t xml:space="preserve">Corrección del valor estimado, incluidas prórrogas, bolsa de evolutivos y máximo de modificaciones (art. 101.2).</w:t>
      </w:r>
    </w:p>
    <w:p>
      <w:pPr>
        <w:pStyle w:val="ListParagraph"/>
        <w:numPr>
          <w:ilvl w:val="0"/>
          <w:numId w:val="2"/>
        </w:numPr>
        <w:spacing w:after="70" w:line="268"/>
      </w:pPr>
      <w:r>
        <w:rPr>
          <w:rFonts w:ascii="Calibri" w:cs="Calibri" w:eastAsia="Calibri" w:hAnsi="Calibri"/>
          <w:sz w:val="21"/>
          <w:szCs w:val="21"/>
        </w:rPr>
        <w:t xml:space="preserve">Certeza del precio: en la bolsa de servicios evolutivos, qué ocurre con las unidades no consumidas, y cómo se determina el precio unitario.</w:t>
      </w:r>
    </w:p>
    <w:p>
      <w:pPr>
        <w:pStyle w:val="ListParagraph"/>
        <w:numPr>
          <w:ilvl w:val="0"/>
          <w:numId w:val="2"/>
        </w:numPr>
        <w:spacing w:after="70" w:line="268"/>
      </w:pPr>
      <w:r>
        <w:rPr>
          <w:rFonts w:ascii="Calibri" w:cs="Calibri" w:eastAsia="Calibri" w:hAnsi="Calibri"/>
          <w:sz w:val="21"/>
          <w:szCs w:val="21"/>
        </w:rPr>
        <w:t xml:space="preserve">Constancia del informe de necesidad y de la ficha firmada.</w:t>
      </w:r>
    </w:p>
    <w:p>
      <w:pPr>
        <w:pStyle w:val="ListParagraph"/>
        <w:numPr>
          <w:ilvl w:val="0"/>
          <w:numId w:val="2"/>
        </w:numPr>
        <w:spacing w:after="70" w:line="268"/>
      </w:pPr>
      <w:r>
        <w:rPr>
          <w:rFonts w:ascii="Calibri" w:cs="Calibri" w:eastAsia="Calibri" w:hAnsi="Calibri"/>
          <w:sz w:val="21"/>
          <w:szCs w:val="21"/>
        </w:rPr>
        <w:t xml:space="preserve">Constancia del informe jurídico preceptivo.</w:t>
      </w:r>
    </w:p>
    <w:p>
      <w:pPr>
        <w:pStyle w:val="ListParagraph"/>
        <w:numPr>
          <w:ilvl w:val="0"/>
          <w:numId w:val="2"/>
        </w:numPr>
        <w:spacing w:after="70" w:line="268"/>
      </w:pPr>
      <w:r>
        <w:rPr>
          <w:rFonts w:ascii="Calibri" w:cs="Calibri" w:eastAsia="Calibri" w:hAnsi="Calibri"/>
          <w:sz w:val="21"/>
          <w:szCs w:val="21"/>
        </w:rPr>
        <w:t xml:space="preserve">Existencia del informe de insuficiencia de medios en contratos de servicios.</w:t>
      </w:r>
    </w:p>
    <w:p>
      <w:pPr>
        <w:pStyle w:val="ListParagraph"/>
        <w:numPr>
          <w:ilvl w:val="0"/>
          <w:numId w:val="2"/>
        </w:numPr>
        <w:spacing w:after="70" w:line="268"/>
      </w:pPr>
      <w:r>
        <w:rPr>
          <w:rFonts w:ascii="Calibri" w:cs="Calibri" w:eastAsia="Calibri" w:hAnsi="Calibri"/>
          <w:sz w:val="21"/>
          <w:szCs w:val="21"/>
        </w:rPr>
        <w:t xml:space="preserve">Cifrado del coste de las cláusulas del catálogo que se activan.</w:t>
      </w:r>
    </w:p>
    <w:p>
      <w:pPr>
        <w:pStyle w:val="ListParagraph"/>
        <w:numPr>
          <w:ilvl w:val="0"/>
          <w:numId w:val="2"/>
        </w:numPr>
        <w:spacing w:after="70" w:line="268"/>
      </w:pPr>
      <w:r>
        <w:rPr>
          <w:rFonts w:ascii="Calibri" w:cs="Calibri" w:eastAsia="Calibri" w:hAnsi="Calibri"/>
          <w:sz w:val="21"/>
          <w:szCs w:val="21"/>
        </w:rPr>
        <w:t xml:space="preserve">Constancia de que las obligaciones declaradas esenciales tienen verificación asignada con actor y periodicidad.</w:t>
      </w:r>
    </w:p>
    <w:p>
      <w:pPr>
        <w:pStyle w:val="ListParagraph"/>
        <w:numPr>
          <w:ilvl w:val="0"/>
          <w:numId w:val="2"/>
        </w:numPr>
        <w:spacing w:after="70" w:line="268"/>
      </w:pPr>
      <w:r>
        <w:rPr>
          <w:rFonts w:ascii="Calibri" w:cs="Calibri" w:eastAsia="Calibri" w:hAnsi="Calibri"/>
          <w:sz w:val="21"/>
          <w:szCs w:val="21"/>
        </w:rPr>
        <w:t xml:space="preserve">Constancia de la conformidad expresa del servicio que ha de verificar, cuando la carga estimada de verificación del contrato supere el umbral de la Parte I, §7.9.2 (documento A-6 del circuito, V.2.1).</w:t>
      </w:r>
    </w:p>
    <w:p>
      <w:pPr>
        <w:pStyle w:val="ListParagraph"/>
        <w:numPr>
          <w:ilvl w:val="0"/>
          <w:numId w:val="2"/>
        </w:numPr>
        <w:spacing w:after="70" w:line="268"/>
      </w:pPr>
      <w:r>
        <w:rPr>
          <w:rFonts w:ascii="Calibri" w:cs="Calibri" w:eastAsia="Calibri" w:hAnsi="Calibri"/>
          <w:sz w:val="21"/>
          <w:szCs w:val="21"/>
        </w:rPr>
        <w:t xml:space="preserve">Previsión de la comprobación material de la inversión cuando el importe sea igual o superior a 50.000 €, con la antelación de veinte días para solicitar la asistencia del órgano interventor (art. 20.3 RD 424/2017).</w:t>
      </w:r>
    </w:p>
    <w:p>
      <w:pPr>
        <w:spacing w:after="140" w:line="276"/>
      </w:pPr>
      <w:r>
        <w:rPr>
          <w:rFonts w:ascii="Calibri" w:cs="Calibri" w:eastAsia="Calibri" w:hAnsi="Calibri"/>
          <w:b/>
          <w:bCs/>
          <w:sz w:val="21"/>
          <w:szCs w:val="21"/>
        </w:rPr>
        <w:t xml:space="preserve">Qué pasa si hay reparo.</w:t>
      </w:r>
      <w:r>
        <w:rPr>
          <w:rFonts w:ascii="Calibri" w:cs="Calibri" w:eastAsia="Calibri" w:hAnsi="Calibri"/>
          <w:sz w:val="21"/>
          <w:szCs w:val="21"/>
        </w:rPr>
        <w:t xml:space="preserve"> El reparo se formula por escrito y motivado, y «deberán comprender todas las objeciones observadas en el expediente» (art. 12.1 RD 424/2017). Si afecta a la aprobación o disposición de gastos, suspende la tramitación en los casos del art. 216.2 TRLRHL (art. 12.2). Existe además una vía intermedia muy útil y poco usada: cuando los defectos no sean esenciales, la Intervención </w:t>
      </w:r>
      <w:r>
        <w:rPr>
          <w:rFonts w:ascii="Calibri" w:cs="Calibri" w:eastAsia="Calibri" w:hAnsi="Calibri"/>
          <w:b/>
          <w:bCs/>
          <w:sz w:val="21"/>
          <w:szCs w:val="21"/>
        </w:rPr>
        <w:t xml:space="preserve">puede emitir informe favorable condicionado a la subsanación previa a la aprobación del expediente</w:t>
      </w:r>
      <w:r>
        <w:rPr>
          <w:rFonts w:ascii="Calibri" w:cs="Calibri" w:eastAsia="Calibri" w:hAnsi="Calibri"/>
          <w:sz w:val="21"/>
          <w:szCs w:val="21"/>
        </w:rPr>
        <w:t xml:space="preserve"> (art. 12.5). Si el reparo no se acepta, se inicia el procedimiento de discrepancia del art. 15. Las resoluciones contrarias a reparos se remiten al Tribunal de Cuentas conforme al art. 218.3 TRLRHL.</w:t>
      </w:r>
    </w:p>
    <w:p>
      <w:pPr>
        <w:pStyle w:val="Heading3"/>
        <w:keepNext/>
        <w:spacing w:after="140" w:before="320"/>
      </w:pPr>
      <w:r>
        <w:rPr>
          <w:rFonts w:ascii="Georgia" w:cs="Georgia" w:eastAsia="Georgia" w:hAnsi="Georgia"/>
          <w:b/>
          <w:bCs/>
          <w:color w:val="2F5496"/>
          <w:sz w:val="22"/>
          <w:szCs w:val="22"/>
        </w:rPr>
        <w:t xml:space="preserve">V.4.17 · Resolución de aprobación del expediente y anuncio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117.1 LCSP: «Completado el expediente de contratación, se dictará resolución motivada por el órgano de contratación aprobando el mismo y disponiendo la apertura del procedimiento de adjudicación. Dicha resolución implicará también la aprobación del gasto […] Esta resolución deberá ser objeto de publicación en el perfil de contratante».</w:t>
      </w:r>
    </w:p>
    <w:p>
      <w:pPr>
        <w:spacing w:after="140" w:line="276"/>
      </w:pPr>
      <w:r>
        <w:rPr>
          <w:rFonts w:ascii="Calibri" w:cs="Calibri" w:eastAsia="Calibri" w:hAnsi="Calibri"/>
          <w:sz w:val="21"/>
          <w:szCs w:val="21"/>
        </w:rPr>
        <w:t xml:space="preserve">Tres cautelas de secuencia:</w:t>
      </w:r>
    </w:p>
    <w:p>
      <w:pPr>
        <w:pStyle w:val="ListParagraph"/>
        <w:numPr>
          <w:ilvl w:val="0"/>
          <w:numId w:val="2"/>
        </w:numPr>
        <w:spacing w:after="70" w:line="268"/>
      </w:pPr>
      <w:r>
        <w:rPr>
          <w:rFonts w:ascii="Calibri" w:cs="Calibri" w:eastAsia="Calibri" w:hAnsi="Calibri"/>
          <w:sz w:val="21"/>
          <w:szCs w:val="21"/>
        </w:rPr>
        <w:t xml:space="preserve">El PCAP debe aprobarse previamente a la autorización del gasto o conjuntamente con ella, y siempre antes de la licitación (art. 122.1).</w:t>
      </w:r>
    </w:p>
    <w:p>
      <w:pPr>
        <w:pStyle w:val="ListParagraph"/>
        <w:numPr>
          <w:ilvl w:val="0"/>
          <w:numId w:val="2"/>
        </w:numPr>
        <w:spacing w:after="70" w:line="268"/>
      </w:pPr>
      <w:r>
        <w:rPr>
          <w:rFonts w:ascii="Calibri" w:cs="Calibri" w:eastAsia="Calibri" w:hAnsi="Calibri"/>
          <w:sz w:val="21"/>
          <w:szCs w:val="21"/>
        </w:rPr>
        <w:t xml:space="preserve">La resolución tiene que ser </w:t>
      </w:r>
      <w:r>
        <w:rPr>
          <w:rFonts w:ascii="Calibri" w:cs="Calibri" w:eastAsia="Calibri" w:hAnsi="Calibri"/>
          <w:b/>
          <w:bCs/>
          <w:sz w:val="21"/>
          <w:szCs w:val="21"/>
        </w:rPr>
        <w:t xml:space="preserve">motivada</w:t>
      </w:r>
      <w:r>
        <w:rPr>
          <w:rFonts w:ascii="Calibri" w:cs="Calibri" w:eastAsia="Calibri" w:hAnsi="Calibri"/>
          <w:sz w:val="21"/>
          <w:szCs w:val="21"/>
        </w:rPr>
        <w:t xml:space="preserve">, no un mero «se aprueba». La motivación puede remitirse a la memoria, que es donde está.</w:t>
      </w:r>
    </w:p>
    <w:p>
      <w:pPr>
        <w:pStyle w:val="ListParagraph"/>
        <w:numPr>
          <w:ilvl w:val="0"/>
          <w:numId w:val="2"/>
        </w:numPr>
        <w:spacing w:after="70" w:line="268"/>
      </w:pPr>
      <w:r>
        <w:rPr>
          <w:rFonts w:ascii="Calibri" w:cs="Calibri" w:eastAsia="Calibri" w:hAnsi="Calibri"/>
          <w:sz w:val="21"/>
          <w:szCs w:val="21"/>
        </w:rPr>
        <w:t xml:space="preserve">El orden de publicación importa: si el anuncio de licitación indica la forma en que los interesados pueden acceder a los pliegos, el plazo de recurso contra los pliegos empieza a contar desde el día siguiente a la publicación del anuncio (art. 50.1.b). Si esa indicación no se hace, el plazo se traslada al momento en que cada interesado accedió, y el expediente pierde una fecha cierta que le conviene tener. </w:t>
      </w:r>
      <w:r>
        <w:rPr>
          <w:rFonts w:ascii="Calibri" w:cs="Calibri" w:eastAsia="Calibri" w:hAnsi="Calibri"/>
          <w:b/>
          <w:bCs/>
          <w:sz w:val="21"/>
          <w:szCs w:val="21"/>
        </w:rPr>
        <w:t xml:space="preserve">Indíquese siempre la forma de acceso en el anuncio.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V.5 · Régimen de recursos</w:t>
      </w:r>
    </w:p>
    <w:p>
      <w:pPr>
        <w:spacing w:after="140" w:line="276"/>
      </w:pPr>
      <w:r>
        <w:rPr>
          <w:rFonts w:ascii="Calibri" w:cs="Calibri" w:eastAsia="Calibri" w:hAnsi="Calibri"/>
          <w:sz w:val="21"/>
          <w:szCs w:val="21"/>
        </w:rPr>
        <w:t xml:space="preserve">Un catálogo publicado en abierto que exige tecnología va a ser recurrido. Este apartado dice quién puede hacerlo, contra qué, cuándo, ante quién y con qué efectos, con los plazos exactos, porque de ellos depende el apartado siguiente.</w:t>
      </w:r>
    </w:p>
    <w:p>
      <w:pPr>
        <w:pStyle w:val="Heading3"/>
        <w:keepNext/>
        <w:spacing w:after="140" w:before="320"/>
      </w:pPr>
      <w:r>
        <w:rPr>
          <w:rFonts w:ascii="Georgia" w:cs="Georgia" w:eastAsia="Georgia" w:hAnsi="Georgia"/>
          <w:b/>
          <w:bCs/>
          <w:color w:val="2F5496"/>
          <w:sz w:val="22"/>
          <w:szCs w:val="22"/>
        </w:rPr>
        <w:t xml:space="preserve">V.5.1 · Quién puede recurrir</w:t>
      </w:r>
    </w:p>
    <w:p>
      <w:pPr>
        <w:spacing w:after="140" w:line="276"/>
      </w:pPr>
      <w:r>
        <w:rPr>
          <w:rFonts w:ascii="Calibri" w:cs="Calibri" w:eastAsia="Calibri" w:hAnsi="Calibri"/>
          <w:sz w:val="21"/>
          <w:szCs w:val="21"/>
        </w:rPr>
        <w:t xml:space="preserve">Art. 48 LCSP: «cualquier persona física o jurídica cuyos derechos o intereses legítimos, individuales o colectivos, se hayan visto perjudicados o puedan resultar afectados, de manera directa o indirecta, por las decisiones objeto del recurso». También están legitimadas las organizaciones sindicales en los términos del propio artículo, y «en todo caso se entenderá legitimada la organización empresarial sectorial representativa de los intereses afectados».</w:t>
      </w:r>
    </w:p>
    <w:p>
      <w:pPr>
        <w:spacing w:after="140" w:line="276"/>
      </w:pPr>
      <w:r>
        <w:rPr>
          <w:rFonts w:ascii="Calibri" w:cs="Calibri" w:eastAsia="Calibri" w:hAnsi="Calibri"/>
          <w:sz w:val="21"/>
          <w:szCs w:val="21"/>
        </w:rPr>
        <w:t xml:space="preserve">Consecuencia práctica que conviene interiorizar: </w:t>
      </w:r>
      <w:r>
        <w:rPr>
          <w:rFonts w:ascii="Calibri" w:cs="Calibri" w:eastAsia="Calibri" w:hAnsi="Calibri"/>
          <w:b/>
          <w:bCs/>
          <w:sz w:val="21"/>
          <w:szCs w:val="21"/>
        </w:rPr>
        <w:t xml:space="preserve">no hace falta haber presentado oferta para recurrir los pliegos</w:t>
      </w:r>
      <w:r>
        <w:rPr>
          <w:rFonts w:ascii="Calibri" w:cs="Calibri" w:eastAsia="Calibri" w:hAnsi="Calibri"/>
          <w:sz w:val="21"/>
          <w:szCs w:val="21"/>
        </w:rPr>
        <w:t xml:space="preserve">. Al contrario: quien alega que los pliegos le impiden presentarla es el recurrente típico contra pliegos, y el art. 50.1.b), párrafo final, dispone que «con carácter general no se admitirá el recurso contra los pliegos y documentos contractuales […] si el recurrente, con carácter previo a su interposición, hubiera presentado oferta o solicitud de participación», salvo nulidad de pleno derecho. Es decir: el recurrente contra pliegos es, casi por definición, quien no licita.</w:t>
      </w:r>
    </w:p>
    <w:p>
      <w:pPr>
        <w:pStyle w:val="Heading3"/>
        <w:keepNext/>
        <w:spacing w:after="140" w:before="320"/>
      </w:pPr>
      <w:r>
        <w:rPr>
          <w:rFonts w:ascii="Georgia" w:cs="Georgia" w:eastAsia="Georgia" w:hAnsi="Georgia"/>
          <w:b/>
          <w:bCs/>
          <w:color w:val="2F5496"/>
          <w:sz w:val="22"/>
          <w:szCs w:val="22"/>
        </w:rPr>
        <w:t xml:space="preserve">V.5.2 · Contra qué, y desde qué umbral</w:t>
      </w:r>
    </w:p>
    <w:p>
      <w:pPr>
        <w:spacing w:after="140" w:line="276"/>
      </w:pPr>
      <w:r>
        <w:rPr>
          <w:rFonts w:ascii="Calibri" w:cs="Calibri" w:eastAsia="Calibri" w:hAnsi="Calibri"/>
          <w:b/>
          <w:bCs/>
          <w:sz w:val="21"/>
          <w:szCs w:val="21"/>
        </w:rPr>
        <w:t xml:space="preserve">Umbral.</w:t>
      </w:r>
      <w:r>
        <w:rPr>
          <w:rFonts w:ascii="Calibri" w:cs="Calibri" w:eastAsia="Calibri" w:hAnsi="Calibri"/>
          <w:sz w:val="21"/>
          <w:szCs w:val="21"/>
        </w:rPr>
        <w:t xml:space="preserve"> Contratos de </w:t>
      </w:r>
      <w:r>
        <w:rPr>
          <w:rFonts w:ascii="Calibri" w:cs="Calibri" w:eastAsia="Calibri" w:hAnsi="Calibri"/>
          <w:b/>
          <w:bCs/>
          <w:sz w:val="21"/>
          <w:szCs w:val="21"/>
        </w:rPr>
        <w:t xml:space="preserve">servicios y suministros con valor estimado superior a 100.000 €</w:t>
      </w:r>
      <w:r>
        <w:rPr>
          <w:rFonts w:ascii="Calibri" w:cs="Calibri" w:eastAsia="Calibri" w:hAnsi="Calibri"/>
          <w:sz w:val="21"/>
          <w:szCs w:val="21"/>
        </w:rPr>
        <w:t xml:space="preserve"> y contratos de obras con valor estimado superior a 3.000.000 € (art. 44.1.a); concesiones de obras o de servicios con valor estimado superior a 3.000.000 € (art. 44.1.c). También los acuerdos marco y sistemas dinámicos de adquisición que tengan por objeto contratos de esos tipos, así como los contratos basados en cualquiera de ellos (art. 44.1.b).</w:t>
      </w:r>
    </w:p>
    <w:p>
      <w:pPr>
        <w:spacing w:after="140" w:line="276"/>
      </w:pPr>
      <w:r>
        <w:rPr>
          <w:rFonts w:ascii="Calibri" w:cs="Calibri" w:eastAsia="Calibri" w:hAnsi="Calibri"/>
          <w:b/>
          <w:bCs/>
          <w:sz w:val="21"/>
          <w:szCs w:val="21"/>
        </w:rPr>
        <w:t xml:space="preserve">Actos recurribles</w:t>
      </w:r>
      <w:r>
        <w:rPr>
          <w:rFonts w:ascii="Calibri" w:cs="Calibri" w:eastAsia="Calibri" w:hAnsi="Calibri"/>
          <w:sz w:val="21"/>
          <w:szCs w:val="21"/>
        </w:rPr>
        <w:t xml:space="preserve"> (art. 44.2): entre otros, «los anuncios de licitación, </w:t>
      </w:r>
      <w:r>
        <w:rPr>
          <w:rFonts w:ascii="Calibri" w:cs="Calibri" w:eastAsia="Calibri" w:hAnsi="Calibri"/>
          <w:b/>
          <w:bCs/>
          <w:sz w:val="21"/>
          <w:szCs w:val="21"/>
        </w:rPr>
        <w:t xml:space="preserve">los pliegos y los documentos contractuales que establezcan las condiciones que deban regir la contratación</w:t>
      </w:r>
      <w:r>
        <w:rPr>
          <w:rFonts w:ascii="Calibri" w:cs="Calibri" w:eastAsia="Calibri" w:hAnsi="Calibri"/>
          <w:sz w:val="21"/>
          <w:szCs w:val="21"/>
        </w:rPr>
        <w:t xml:space="preserve">» (letra a); los actos de trámite cualificados (letra b); los acuerdos de adjudicación (letra c); las modificaciones basadas en el incumplimiento de los arts. 204 y 205 (letra d).</w:t>
      </w:r>
    </w:p>
    <w:p>
      <w:pPr>
        <w:spacing w:after="140" w:line="276"/>
      </w:pPr>
      <w:r>
        <w:rPr>
          <w:rFonts w:ascii="Calibri" w:cs="Calibri" w:eastAsia="Calibri" w:hAnsi="Calibri"/>
          <w:b/>
          <w:bCs/>
          <w:sz w:val="21"/>
          <w:szCs w:val="21"/>
        </w:rPr>
        <w:t xml:space="preserve">Dos precisiones útiles.</w:t>
      </w:r>
      <w:r>
        <w:rPr>
          <w:rFonts w:ascii="Calibri" w:cs="Calibri" w:eastAsia="Calibri" w:hAnsi="Calibri"/>
          <w:sz w:val="21"/>
          <w:szCs w:val="21"/>
        </w:rPr>
        <w:t xml:space="preserve"> El recurso especial es potestativo y </w:t>
      </w:r>
      <w:r>
        <w:rPr>
          <w:rFonts w:ascii="Calibri" w:cs="Calibri" w:eastAsia="Calibri" w:hAnsi="Calibri"/>
          <w:b/>
          <w:bCs/>
          <w:sz w:val="21"/>
          <w:szCs w:val="21"/>
        </w:rPr>
        <w:t xml:space="preserve">gratuito</w:t>
      </w:r>
      <w:r>
        <w:rPr>
          <w:rFonts w:ascii="Calibri" w:cs="Calibri" w:eastAsia="Calibri" w:hAnsi="Calibri"/>
          <w:sz w:val="21"/>
          <w:szCs w:val="21"/>
        </w:rPr>
        <w:t xml:space="preserve"> para los recurrentes (art. 44.7). Y contra las actuaciones susceptibles de recurso especial </w:t>
      </w:r>
      <w:r>
        <w:rPr>
          <w:rFonts w:ascii="Calibri" w:cs="Calibri" w:eastAsia="Calibri" w:hAnsi="Calibri"/>
          <w:b/>
          <w:bCs/>
          <w:sz w:val="21"/>
          <w:szCs w:val="21"/>
        </w:rPr>
        <w:t xml:space="preserve">no procede la interposición de recursos administrativos ordinarios</w:t>
      </w:r>
      <w:r>
        <w:rPr>
          <w:rFonts w:ascii="Calibri" w:cs="Calibri" w:eastAsia="Calibri" w:hAnsi="Calibri"/>
          <w:sz w:val="21"/>
          <w:szCs w:val="21"/>
        </w:rPr>
        <w:t xml:space="preserve"> (art. 44.5).</w:t>
      </w:r>
    </w:p>
    <w:p>
      <w:pPr>
        <w:spacing w:after="140" w:line="276"/>
      </w:pPr>
      <w:r>
        <w:rPr>
          <w:rFonts w:ascii="Calibri" w:cs="Calibri" w:eastAsia="Calibri" w:hAnsi="Calibri"/>
          <w:b/>
          <w:bCs/>
          <w:sz w:val="21"/>
          <w:szCs w:val="21"/>
        </w:rPr>
        <w:t xml:space="preserve">Por debajo del umbral</w:t>
      </w:r>
      <w:r>
        <w:rPr>
          <w:rFonts w:ascii="Calibri" w:cs="Calibri" w:eastAsia="Calibri" w:hAnsi="Calibri"/>
          <w:sz w:val="21"/>
          <w:szCs w:val="21"/>
        </w:rPr>
        <w:t xml:space="preserve"> (art. 44.6): los actos podrán ser objeto de recurso conforme a la Ley 39/2015 y a la Ley 29/1998. Es decir, no desaparece la impugnación: cambia de vía, de plazo y de tribunal, y desaparece el efecto suspensivo del art. 53.</w:t>
      </w:r>
    </w:p>
    <w:p>
      <w:pPr>
        <w:pStyle w:val="Heading3"/>
        <w:keepNext/>
        <w:spacing w:after="140" w:before="320"/>
      </w:pPr>
      <w:r>
        <w:rPr>
          <w:rFonts w:ascii="Georgia" w:cs="Georgia" w:eastAsia="Georgia" w:hAnsi="Georgia"/>
          <w:b/>
          <w:bCs/>
          <w:color w:val="2F5496"/>
          <w:sz w:val="22"/>
          <w:szCs w:val="22"/>
        </w:rPr>
        <w:t xml:space="preserve">V.5.3 · Plazo</w:t>
      </w:r>
    </w:p>
    <w:p>
      <w:pPr>
        <w:spacing w:after="140" w:line="276"/>
      </w:pPr>
      <w:r>
        <w:rPr>
          <w:rFonts w:ascii="Calibri" w:cs="Calibri" w:eastAsia="Calibri" w:hAnsi="Calibri"/>
          <w:b/>
          <w:bCs/>
          <w:sz w:val="21"/>
          <w:szCs w:val="21"/>
        </w:rPr>
        <w:t xml:space="preserve">Quince días hábiles</w:t>
      </w:r>
      <w:r>
        <w:rPr>
          <w:rFonts w:ascii="Calibri" w:cs="Calibri" w:eastAsia="Calibri" w:hAnsi="Calibri"/>
          <w:sz w:val="21"/>
          <w:szCs w:val="21"/>
        </w:rPr>
        <w:t xml:space="preserve"> (art. 50.1). El cómputo, en lo que aquí interesa: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 desde el día siguiente al de su publicación en el perfil de contratante (art. 50.1.a).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contenido de los pliegos y demás documentos contractuales</w:t>
      </w:r>
      <w:r>
        <w:rPr>
          <w:rFonts w:ascii="Calibri" w:cs="Calibri" w:eastAsia="Calibri" w:hAnsi="Calibri"/>
          <w:sz w:val="21"/>
          <w:szCs w:val="21"/>
        </w:rPr>
        <w:t xml:space="preserve">: desde el día siguiente a aquel en que se haya publicado en el perfil de contratante el anuncio de licitación, </w:t>
      </w:r>
      <w:r>
        <w:rPr>
          <w:rFonts w:ascii="Calibri" w:cs="Calibri" w:eastAsia="Calibri" w:hAnsi="Calibri"/>
          <w:b/>
          <w:bCs/>
          <w:sz w:val="21"/>
          <w:szCs w:val="21"/>
        </w:rPr>
        <w:t xml:space="preserve">siempre que en este se haya indicado la forma en que los interesados pueden acceder a ellos</w:t>
      </w:r>
      <w:r>
        <w:rPr>
          <w:rFonts w:ascii="Calibri" w:cs="Calibri" w:eastAsia="Calibri" w:hAnsi="Calibri"/>
          <w:sz w:val="21"/>
          <w:szCs w:val="21"/>
        </w:rPr>
        <w:t xml:space="preserve">; si no se hizo esa indicación, desde el día siguiente a aquel en que se le hayan entregado al interesado o este haya podido acceder a su contenido (art. 50.1.b).</w:t>
      </w:r>
    </w:p>
    <w:p>
      <w:pPr>
        <w:spacing w:after="140" w:line="276"/>
      </w:pPr>
      <w:r>
        <w:rPr>
          <w:rFonts w:ascii="Calibri" w:cs="Calibri" w:eastAsia="Calibri" w:hAnsi="Calibri"/>
          <w:sz w:val="21"/>
          <w:szCs w:val="21"/>
        </w:rPr>
        <w:t xml:space="preserve">Por eso importa el dispositivo de fecha fehaciente del art. 63.7 LCSP: es la prueba de cuándo empezó a correr el plazo.</w:t>
      </w:r>
    </w:p>
    <w:p>
      <w:pPr>
        <w:spacing w:after="140" w:line="276"/>
      </w:pPr>
      <w:r>
        <w:rPr>
          <w:rFonts w:ascii="Calibri" w:cs="Calibri" w:eastAsia="Calibri" w:hAnsi="Calibri"/>
          <w:b/>
          <w:bCs/>
          <w:sz w:val="21"/>
          <w:szCs w:val="21"/>
        </w:rPr>
        <w:t xml:space="preserve">Plazos especiales por nulidad</w:t>
      </w:r>
      <w:r>
        <w:rPr>
          <w:rFonts w:ascii="Calibri" w:cs="Calibri" w:eastAsia="Calibri" w:hAnsi="Calibri"/>
          <w:sz w:val="21"/>
          <w:szCs w:val="21"/>
        </w:rPr>
        <w:t xml:space="preserve"> (art. 50.2): cuando el recurso se funde en las causas de nulidad del art. 39.2, letras c), d), e) o f), el plazo es de treinta días desde la publicación de la formalización o desde la notificación correspondiente; y, en los restantes casos, </w:t>
      </w:r>
      <w:r>
        <w:rPr>
          <w:rFonts w:ascii="Calibri" w:cs="Calibri" w:eastAsia="Calibri" w:hAnsi="Calibri"/>
          <w:b/>
          <w:bCs/>
          <w:sz w:val="21"/>
          <w:szCs w:val="21"/>
        </w:rPr>
        <w:t xml:space="preserve">antes de que transcurran seis meses desde la formalización</w:t>
      </w:r>
      <w:r>
        <w:rPr>
          <w:rFonts w:ascii="Calibri" w:cs="Calibri" w:eastAsia="Calibri" w:hAnsi="Calibri"/>
          <w:sz w:val="21"/>
          <w:szCs w:val="21"/>
        </w:rPr>
        <w:t xml:space="preserve">. Esta es la vía por la que un pliego puede seguir siendo atacable después de firme por el cauce ordinario, y la razón por la que el expediente debe conservarse ordenado más allá de la adjudicación.</w:t>
      </w:r>
    </w:p>
    <w:p>
      <w:pPr>
        <w:spacing w:after="140" w:line="276"/>
      </w:pPr>
      <w:r>
        <w:rPr>
          <w:rFonts w:ascii="Calibri" w:cs="Calibri" w:eastAsia="Calibri" w:hAnsi="Calibri"/>
          <w:b/>
          <w:bCs/>
          <w:sz w:val="21"/>
          <w:szCs w:val="21"/>
        </w:rPr>
        <w:t xml:space="preserve">Acceso al expediente antes de recurrir</w:t>
      </w:r>
      <w:r>
        <w:rPr>
          <w:rFonts w:ascii="Calibri" w:cs="Calibri" w:eastAsia="Calibri" w:hAnsi="Calibri"/>
          <w:sz w:val="21"/>
          <w:szCs w:val="21"/>
        </w:rPr>
        <w:t xml:space="preserve"> (art. 52): el interesado puede solicitarlo dentro del plazo de interposición, y el órgano de contratación </w:t>
      </w:r>
      <w:r>
        <w:rPr>
          <w:rFonts w:ascii="Calibri" w:cs="Calibri" w:eastAsia="Calibri" w:hAnsi="Calibri"/>
          <w:b/>
          <w:bCs/>
          <w:sz w:val="21"/>
          <w:szCs w:val="21"/>
        </w:rPr>
        <w:t xml:space="preserve">debe facilitarlo en los cinco días hábiles siguientes</w:t>
      </w:r>
      <w:r>
        <w:rPr>
          <w:rFonts w:ascii="Calibri" w:cs="Calibri" w:eastAsia="Calibri" w:hAnsi="Calibri"/>
          <w:sz w:val="21"/>
          <w:szCs w:val="21"/>
        </w:rPr>
        <w:t xml:space="preserve"> a la solicitud. La solicitud no paraliza el plazo de recurso. Es decir: puede recibirse una petición de acceso al expediente en cualquier momento de esos quince días, y hay cinco días hábiles para atenderla. Si no se atiende, el recurrente puede alegarlo en su recurso, con la consecuencia de que el órgano competente para resolver conceda el acceso antes del trámite de alegaciones y el procedimiento se alargue (art. 52.3; algunos incisos de ese apartado fueron declarados no conformes con el orden constitucional de competencias, en su fundamento jurídico 6 E) c), por la Sentencia del Tribunal Constitucional 68/2021, de 18 de marzo).</w:t>
      </w:r>
    </w:p>
    <w:p>
      <w:pPr>
        <w:pStyle w:val="Heading3"/>
        <w:keepNext/>
        <w:spacing w:after="140" w:before="320"/>
      </w:pPr>
      <w:r>
        <w:rPr>
          <w:rFonts w:ascii="Georgia" w:cs="Georgia" w:eastAsia="Georgia" w:hAnsi="Georgia"/>
          <w:b/>
          <w:bCs/>
          <w:color w:val="2F5496"/>
          <w:sz w:val="22"/>
          <w:szCs w:val="22"/>
        </w:rPr>
        <w:t xml:space="preserve">V.5.4 · Ante qué órgano</w:t>
      </w:r>
    </w:p>
    <w:p>
      <w:pPr>
        <w:spacing w:after="140" w:line="276"/>
      </w:pPr>
      <w:r>
        <w:rPr>
          <w:rFonts w:ascii="Calibri" w:cs="Calibri" w:eastAsia="Calibri" w:hAnsi="Calibri"/>
          <w:b/>
          <w:bCs/>
          <w:sz w:val="21"/>
          <w:szCs w:val="21"/>
        </w:rPr>
        <w:t xml:space="preserve">Regla general reutilizable</w:t>
      </w:r>
      <w:r>
        <w:rPr>
          <w:rFonts w:ascii="Calibri" w:cs="Calibri" w:eastAsia="Calibri" w:hAnsi="Calibri"/>
          <w:sz w:val="21"/>
          <w:szCs w:val="21"/>
        </w:rPr>
        <w:t xml:space="preserve"> (art. 46.4, párrafo primero, LCSP): «En lo relativo a la contratación en el ámbito de las Corporaciones Locales, la competencia para resolver los recursos será establecida por las normas de las Comunidades Autónomas cuando estas tengan atribuida competencia normativa y de ejecución en materia de régimen local y contratación».</w:t>
      </w:r>
    </w:p>
    <w:p>
      <w:pPr>
        <w:spacing w:after="140" w:line="276"/>
      </w:pPr>
      <w:r>
        <w:rPr>
          <w:rFonts w:ascii="Calibri" w:cs="Calibri" w:eastAsia="Calibri" w:hAnsi="Calibri"/>
          <w:b/>
          <w:bCs/>
          <w:sz w:val="21"/>
          <w:szCs w:val="21"/>
        </w:rPr>
        <w:t xml:space="preserve">Cautela obligatoria al reutilizar este documento.</w:t>
      </w:r>
      <w:r>
        <w:rPr>
          <w:rFonts w:ascii="Calibri" w:cs="Calibri" w:eastAsia="Calibri" w:hAnsi="Calibri"/>
          <w:sz w:val="21"/>
          <w:szCs w:val="21"/>
        </w:rPr>
        <w:t xml:space="preserve"> El párrafo segundo de ese mismo art. 46.4 —que resolvía el supuesto de ausencia de previsión autonómica— </w:t>
      </w:r>
      <w:r>
        <w:rPr>
          <w:rFonts w:ascii="Calibri" w:cs="Calibri" w:eastAsia="Calibri" w:hAnsi="Calibri"/>
          <w:b/>
          <w:bCs/>
          <w:sz w:val="21"/>
          <w:szCs w:val="21"/>
        </w:rPr>
        <w:t xml:space="preserve">fue declarado inconstitucional y nulo</w:t>
      </w:r>
      <w:r>
        <w:rPr>
          <w:rFonts w:ascii="Calibri" w:cs="Calibri" w:eastAsia="Calibri" w:hAnsi="Calibri"/>
          <w:sz w:val="21"/>
          <w:szCs w:val="21"/>
        </w:rPr>
        <w:t xml:space="preserve"> por la Sentencia del Tribunal Constitucional 68/2021, de 18 de marzo, dictada en el recurso de inconstitucionalidad n.º 4261-2018 (BOE-A-2021-6614). Así consta, además, en la nota al artículo 46 del texto consolidado de la Ley 9/2017 publicado por el Boletín Oficial del Estado. No existe, por tanto, una regla estatal supletoria: hay que estar a lo que disponga la legislación de la Comunidad Autónoma correspondiente. Quien copie este documento debe identificar su propio órgano competente y no dar por buena la remisión.</w:t>
      </w:r>
    </w:p>
    <w:p>
      <w:pPr>
        <w:spacing w:after="140" w:line="276"/>
      </w:pPr>
      <w:r>
        <w:rPr>
          <w:rFonts w:ascii="Calibri" w:cs="Calibri" w:eastAsia="Calibri" w:hAnsi="Calibri"/>
          <w:b/>
          <w:bCs/>
          <w:sz w:val="21"/>
          <w:szCs w:val="21"/>
        </w:rPr>
        <w:t xml:space="preserve">Facultad propia de los municipios de gran población</w:t>
      </w:r>
      <w:r>
        <w:rPr>
          <w:rFonts w:ascii="Calibri" w:cs="Calibri" w:eastAsia="Calibri" w:hAnsi="Calibri"/>
          <w:sz w:val="21"/>
          <w:szCs w:val="21"/>
        </w:rPr>
        <w:t xml:space="preserve"> (art. 46.4, párrafo tercero): los ayuntamientos de los municipios de gran población a los que se refiere el art. 121 LBRL y las diputaciones provinciales </w:t>
      </w:r>
      <w:r>
        <w:rPr>
          <w:rFonts w:ascii="Calibri" w:cs="Calibri" w:eastAsia="Calibri" w:hAnsi="Calibri"/>
          <w:b/>
          <w:bCs/>
          <w:sz w:val="21"/>
          <w:szCs w:val="21"/>
        </w:rPr>
        <w:t xml:space="preserve">podrán crear un órgano especializado y funcionalmente independiente</w:t>
      </w:r>
      <w:r>
        <w:rPr>
          <w:rFonts w:ascii="Calibri" w:cs="Calibri" w:eastAsia="Calibri" w:hAnsi="Calibri"/>
          <w:sz w:val="21"/>
          <w:szCs w:val="21"/>
        </w:rPr>
        <w:t xml:space="preserve"> que ostentará la competencia para resolver los recursos; su creación corresponde al Pleno de la Corporación. Si el municipio lo ha creado, resuelve él; si no lo ha creado, rige la atribución autonómica.</w:t>
      </w:r>
    </w:p>
    <w:p>
      <w:pPr>
        <w:spacing w:after="140" w:line="276"/>
      </w:pPr>
      <w:r>
        <w:rPr>
          <w:rFonts w:ascii="Calibri" w:cs="Calibri" w:eastAsia="Calibri" w:hAnsi="Calibri"/>
          <w:b/>
          <w:bCs/>
          <w:sz w:val="21"/>
          <w:szCs w:val="21"/>
        </w:rPr>
        <w:t xml:space="preserve">En el caso de Pozuelo de Alarcón</w:t>
      </w:r>
      <w:r>
        <w:rPr>
          <w:rFonts w:ascii="Calibri" w:cs="Calibri" w:eastAsia="Calibri" w:hAnsi="Calibri"/>
          <w:sz w:val="21"/>
          <w:szCs w:val="21"/>
        </w:rPr>
        <w:t xml:space="preserve">, y salvo que el Ayuntamiento hubiera creado el órgano especializado del párrafo tercero, resolvería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que es el órgano que la Comunidad de Madrid tiene atribuida la competencia para las entidades locales de su ámbito. Esto no es una hipótesis: el propio Tribunal se declara competente para resolver recursos contra pliegos de ayuntamientos madrileños con base en el art. 46.4 LCSP y en el art. 3 de la Ley 9/2010, de 23 de diciembre, de la Comunidad de Madrid (véase V.5.6).</w:t>
      </w:r>
    </w:p>
    <w:p>
      <w:pPr>
        <w:spacing w:after="140" w:line="276"/>
      </w:pPr>
      <w:r>
        <w:rPr>
          <w:rFonts w:ascii="Calibri" w:cs="Calibri" w:eastAsia="Calibri" w:hAnsi="Calibri"/>
          <w:b/>
          <w:bCs/>
          <w:sz w:val="21"/>
          <w:szCs w:val="21"/>
        </w:rPr>
        <w:t xml:space="preserve">Contra la resolución del recurso especial</w:t>
      </w:r>
      <w:r>
        <w:rPr>
          <w:rFonts w:ascii="Calibri" w:cs="Calibri" w:eastAsia="Calibri" w:hAnsi="Calibri"/>
          <w:sz w:val="21"/>
          <w:szCs w:val="21"/>
        </w:rPr>
        <w:t xml:space="preserve"> sólo cabe recurso contencioso-administrativo (art. 59.1 LCSP, con remisión al art. 10.1.k) y l) y al art. 11.1.f) de la Ley 29/1998). La resolución es </w:t>
      </w:r>
      <w:r>
        <w:rPr>
          <w:rFonts w:ascii="Calibri" w:cs="Calibri" w:eastAsia="Calibri" w:hAnsi="Calibri"/>
          <w:b/>
          <w:bCs/>
          <w:sz w:val="21"/>
          <w:szCs w:val="21"/>
        </w:rPr>
        <w:t xml:space="preserve">directamente ejecutiva</w:t>
      </w:r>
      <w:r>
        <w:rPr>
          <w:rFonts w:ascii="Calibri" w:cs="Calibri" w:eastAsia="Calibri" w:hAnsi="Calibri"/>
          <w:sz w:val="21"/>
          <w:szCs w:val="21"/>
        </w:rPr>
        <w:t xml:space="preserve"> (art. 59.2) y </w:t>
      </w:r>
      <w:r>
        <w:rPr>
          <w:rFonts w:ascii="Calibri" w:cs="Calibri" w:eastAsia="Calibri" w:hAnsi="Calibri"/>
          <w:b/>
          <w:bCs/>
          <w:sz w:val="21"/>
          <w:szCs w:val="21"/>
        </w:rPr>
        <w:t xml:space="preserve">no procede su revisión de oficio</w:t>
      </w:r>
      <w:r>
        <w:rPr>
          <w:rFonts w:ascii="Calibri" w:cs="Calibri" w:eastAsia="Calibri" w:hAnsi="Calibri"/>
          <w:sz w:val="21"/>
          <w:szCs w:val="21"/>
        </w:rPr>
        <w:t xml:space="preserve"> ni está sujeta a fiscalización por los órganos de control interno (art. 59.3).</w:t>
      </w:r>
    </w:p>
    <w:p>
      <w:pPr>
        <w:pStyle w:val="Heading3"/>
        <w:keepNext/>
        <w:spacing w:after="140" w:before="320"/>
      </w:pPr>
      <w:r>
        <w:rPr>
          <w:rFonts w:ascii="Georgia" w:cs="Georgia" w:eastAsia="Georgia" w:hAnsi="Georgia"/>
          <w:b/>
          <w:bCs/>
          <w:color w:val="2F5496"/>
          <w:sz w:val="22"/>
          <w:szCs w:val="22"/>
        </w:rPr>
        <w:t xml:space="preserve">V.5.5 · Qué ocurre cuando se interpone: los plazos que gobiernan la defensa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pasa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interpone el recurso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competente lo notifica </w:t>
            </w:r>
            <w:r>
              <w:rPr>
                <w:rFonts w:ascii="Calibri" w:cs="Calibri" w:eastAsia="Calibri" w:hAnsi="Calibri"/>
                <w:b/>
                <w:bCs/>
                <w:sz w:val="18"/>
                <w:szCs w:val="18"/>
              </w:rPr>
              <w:t xml:space="preserve">el mismo día</w:t>
            </w:r>
            <w:r>
              <w:rPr>
                <w:rFonts w:ascii="Calibri" w:cs="Calibri" w:eastAsia="Calibri" w:hAnsi="Calibri"/>
                <w:b w:val="false"/>
                <w:bCs w:val="false"/>
                <w:sz w:val="18"/>
                <w:szCs w:val="18"/>
              </w:rPr>
              <w:t xml:space="preserve"> al órgano de contratación y le reclama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Día +2 hábiles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de contratación debe remitir el expediente acompañado del correspondiente informe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Traslado del recurso a los restantes interesados, con cinco días hábiles para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Decisión sobre medidas cautelares y, en su caso, sobre el mantenimiento de la suspensión automática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49, 53 y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Eventual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prueba de hasta diez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en cinco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resolución notificada, el interesado puede considerarlo desestimado a efectos de recurso contencioso-administrativo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57.5</w:t>
            </w:r>
          </w:p>
        </w:tc>
      </w:tr>
    </w:tbl>
    <w:p>
      <w:pPr>
        <w:spacing w:after="200"/>
      </w:pPr>
    </w:p>
    <w:p>
      <w:pPr>
        <w:spacing w:after="140" w:line="276"/>
      </w:pPr>
      <w:r>
        <w:rPr>
          <w:rFonts w:ascii="Calibri" w:cs="Calibri" w:eastAsia="Calibri" w:hAnsi="Calibri"/>
          <w:b/>
          <w:bCs/>
          <w:sz w:val="21"/>
          <w:szCs w:val="21"/>
        </w:rPr>
        <w:t xml:space="preserve">Suspensión.</w:t>
      </w:r>
      <w:r>
        <w:rPr>
          <w:rFonts w:ascii="Calibri" w:cs="Calibri" w:eastAsia="Calibri" w:hAnsi="Calibri"/>
          <w:sz w:val="21"/>
          <w:szCs w:val="21"/>
        </w:rPr>
        <w:t xml:space="preserve"> La interposición suspende la tramitación </w:t>
      </w:r>
      <w:r>
        <w:rPr>
          <w:rFonts w:ascii="Calibri" w:cs="Calibri" w:eastAsia="Calibri" w:hAnsi="Calibri"/>
          <w:b/>
          <w:bCs/>
          <w:sz w:val="21"/>
          <w:szCs w:val="21"/>
        </w:rPr>
        <w:t xml:space="preserve">cuando el acto recurrido es el de adjudicación</w:t>
      </w:r>
      <w:r>
        <w:rPr>
          <w:rFonts w:ascii="Calibri" w:cs="Calibri" w:eastAsia="Calibri" w:hAnsi="Calibri"/>
          <w:sz w:val="21"/>
          <w:szCs w:val="21"/>
        </w:rPr>
        <w:t xml:space="preserve"> (art. 53). Un recurso contra los pliegos </w:t>
      </w:r>
      <w:r>
        <w:rPr>
          <w:rFonts w:ascii="Calibri" w:cs="Calibri" w:eastAsia="Calibri" w:hAnsi="Calibri"/>
          <w:b/>
          <w:bCs/>
          <w:sz w:val="21"/>
          <w:szCs w:val="21"/>
        </w:rPr>
        <w:t xml:space="preserve">no suspende automáticamente</w:t>
      </w:r>
      <w:r>
        <w:rPr>
          <w:rFonts w:ascii="Calibri" w:cs="Calibri" w:eastAsia="Calibri" w:hAnsi="Calibri"/>
          <w:sz w:val="21"/>
          <w:szCs w:val="21"/>
        </w:rPr>
        <w:t xml:space="preserve">: hay que pedir medidas cautelares (art. 49) y el tribunal decide en cinco días hábiles. En la práctica, sin embargo, seguir adelante con la licitación mientras se resuelve un recurso contra los pliegos es asumir el riesgo de tener que retrotraer.</w:t>
      </w:r>
    </w:p>
    <w:p>
      <w:pPr>
        <w:spacing w:after="140" w:line="276"/>
      </w:pPr>
      <w:r>
        <w:rPr>
          <w:rFonts w:ascii="Calibri" w:cs="Calibri" w:eastAsia="Calibri" w:hAnsi="Calibri"/>
          <w:b/>
          <w:bCs/>
          <w:sz w:val="21"/>
          <w:szCs w:val="21"/>
        </w:rPr>
        <w:t xml:space="preserve">Efecto de la estimación.</w:t>
      </w:r>
      <w:r>
        <w:rPr>
          <w:rFonts w:ascii="Calibri" w:cs="Calibri" w:eastAsia="Calibri" w:hAnsi="Calibri"/>
          <w:sz w:val="21"/>
          <w:szCs w:val="21"/>
        </w:rPr>
        <w:t xml:space="preserve"> Art. 57.2, y conviene leerlo entero antes de diseñar un pliego: la resolución se pronunciará, si procede, «sobre la anulación de las decisiones no conformes a derecho […] incluyendo la supresión de las características técnicas, económicas o financieras discriminatorias contenidas en el anuncio de licitación, anuncio indicativo, pliegos, condiciones reguladoras del contrato o cualquier otro documento relacionado con la licitación o adjudicación, así como, si procede, sobre la retroacción de actuaciones. </w:t>
      </w:r>
      <w:r>
        <w:rPr>
          <w:rFonts w:ascii="Calibri" w:cs="Calibri" w:eastAsia="Calibri" w:hAnsi="Calibri"/>
          <w:b/>
          <w:bCs/>
          <w:sz w:val="21"/>
          <w:szCs w:val="21"/>
        </w:rPr>
        <w:t xml:space="preserve">En todo caso la estimación del recurso que conlleve anulación de cláusulas o condiciones de los pliegos o documentación contractual de naturaleza análoga, determinará la anulación de los actos del expediente de contratación relacionados con su aprobación.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Esto es lo que justifica la cláusula de separabilidad de la Parte I: no se puede prometer que ningún tribunal anule nada, pero sí se puede diseñar para que la caída de una cláusula no arrastre 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Y explica por qué la regla de no duplicidad de instrumentos es una regla de supervivencia y no de estética.</w:t>
      </w:r>
    </w:p>
    <w:p>
      <w:pPr>
        <w:spacing w:after="140" w:line="276"/>
      </w:pPr>
      <w:r>
        <w:rPr>
          <w:rFonts w:ascii="Calibri" w:cs="Calibri" w:eastAsia="Calibri" w:hAnsi="Calibri"/>
          <w:b/>
          <w:bCs/>
          <w:sz w:val="21"/>
          <w:szCs w:val="21"/>
        </w:rPr>
        <w:t xml:space="preserve">Temeridad.</w:t>
      </w:r>
      <w:r>
        <w:rPr>
          <w:rFonts w:ascii="Calibri" w:cs="Calibri" w:eastAsia="Calibri" w:hAnsi="Calibri"/>
          <w:sz w:val="21"/>
          <w:szCs w:val="21"/>
        </w:rPr>
        <w:t xml:space="preserve"> El tribunal puede imponer multa de entre 1.000 y 30.000 € cuando aprecie temeridad o mala fe en la interposición del recurso o en la solicitud de medidas cautelares (art. 58.2, declarado conforme con el orden constitucional de competencias siempre que se interprete en los términos de su fundamento jurídico 6 E) d), por la Sentencia del Tribunal Constitucional 68/2021, de 18 de marzo). No es una defensa: es un dato del contexto.</w:t>
      </w:r>
    </w:p>
    <w:p>
      <w:pPr>
        <w:spacing w:after="140" w:line="276"/>
      </w:pPr>
      <w:r>
        <w:rPr>
          <w:rFonts w:ascii="Calibri" w:cs="Calibri" w:eastAsia="Calibri" w:hAnsi="Calibri"/>
          <w:b/>
          <w:bCs/>
          <w:sz w:val="21"/>
          <w:szCs w:val="21"/>
        </w:rPr>
        <w:t xml:space="preserve">Competencia.</w:t>
      </w:r>
      <w:r>
        <w:rPr>
          <w:rFonts w:ascii="Calibri" w:cs="Calibri" w:eastAsia="Calibri" w:hAnsi="Calibri"/>
          <w:sz w:val="21"/>
          <w:szCs w:val="21"/>
        </w:rPr>
        <w:t xml:space="preserve"> Los órganos competentes para resolver el recurso especial, como los órganos de contratación y las juntas consultivas, deben notificar a la Comisión Nacional de los Mercados y la Competencia o a las autoridades autonómicas de competencia cualesquiera hechos que puedan constituir infracción de la legislación de defensa de la competencia, y en particular cualquier indicio de acuerdo o práctica concertada entre licitadores (art. 132.3).</w:t>
      </w:r>
    </w:p>
    <w:p>
      <w:pPr>
        <w:pStyle w:val="Heading3"/>
        <w:keepNext/>
        <w:spacing w:after="140" w:before="320"/>
      </w:pPr>
      <w:r>
        <w:rPr>
          <w:rFonts w:ascii="Georgia" w:cs="Georgia" w:eastAsia="Georgia" w:hAnsi="Georgia"/>
          <w:b/>
          <w:bCs/>
          <w:color w:val="2F5496"/>
          <w:sz w:val="22"/>
          <w:szCs w:val="22"/>
        </w:rPr>
        <w:t xml:space="preserve">V.5.6 · El precedente que hay que leer antes de exigir una certificación</w:t>
      </w:r>
    </w:p>
    <w:p>
      <w:pPr>
        <w:spacing w:after="140" w:line="276"/>
      </w:pPr>
      <w:r>
        <w:rPr>
          <w:rFonts w:ascii="Calibri" w:cs="Calibri" w:eastAsia="Calibri" w:hAnsi="Calibri"/>
          <w:b/>
          <w:bCs/>
          <w:sz w:val="21"/>
          <w:szCs w:val="21"/>
        </w:rPr>
        <w:t xml:space="preserve">Tribunal Administrativo de Contratación Pública de la Comunidad de Madrid, Resolución n.º 383/2024, de 3 de octubre de 2024, recurso y expediente n.º 383/2024</w:t>
      </w:r>
      <w:r>
        <w:rPr>
          <w:rFonts w:ascii="Calibri" w:cs="Calibri" w:eastAsia="Calibri" w:hAnsi="Calibri"/>
          <w:sz w:val="21"/>
          <w:szCs w:val="21"/>
        </w:rPr>
        <w:t xml:space="preserve"> (recurrente: Tecnologías Viales Aplicadas TEVA, S.L.; órgano de contratación: Ayuntamiento de Parla; objeto: sistema de gestión de una zona de bajas emisiones; valor estimado 1.657.922,40 €). Resolución </w:t>
      </w:r>
      <w:r>
        <w:rPr>
          <w:rFonts w:ascii="Calibri" w:cs="Calibri" w:eastAsia="Calibri" w:hAnsi="Calibri"/>
          <w:b/>
          <w:bCs/>
          <w:sz w:val="21"/>
          <w:szCs w:val="21"/>
        </w:rPr>
        <w:t xml:space="preserve">estimatoria</w:t>
      </w:r>
      <w:r>
        <w:rPr>
          <w:rFonts w:ascii="Calibri" w:cs="Calibri" w:eastAsia="Calibri" w:hAnsi="Calibri"/>
          <w:sz w:val="21"/>
          <w:szCs w:val="21"/>
        </w:rPr>
        <w:t xml:space="preserve">. La anulación de los pliegos se declara en el fundamento de derecho Quinto; la parte dispositiva se limita a acordar la estimación del recurso. → </w:t>
      </w:r>
      <w:hyperlink w:history="1" r:id="rIdojzfgw9uwc6roowdh-hqx">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Se cita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en los términos de la Parte IV: no existe doctrina sobre cláusulas de inteligencia artificial, interfaces para agentes o exigencias de evolución tecnológica, y ésta no versa sobre esas materias. Versa sobre algo más básico y por eso sirve: sobre </w:t>
      </w:r>
      <w:r>
        <w:rPr>
          <w:rFonts w:ascii="Calibri" w:cs="Calibri" w:eastAsia="Calibri" w:hAnsi="Calibri"/>
          <w:b/>
          <w:bCs/>
          <w:sz w:val="21"/>
          <w:szCs w:val="21"/>
        </w:rPr>
        <w:t xml:space="preserve">dónde tiene que estar la justificación de una exigencia de seguridad</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hechos, en tres líneas: el PCAP exigía como habilitación empresarial cuatro certificaciones de conformidad con el Esquema Nacional de Seguridad de </w:t>
      </w:r>
      <w:r>
        <w:rPr>
          <w:rFonts w:ascii="Calibri" w:cs="Calibri" w:eastAsia="Calibri" w:hAnsi="Calibri"/>
          <w:b/>
          <w:bCs/>
          <w:sz w:val="21"/>
          <w:szCs w:val="21"/>
        </w:rPr>
        <w:t xml:space="preserve">nivel ALTO</w:t>
      </w:r>
      <w:r>
        <w:rPr>
          <w:rFonts w:ascii="Calibri" w:cs="Calibri" w:eastAsia="Calibri" w:hAnsi="Calibri"/>
          <w:sz w:val="21"/>
          <w:szCs w:val="21"/>
        </w:rPr>
        <w:t xml:space="preserve">, mientras el PPT configuraba la misma exigencia como requisito de ejecución y de categoría media. El Tribunal recuerda que «el órgano de contratación debe realizar un análisis previo para determinar las medidas de seguridad que deben llevarse a cabo durante la vigencia del contrato en función de la naturaleza de los servicios prestados y determinar el nivel de seguridad dentro de las categorías básica, media o alta». Y concluye,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 por lo que procede la estimación del recurso especial, con la consiguiente anulación de los pliegos.»</w:t>
      </w:r>
    </w:p>
    <w:p>
      <w:pPr>
        <w:spacing w:after="140" w:line="276"/>
      </w:pPr>
      <w:r>
        <w:rPr>
          <w:rFonts w:ascii="Calibri" w:cs="Calibri" w:eastAsia="Calibri" w:hAnsi="Calibri"/>
          <w:i/>
          <w:iCs/>
          <w:sz w:val="21"/>
          <w:szCs w:val="21"/>
        </w:rPr>
        <w:t xml:space="preserve">(Nota de precisión: la resolución cita el «artículo 116.2 de la LCSP» y reproduce a continuación el texto que en el vigente texto consolidado corresponde al artículo 116.4, letra c). Se hace constar para que quien acuda a la fuente no encuentre una discordancia inexplicada.)</w:t>
      </w:r>
    </w:p>
    <w:p>
      <w:pPr>
        <w:spacing w:after="140" w:line="276"/>
      </w:pPr>
      <w:r>
        <w:rPr>
          <w:rFonts w:ascii="Calibri" w:cs="Calibri" w:eastAsia="Calibri" w:hAnsi="Calibri"/>
          <w:b/>
          <w:bCs/>
          <w:sz w:val="21"/>
          <w:szCs w:val="21"/>
        </w:rPr>
        <w:t xml:space="preserve">Las cuatro lecciones que esta Parte V incorpora por esa resolución:</w:t>
      </w:r>
    </w:p>
    <w:p>
      <w:pPr>
        <w:pStyle w:val="ListParagraph"/>
        <w:numPr>
          <w:ilvl w:val="0"/>
          <w:numId w:val="2"/>
        </w:numPr>
        <w:spacing w:after="70" w:line="268"/>
      </w:pPr>
      <w:r>
        <w:rPr>
          <w:rFonts w:ascii="Calibri" w:cs="Calibri" w:eastAsia="Calibri" w:hAnsi="Calibri"/>
          <w:b/>
          <w:bCs/>
          <w:sz w:val="21"/>
          <w:szCs w:val="21"/>
        </w:rPr>
        <w:t xml:space="preserve">La justificación vive en la memoria justificativa del expediente</w:t>
      </w:r>
      <w:r>
        <w:rPr>
          <w:rFonts w:ascii="Calibri" w:cs="Calibri" w:eastAsia="Calibri" w:hAnsi="Calibri"/>
          <w:sz w:val="21"/>
          <w:szCs w:val="21"/>
        </w:rPr>
        <w:t xml:space="preserve">, no en el catálogo, no en el PPT y no en un informe posterior. Un catálogo bien escrito no salva a un expediente mudo.</w:t>
      </w:r>
    </w:p>
    <w:p>
      <w:pPr>
        <w:pStyle w:val="ListParagraph"/>
        <w:numPr>
          <w:ilvl w:val="0"/>
          <w:numId w:val="2"/>
        </w:numPr>
        <w:spacing w:after="70" w:line="268"/>
      </w:pPr>
      <w:r>
        <w:rPr>
          <w:rFonts w:ascii="Calibri" w:cs="Calibri" w:eastAsia="Calibri" w:hAnsi="Calibri"/>
          <w:b/>
          <w:bCs/>
          <w:sz w:val="21"/>
          <w:szCs w:val="21"/>
        </w:rPr>
        <w:t xml:space="preserve">Lo que no está antes de publicar, no se puede añadir después.</w:t>
      </w:r>
      <w:r>
        <w:rPr>
          <w:rFonts w:ascii="Calibri" w:cs="Calibri" w:eastAsia="Calibri" w:hAnsi="Calibri"/>
          <w:sz w:val="21"/>
          <w:szCs w:val="21"/>
        </w:rPr>
        <w:t xml:space="preserve"> «Sin que sea admisible la justificación realizada en sede de recurso» es la frase que convierte la carpeta de defensa (V.6) en un trabajo previo y no reactivo.</w:t>
      </w:r>
    </w:p>
    <w:p>
      <w:pPr>
        <w:pStyle w:val="ListParagraph"/>
        <w:numPr>
          <w:ilvl w:val="0"/>
          <w:numId w:val="2"/>
        </w:numPr>
        <w:spacing w:after="70" w:line="268"/>
      </w:pPr>
      <w:r>
        <w:rPr>
          <w:rFonts w:ascii="Calibri" w:cs="Calibri" w:eastAsia="Calibri" w:hAnsi="Calibri"/>
          <w:b/>
          <w:bCs/>
          <w:sz w:val="21"/>
          <w:szCs w:val="21"/>
        </w:rPr>
        <w:t xml:space="preserve">La categoría del ENS se determina, no se elige</w:t>
      </w:r>
      <w:r>
        <w:rPr>
          <w:rFonts w:ascii="Calibri" w:cs="Calibri" w:eastAsia="Calibri" w:hAnsi="Calibri"/>
          <w:sz w:val="21"/>
          <w:szCs w:val="21"/>
        </w:rPr>
        <w:t xml:space="preserve">, y cada certificación exigida tiene que llevar dicho expresamente con qué calificación jurídica se exige: habilitación, solvencia, prescripción de ejecución o criterio de adjudicación. Confundir esas categorías fue parte del problema en Parla.</w:t>
      </w:r>
    </w:p>
    <w:p>
      <w:pPr>
        <w:pStyle w:val="ListParagraph"/>
        <w:numPr>
          <w:ilvl w:val="0"/>
          <w:numId w:val="2"/>
        </w:numPr>
        <w:spacing w:after="70" w:line="268"/>
      </w:pPr>
      <w:r>
        <w:rPr>
          <w:rFonts w:ascii="Calibri" w:cs="Calibri" w:eastAsia="Calibri" w:hAnsi="Calibri"/>
          <w:b/>
          <w:bCs/>
          <w:sz w:val="21"/>
          <w:szCs w:val="21"/>
        </w:rPr>
        <w:t xml:space="preserve">La contradicción entre PCAP y PPT es munición.</w:t>
      </w:r>
      <w:r>
        <w:rPr>
          <w:rFonts w:ascii="Calibri" w:cs="Calibri" w:eastAsia="Calibri" w:hAnsi="Calibri"/>
          <w:sz w:val="21"/>
          <w:szCs w:val="21"/>
        </w:rPr>
        <w:t xml:space="preserve"> En Parla, el PCAP pedía nivel alto como habilitación y el PPT nivel medio como ejecución. Es exactamente el defecto que produce marcar una cláusula como NO APLICA sin depurar las menciones que arrastra (V.2.3).</w:t>
      </w:r>
    </w:p>
    <w:p>
      <w:pPr>
        <w:spacing w:after="140" w:line="276"/>
      </w:pPr>
      <w:r>
        <w:rPr>
          <w:rFonts w:ascii="Calibri" w:cs="Calibri" w:eastAsia="Calibri" w:hAnsi="Calibri"/>
          <w:sz w:val="21"/>
          <w:szCs w:val="21"/>
        </w:rPr>
        <w:t xml:space="preserve">Un dato de contexto que conviene retener del mismo expediente: los pliegos se publicaron el 13 de septiembre de 2024, el recurso se interpuso el 23 de septiembre y </w:t>
      </w:r>
      <w:r>
        <w:rPr>
          <w:rFonts w:ascii="Calibri" w:cs="Calibri" w:eastAsia="Calibri" w:hAnsi="Calibri"/>
          <w:b/>
          <w:bCs/>
          <w:sz w:val="21"/>
          <w:szCs w:val="21"/>
        </w:rPr>
        <w:t xml:space="preserve">el órgano de contratación remitió el expediente y el informe del art. 56.2 el 27 de septiembre</w:t>
      </w:r>
      <w:r>
        <w:rPr>
          <w:rFonts w:ascii="Calibri" w:cs="Calibri" w:eastAsia="Calibri" w:hAnsi="Calibri"/>
          <w:sz w:val="21"/>
          <w:szCs w:val="21"/>
        </w:rPr>
        <w:t xml:space="preserve">. Ese es el ritmo real. Nadie prepara en ese plazo lo que no tenía preparado.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V.6 · La carpeta de defensa</w:t>
      </w:r>
    </w:p>
    <w:p>
      <w:pPr>
        <w:spacing w:after="140" w:line="276"/>
      </w:pPr>
      <w:r>
        <w:rPr>
          <w:rFonts w:ascii="Calibri" w:cs="Calibri" w:eastAsia="Calibri" w:hAnsi="Calibri"/>
          <w:sz w:val="21"/>
          <w:szCs w:val="21"/>
        </w:rPr>
        <w:t xml:space="preserve">El plazo del art. 56.2 LCSP para remitir el expediente acompañado del correspondiente informe es de </w:t>
      </w:r>
      <w:r>
        <w:rPr>
          <w:rFonts w:ascii="Calibri" w:cs="Calibri" w:eastAsia="Calibri" w:hAnsi="Calibri"/>
          <w:b/>
          <w:bCs/>
          <w:sz w:val="21"/>
          <w:szCs w:val="21"/>
        </w:rPr>
        <w:t xml:space="preserve">dos días hábiles</w:t>
      </w:r>
      <w:r>
        <w:rPr>
          <w:rFonts w:ascii="Calibri" w:cs="Calibri" w:eastAsia="Calibri" w:hAnsi="Calibri"/>
          <w:sz w:val="21"/>
          <w:szCs w:val="21"/>
        </w:rPr>
        <w:t xml:space="preserve">. No se prorroga. Si el recurso llega un jueves por la tarde, el informe se remite el lunes. Por tanto, la carpeta de defensa </w:t>
      </w:r>
      <w:r>
        <w:rPr>
          <w:rFonts w:ascii="Calibri" w:cs="Calibri" w:eastAsia="Calibri" w:hAnsi="Calibri"/>
          <w:b/>
          <w:bCs/>
          <w:sz w:val="21"/>
          <w:szCs w:val="21"/>
        </w:rPr>
        <w:t xml:space="preserve">se cierra antes de publicar el anuncio</w:t>
      </w:r>
      <w:r>
        <w:rPr>
          <w:rFonts w:ascii="Calibri" w:cs="Calibri" w:eastAsia="Calibri" w:hAnsi="Calibri"/>
          <w:sz w:val="21"/>
          <w:szCs w:val="21"/>
        </w:rPr>
        <w:t xml:space="preserve">, como último paso del circuito, y no cuando llega el recurso.</w:t>
      </w:r>
    </w:p>
    <w:p>
      <w:pPr>
        <w:pStyle w:val="Heading3"/>
        <w:keepNext/>
        <w:spacing w:after="140" w:before="320"/>
      </w:pPr>
      <w:r>
        <w:rPr>
          <w:rFonts w:ascii="Georgia" w:cs="Georgia" w:eastAsia="Georgia" w:hAnsi="Georgia"/>
          <w:b/>
          <w:bCs/>
          <w:color w:val="2F5496"/>
          <w:sz w:val="22"/>
          <w:szCs w:val="22"/>
        </w:rPr>
        <w:t xml:space="preserve">V.6.1 · Qué contiene</w:t>
      </w:r>
    </w:p>
    <w:p>
      <w:pPr>
        <w:spacing w:after="140" w:line="276"/>
      </w:pPr>
      <w:r>
        <w:rPr>
          <w:rFonts w:ascii="Calibri" w:cs="Calibri" w:eastAsia="Calibri" w:hAnsi="Calibri"/>
          <w:sz w:val="21"/>
          <w:szCs w:val="21"/>
        </w:rPr>
        <w:t xml:space="preserve">Una carpeta por expediente, en el gestor documental, con índice numerado y un solo responsable designado con su suplente.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Pieza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en que debe estar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de la carpeta con la ubicación exacta de cada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Cerrado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firmado y con fecha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 con las seis casillas de cada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valoraciones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completa, en la versión publicada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con todos sus conceptos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consultas preliminares del mercado del ejercicio, con su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y, si procede, medidas del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y certificado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y acreditación de la fecha de difusión pública (art. 63.7)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cláusulas</w:t>
            </w:r>
            <w:r>
              <w:rPr>
                <w:rFonts w:ascii="Calibri" w:cs="Calibri" w:eastAsia="Calibri" w:hAnsi="Calibri"/>
                <w:b w:val="false"/>
                <w:bCs w:val="false"/>
                <w:sz w:val="18"/>
                <w:szCs w:val="18"/>
              </w:rPr>
              <w:t xml:space="preserve">: por cada cláusula del catálogo incorporada, una página con su necesidad, su norma, su precepto habilitante y el párrafo de la memoria que la justifica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sostiene la necesidad institucional, si alguna cláusula se apoya en él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de las resoluciones y preceptos citados en la memoria, en PDF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Incorporados</w:t>
            </w:r>
          </w:p>
        </w:tc>
      </w:tr>
    </w:tbl>
    <w:p>
      <w:pPr>
        <w:spacing w:after="200"/>
      </w:pPr>
    </w:p>
    <w:p>
      <w:pPr>
        <w:spacing w:after="140" w:line="276"/>
      </w:pPr>
      <w:r>
        <w:rPr>
          <w:rFonts w:ascii="Calibri" w:cs="Calibri" w:eastAsia="Calibri" w:hAnsi="Calibri"/>
          <w:sz w:val="21"/>
          <w:szCs w:val="21"/>
        </w:rPr>
        <w:t xml:space="preserve">La pieza 15 es la que ahorra el fin de semana: cuando el recurso ataca una cláusula concreta, el informe del art. 56.2 se construye pegando la ficha de esa cláusula, no releyendo el expediente.</w:t>
      </w:r>
    </w:p>
    <w:p>
      <w:pPr>
        <w:spacing w:after="140" w:line="276"/>
      </w:pPr>
      <w:r>
        <w:rPr>
          <w:rFonts w:ascii="Calibri" w:cs="Calibri" w:eastAsia="Calibri" w:hAnsi="Calibri"/>
          <w:sz w:val="21"/>
          <w:szCs w:val="21"/>
        </w:rPr>
        <w:t xml:space="preserve">La pieza 17 responde a una exigencia razonable de cualquier órgano de control: </w:t>
      </w:r>
      <w:r>
        <w:rPr>
          <w:rFonts w:ascii="Calibri" w:cs="Calibri" w:eastAsia="Calibri" w:hAnsi="Calibri"/>
          <w:b/>
          <w:bCs/>
          <w:sz w:val="21"/>
          <w:szCs w:val="21"/>
        </w:rPr>
        <w:t xml:space="preserve">si una memoria cita una resolución, el PDF de esa resolución debe estar en el expediente</w:t>
      </w:r>
      <w:r>
        <w:rPr>
          <w:rFonts w:ascii="Calibri" w:cs="Calibri" w:eastAsia="Calibri" w:hAnsi="Calibri"/>
          <w:sz w:val="21"/>
          <w:szCs w:val="21"/>
        </w:rPr>
        <w:t xml:space="preserve">. Un expediente que cita cuarenta resoluciones y no incorpora ninguna es un expediente que pide que se le crea.</w:t>
      </w:r>
    </w:p>
    <w:p>
      <w:pPr>
        <w:pStyle w:val="Heading3"/>
        <w:keepNext/>
        <w:spacing w:after="140" w:before="320"/>
      </w:pPr>
      <w:r>
        <w:rPr>
          <w:rFonts w:ascii="Georgia" w:cs="Georgia" w:eastAsia="Georgia" w:hAnsi="Georgia"/>
          <w:b/>
          <w:bCs/>
          <w:color w:val="2F5496"/>
          <w:sz w:val="22"/>
          <w:szCs w:val="22"/>
        </w:rPr>
        <w:t xml:space="preserve">V.6.2 · El informe del artículo 56.2</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El informe con el que el órgano de contratación remite el expediente al tribunal. No es un escrito de alegaciones libre: es la explicación de por qué el expediente sostiene lo que el pliego dice.</w:t>
      </w:r>
    </w:p>
    <w:p>
      <w:pPr>
        <w:spacing w:after="140" w:line="276"/>
      </w:pPr>
      <w:r>
        <w:rPr>
          <w:rFonts w:ascii="Calibri" w:cs="Calibri" w:eastAsia="Calibri" w:hAnsi="Calibri"/>
          <w:b/>
          <w:bCs/>
          <w:sz w:val="21"/>
          <w:szCs w:val="21"/>
        </w:rPr>
        <w:t xml:space="preserve">Estructura recomendada.</w:t>
      </w:r>
    </w:p>
    <w:p>
      <w:pPr>
        <w:pStyle w:val="ListParagraph"/>
        <w:numPr>
          <w:ilvl w:val="0"/>
          <w:numId w:val="2"/>
        </w:numPr>
        <w:spacing w:after="70" w:line="268"/>
      </w:pPr>
      <w:r>
        <w:rPr>
          <w:rFonts w:ascii="Calibri" w:cs="Calibri" w:eastAsia="Calibri" w:hAnsi="Calibri"/>
          <w:sz w:val="21"/>
          <w:szCs w:val="21"/>
        </w:rPr>
        <w:t xml:space="preserve">Identificación del expediente, del acto recurrido y de la fecha de publicación con acreditación del art. 63.7.</w:t>
      </w:r>
    </w:p>
    <w:p>
      <w:pPr>
        <w:pStyle w:val="ListParagraph"/>
        <w:numPr>
          <w:ilvl w:val="0"/>
          <w:numId w:val="2"/>
        </w:numPr>
        <w:spacing w:after="70" w:line="268"/>
      </w:pPr>
      <w:r>
        <w:rPr>
          <w:rFonts w:ascii="Calibri" w:cs="Calibri" w:eastAsia="Calibri" w:hAnsi="Calibri"/>
          <w:sz w:val="21"/>
          <w:szCs w:val="21"/>
        </w:rPr>
        <w:t xml:space="preserve">Admisibilidad: legitimación, plazo y umbral del art. 44.1.a).</w:t>
      </w:r>
    </w:p>
    <w:p>
      <w:pPr>
        <w:pStyle w:val="ListParagraph"/>
        <w:numPr>
          <w:ilvl w:val="0"/>
          <w:numId w:val="2"/>
        </w:numPr>
        <w:spacing w:after="70" w:line="268"/>
      </w:pPr>
      <w:r>
        <w:rPr>
          <w:rFonts w:ascii="Calibri" w:cs="Calibri" w:eastAsia="Calibri" w:hAnsi="Calibri"/>
          <w:sz w:val="21"/>
          <w:szCs w:val="21"/>
        </w:rPr>
        <w:t xml:space="preserve">Por cada motivo del recurso, en el orden en que el recurrente los plantea: qué exige el pliego, dónde está justificado en el expediente </w:t>
      </w:r>
      <w:r>
        <w:rPr>
          <w:rFonts w:ascii="Calibri" w:cs="Calibri" w:eastAsia="Calibri" w:hAnsi="Calibri"/>
          <w:b/>
          <w:bCs/>
          <w:sz w:val="21"/>
          <w:szCs w:val="21"/>
        </w:rPr>
        <w:t xml:space="preserve">con cita del documento, la página y la fecha</w:t>
      </w:r>
      <w:r>
        <w:rPr>
          <w:rFonts w:ascii="Calibri" w:cs="Calibri" w:eastAsia="Calibri" w:hAnsi="Calibri"/>
          <w:sz w:val="21"/>
          <w:szCs w:val="21"/>
        </w:rPr>
        <w:t xml:space="preserve">, y por qué la exigencia es proporcionada.</w:t>
      </w:r>
    </w:p>
    <w:p>
      <w:pPr>
        <w:pStyle w:val="ListParagraph"/>
        <w:numPr>
          <w:ilvl w:val="0"/>
          <w:numId w:val="2"/>
        </w:numPr>
        <w:spacing w:after="70" w:line="268"/>
      </w:pPr>
      <w:r>
        <w:rPr>
          <w:rFonts w:ascii="Calibri" w:cs="Calibri" w:eastAsia="Calibri" w:hAnsi="Calibri"/>
          <w:sz w:val="21"/>
          <w:szCs w:val="21"/>
        </w:rPr>
        <w:t xml:space="preserve">Documentación que se acompaña, numerada según el índice de la carpeta.</w:t>
      </w:r>
    </w:p>
    <w:p>
      <w:pPr>
        <w:pStyle w:val="ListParagraph"/>
        <w:numPr>
          <w:ilvl w:val="0"/>
          <w:numId w:val="2"/>
        </w:numPr>
        <w:spacing w:after="70" w:line="268"/>
      </w:pPr>
      <w:r>
        <w:rPr>
          <w:rFonts w:ascii="Calibri" w:cs="Calibri" w:eastAsia="Calibri" w:hAnsi="Calibri"/>
          <w:sz w:val="21"/>
          <w:szCs w:val="21"/>
        </w:rPr>
        <w:t xml:space="preserve">Pronunciamiento sobre las medidas cautelares solicitadas.</w:t>
      </w:r>
    </w:p>
    <w:p>
      <w:pPr>
        <w:spacing w:after="140" w:line="276"/>
      </w:pPr>
      <w:r>
        <w:rPr>
          <w:rFonts w:ascii="Calibri" w:cs="Calibri" w:eastAsia="Calibri" w:hAnsi="Calibri"/>
          <w:b/>
          <w:bCs/>
          <w:sz w:val="21"/>
          <w:szCs w:val="21"/>
        </w:rPr>
        <w:t xml:space="preserve">Lo que el informe no puede hacer.</w:t>
      </w:r>
      <w:r>
        <w:rPr>
          <w:rFonts w:ascii="Calibri" w:cs="Calibri" w:eastAsia="Calibri" w:hAnsi="Calibri"/>
          <w:sz w:val="21"/>
          <w:szCs w:val="21"/>
        </w:rPr>
        <w:t xml:space="preserve"> No puede introducir la motivación que la memoria no tuvo. Es la regla que la resolución de Parla enuncia sin matices. Si al preparar el informe se descubre que la justificación no está en el expediente, la decisión correcta </w:t>
      </w:r>
      <w:r>
        <w:rPr>
          <w:rFonts w:ascii="Calibri" w:cs="Calibri" w:eastAsia="Calibri" w:hAnsi="Calibri"/>
          <w:b/>
          <w:bCs/>
          <w:sz w:val="21"/>
          <w:szCs w:val="21"/>
        </w:rPr>
        <w:t xml:space="preserve">no es escribirla ahora</w:t>
      </w:r>
      <w:r>
        <w:rPr>
          <w:rFonts w:ascii="Calibri" w:cs="Calibri" w:eastAsia="Calibri" w:hAnsi="Calibri"/>
          <w:sz w:val="21"/>
          <w:szCs w:val="21"/>
        </w:rPr>
        <w:t xml:space="preserve">: es valorar el desistimiento del procedimiento o la retroacción, que es reversible, frente a la anulación, que no lo es.</w:t>
      </w:r>
    </w:p>
    <w:p>
      <w:pPr>
        <w:spacing w:after="140" w:line="276"/>
      </w:pPr>
      <w:r>
        <w:rPr>
          <w:rFonts w:ascii="Calibri" w:cs="Calibri" w:eastAsia="Calibri" w:hAnsi="Calibri"/>
          <w:b/>
          <w:bCs/>
          <w:sz w:val="21"/>
          <w:szCs w:val="21"/>
        </w:rPr>
        <w:t xml:space="preserve">Regla de honestidad interna.</w:t>
      </w:r>
      <w:r>
        <w:rPr>
          <w:rFonts w:ascii="Calibri" w:cs="Calibri" w:eastAsia="Calibri" w:hAnsi="Calibri"/>
          <w:sz w:val="21"/>
          <w:szCs w:val="21"/>
        </w:rPr>
        <w:t xml:space="preserve"> El informe lo firma quien pueda sostenerlo. Si el órgano de contratación concluye que el recurrente tiene razón en un motivo, decirlo y allanarse en ese punto es más barato que perder el pliego entero.</w:t>
      </w:r>
    </w:p>
    <w:p>
      <w:pPr>
        <w:pStyle w:val="Heading3"/>
        <w:keepNext/>
        <w:spacing w:after="140" w:before="320"/>
      </w:pPr>
      <w:r>
        <w:rPr>
          <w:rFonts w:ascii="Georgia" w:cs="Georgia" w:eastAsia="Georgia" w:hAnsi="Georgia"/>
          <w:b/>
          <w:bCs/>
          <w:color w:val="2F5496"/>
          <w:sz w:val="22"/>
          <w:szCs w:val="22"/>
        </w:rPr>
        <w:t xml:space="preserve">V.6.3 · Parámetros</w:t>
      </w:r>
    </w:p>
    <w:p>
      <w:pPr>
        <w:pStyle w:val="ListParagraph"/>
        <w:numPr>
          <w:ilvl w:val="0"/>
          <w:numId w:val="1"/>
        </w:numPr>
        <w:spacing w:after="70" w:line="268"/>
      </w:pPr>
      <w:r>
        <w:rPr>
          <w:rFonts w:ascii="Calibri" w:cs="Calibri" w:eastAsia="Calibri" w:hAnsi="Calibri"/>
          <w:sz w:val="21"/>
          <w:szCs w:val="21"/>
        </w:rPr>
        <w:t xml:space="preserve">Umbral a partir del cual la carpeta de defensa es obligatoria: </w:t>
      </w:r>
      <w:r>
        <w:rPr>
          <w:rFonts w:ascii="Calibri" w:cs="Calibri" w:eastAsia="Calibri" w:hAnsi="Calibri"/>
          <w:b/>
          <w:bCs/>
          <w:sz w:val="21"/>
          <w:szCs w:val="21"/>
        </w:rPr>
        <w:t xml:space="preserve">[X; se recomienda todo contrato de valor estimado superior a 100.000 €, es decir, todo contrato recurrible; para los de menor cuantía, basta el índice y las piezas 2, 3, 6 y 15]</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Plazo de conservación de la carpeta: </w:t>
      </w:r>
      <w:r>
        <w:rPr>
          <w:rFonts w:ascii="Calibri" w:cs="Calibri" w:eastAsia="Calibri" w:hAnsi="Calibri"/>
          <w:b/>
          <w:bCs/>
          <w:sz w:val="21"/>
          <w:szCs w:val="21"/>
        </w:rPr>
        <w:t xml:space="preserve">[X; se recomienda cinco años desde la finalización del contrato y sus prórrogas, coherente con el mínimo de permanencia de la información en el perfil de contratante del art. 63.1]</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Responsable y suplente designados: </w:t>
      </w:r>
      <w:r>
        <w:rPr>
          <w:rFonts w:ascii="Calibri" w:cs="Calibri" w:eastAsia="Calibri" w:hAnsi="Calibri"/>
          <w:b/>
          <w:bCs/>
          <w:sz w:val="21"/>
          <w:szCs w:val="21"/>
        </w:rPr>
        <w:t xml:space="preserve">[nombre]</w:t>
      </w:r>
      <w:r>
        <w:rPr>
          <w:rFonts w:ascii="Calibri" w:cs="Calibri" w:eastAsia="Calibri" w:hAnsi="Calibri"/>
          <w:sz w:val="21"/>
          <w:szCs w:val="21"/>
        </w:rPr>
        <w:t xml:space="preserve">, con constancia en la Ficha de Aplicabilidad.</w:t>
      </w:r>
    </w:p>
    <w:p>
      <w:pPr>
        <w:pStyle w:val="ListParagraph"/>
        <w:numPr>
          <w:ilvl w:val="0"/>
          <w:numId w:val="1"/>
        </w:numPr>
        <w:spacing w:after="70" w:line="268"/>
      </w:pPr>
      <w:r>
        <w:rPr>
          <w:rFonts w:ascii="Calibri" w:cs="Calibri" w:eastAsia="Calibri" w:hAnsi="Calibri"/>
          <w:sz w:val="21"/>
          <w:szCs w:val="21"/>
        </w:rPr>
        <w:t xml:space="preserve">Dirección de correo electrónico habilitada del órgano de contratación para notificaciones del tribunal: </w:t>
      </w:r>
      <w:r>
        <w:rPr>
          <w:rFonts w:ascii="Calibri" w:cs="Calibri" w:eastAsia="Calibri" w:hAnsi="Calibri"/>
          <w:b/>
          <w:bCs/>
          <w:sz w:val="21"/>
          <w:szCs w:val="21"/>
        </w:rPr>
        <w:t xml:space="preserve">[dirección]</w:t>
      </w:r>
      <w:r>
        <w:rPr>
          <w:rFonts w:ascii="Calibri" w:cs="Calibri" w:eastAsia="Calibri" w:hAnsi="Calibri"/>
          <w:sz w:val="21"/>
          <w:szCs w:val="21"/>
        </w:rPr>
        <w:t xml:space="preserve">, verificada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V.7 · Circuitos abreviados: menores, acuerdos marco, adhesiones y contratos vivos</w:t>
      </w:r>
    </w:p>
    <w:p>
      <w:pPr>
        <w:spacing w:after="140" w:line="276"/>
      </w:pPr>
      <w:r>
        <w:rPr>
          <w:rFonts w:ascii="Calibri" w:cs="Calibri" w:eastAsia="Calibri" w:hAnsi="Calibri"/>
          <w:sz w:val="21"/>
          <w:szCs w:val="21"/>
        </w:rPr>
        <w:t xml:space="preserve">El catálogo sólo sirve para una minoría de expedientes si no dice nada de los tres casos que más se firman. Aquí se dice.</w:t>
      </w:r>
    </w:p>
    <w:p>
      <w:pPr>
        <w:pStyle w:val="Heading3"/>
        <w:keepNext/>
        <w:spacing w:after="140" w:before="320"/>
      </w:pPr>
      <w:r>
        <w:rPr>
          <w:rFonts w:ascii="Georgia" w:cs="Georgia" w:eastAsia="Georgia" w:hAnsi="Georgia"/>
          <w:b/>
          <w:bCs/>
          <w:color w:val="2F5496"/>
          <w:sz w:val="22"/>
          <w:szCs w:val="22"/>
        </w:rPr>
        <w:t xml:space="preserve">V.7.1 · Contratos menores</w:t>
      </w:r>
    </w:p>
    <w:p>
      <w:pPr>
        <w:spacing w:after="140" w:line="276"/>
      </w:pPr>
      <w:r>
        <w:rPr>
          <w:rFonts w:ascii="Calibri" w:cs="Calibri" w:eastAsia="Calibri" w:hAnsi="Calibri"/>
          <w:b/>
          <w:bCs/>
          <w:sz w:val="21"/>
          <w:szCs w:val="21"/>
        </w:rPr>
        <w:t xml:space="preserve">Régimen.</w:t>
      </w:r>
      <w:r>
        <w:rPr>
          <w:rFonts w:ascii="Calibri" w:cs="Calibri" w:eastAsia="Calibri" w:hAnsi="Calibri"/>
          <w:sz w:val="21"/>
          <w:szCs w:val="21"/>
        </w:rPr>
        <w:t xml:space="preserve"> Valor estimado inferior a 15.000 € en suministros y servicios, y a 40.000 € en obras (art. 118.1 LCSP). La tramitación exige informe del órgano de contratación justificando de manera motivada la necesidad del contrato y que no se está alterando su objeto para eludir los umbrales (art. 118.2), aprobación del gasto e incorporación de la factura (art. 118.3). La publicidad es trimestral y con contenido reducido (art. 63.4).</w:t>
      </w:r>
    </w:p>
    <w:p>
      <w:pPr>
        <w:spacing w:after="140" w:line="276"/>
      </w:pPr>
      <w:r>
        <w:rPr>
          <w:rFonts w:ascii="Calibri" w:cs="Calibri" w:eastAsia="Calibri" w:hAnsi="Calibri"/>
          <w:b/>
          <w:bCs/>
          <w:sz w:val="21"/>
          <w:szCs w:val="21"/>
        </w:rPr>
        <w:t xml:space="preserve">Qué se aplica de este catálogo.</w:t>
      </w:r>
      <w:r>
        <w:rPr>
          <w:rFonts w:ascii="Calibri" w:cs="Calibri" w:eastAsia="Calibri" w:hAnsi="Calibri"/>
          <w:sz w:val="21"/>
          <w:szCs w:val="21"/>
        </w:rPr>
        <w:t xml:space="preserve"> Casi nada, y por una razón sencilla: en un contrato menor no hay pliegos, y sin pliegos no hay lugar donde poner condiciones especiales de ejecución ni obligaciones esenciales. Regla:</w:t>
      </w:r>
    </w:p>
    <w:p>
      <w:pPr>
        <w:pStyle w:val="ListParagraph"/>
        <w:numPr>
          <w:ilvl w:val="0"/>
          <w:numId w:val="1"/>
        </w:numPr>
        <w:spacing w:after="70" w:line="268"/>
      </w:pPr>
      <w:r>
        <w:rPr>
          <w:rFonts w:ascii="Calibri" w:cs="Calibri" w:eastAsia="Calibri" w:hAnsi="Calibri"/>
          <w:b/>
          <w:bCs/>
          <w:sz w:val="21"/>
          <w:szCs w:val="21"/>
        </w:rPr>
        <w:t xml:space="preserve">No se incorporan</w:t>
      </w:r>
      <w:r>
        <w:rPr>
          <w:rFonts w:ascii="Calibri" w:cs="Calibri" w:eastAsia="Calibri" w:hAnsi="Calibri"/>
          <w:sz w:val="21"/>
          <w:szCs w:val="21"/>
        </w:rPr>
        <w:t xml:space="preserve"> cláusulas del catálogo que exijan verificación periódica, comisión de seguimiento, planes anuales, depósito de código o demostraciones. Al no haber pliego, no caben condiciones especiales de ejecución, penalidades tipificadas, obligaciones esenciales con efecto resolutorio ni criterios de adjudicación.</w:t>
      </w:r>
    </w:p>
    <w:p>
      <w:pPr>
        <w:pStyle w:val="ListParagraph"/>
        <w:numPr>
          <w:ilvl w:val="0"/>
          <w:numId w:val="1"/>
        </w:numPr>
        <w:spacing w:after="70" w:line="268"/>
      </w:pPr>
      <w:r>
        <w:rPr>
          <w:rFonts w:ascii="Calibri" w:cs="Calibri" w:eastAsia="Calibri" w:hAnsi="Calibri"/>
          <w:b/>
          <w:bCs/>
          <w:sz w:val="21"/>
          <w:szCs w:val="21"/>
        </w:rPr>
        <w:t xml:space="preserve">Sí se hacen constar en el encargo o en la aceptación de la oferta</w:t>
      </w:r>
      <w:r>
        <w:rPr>
          <w:rFonts w:ascii="Calibri" w:cs="Calibri" w:eastAsia="Calibri" w:hAnsi="Calibri"/>
          <w:sz w:val="21"/>
          <w:szCs w:val="21"/>
        </w:rPr>
        <w:t xml:space="preserve"> las exigencias de las letras a) a f) que siguen, y sólo ésas.</w:t>
      </w:r>
    </w:p>
    <w:p>
      <w:pPr>
        <w:spacing w:after="140" w:line="276"/>
      </w:pPr>
      <w:r>
        <w:rPr>
          <w:rFonts w:ascii="Calibri" w:cs="Calibri" w:eastAsia="Calibri" w:hAnsi="Calibri"/>
          <w:b/>
          <w:bCs/>
          <w:sz w:val="21"/>
          <w:szCs w:val="21"/>
        </w:rPr>
        <w:t xml:space="preserve">La relación cerrada del contrato menor.</w:t>
      </w:r>
      <w:r>
        <w:rPr>
          <w:rFonts w:ascii="Calibri" w:cs="Calibri" w:eastAsia="Calibri" w:hAnsi="Calibri"/>
          <w:sz w:val="21"/>
          <w:szCs w:val="21"/>
        </w:rPr>
        <w:t xml:space="preserve"> Ésta es la </w:t>
      </w:r>
      <w:r>
        <w:rPr>
          <w:rFonts w:ascii="Calibri" w:cs="Calibri" w:eastAsia="Calibri" w:hAnsi="Calibri"/>
          <w:b/>
          <w:bCs/>
          <w:sz w:val="21"/>
          <w:szCs w:val="21"/>
        </w:rPr>
        <w:t xml:space="preserve">relación cerrada y la fuente única</w:t>
      </w:r>
      <w:r>
        <w:rPr>
          <w:rFonts w:ascii="Calibri" w:cs="Calibri" w:eastAsia="Calibri" w:hAnsi="Calibri"/>
          <w:sz w:val="21"/>
          <w:szCs w:val="21"/>
        </w:rPr>
        <w:t xml:space="preserve"> de todo el catálogo para este supuesto: a ella remiten la Parte 0, §0.6, la Parte I, §2.4.a), las cláusulas de la Parte II en su epígrafe </w:t>
      </w:r>
      <w:r>
        <w:rPr>
          <w:rFonts w:ascii="Calibri" w:cs="Calibri" w:eastAsia="Calibri" w:hAnsi="Calibri"/>
          <w:i/>
          <w:iCs/>
          <w:sz w:val="21"/>
          <w:szCs w:val="21"/>
        </w:rPr>
        <w:t xml:space="preserve">cuándo NO se aplica</w:t>
      </w:r>
      <w:r>
        <w:rPr>
          <w:rFonts w:ascii="Calibri" w:cs="Calibri" w:eastAsia="Calibri" w:hAnsi="Calibri"/>
          <w:sz w:val="21"/>
          <w:szCs w:val="21"/>
        </w:rPr>
        <w:t xml:space="preserve"> y la Parte IV. La memoria justificativa reproduce estas mismas letras en su §M4.3: si se modifica aquí, hay que modificarlas allí. Ninguna de las seis deriva del catálogo: todas derivan de una norma que se aplica al contrato menor igual que a cualquier otro contrato, y por eso caben sin pliego.</w:t>
      </w:r>
    </w:p>
    <w:p>
      <w:pPr>
        <w:pStyle w:val="ListParagraph"/>
        <w:numPr>
          <w:ilvl w:val="0"/>
          <w:numId w:val="1"/>
        </w:numPr>
        <w:spacing w:after="70" w:line="268"/>
      </w:pPr>
      <w:r>
        <w:rPr>
          <w:rFonts w:ascii="Calibri" w:cs="Calibri" w:eastAsia="Calibri" w:hAnsi="Calibri"/>
          <w:b/>
          <w:bCs/>
          <w:sz w:val="21"/>
          <w:szCs w:val="21"/>
        </w:rPr>
        <w:t xml:space="preserve">a) Conformidad con el ENS</w:t>
      </w:r>
      <w:r>
        <w:rPr>
          <w:rFonts w:ascii="Calibri" w:cs="Calibri" w:eastAsia="Calibri" w:hAnsi="Calibri"/>
          <w:sz w:val="21"/>
          <w:szCs w:val="21"/>
        </w:rPr>
        <w:t xml:space="preserve"> en la categoría que corresponda al sistema, en los términos del art. 2.3 del RD 311/2022.</w:t>
      </w:r>
    </w:p>
    <w:p>
      <w:pPr>
        <w:pStyle w:val="ListParagraph"/>
        <w:numPr>
          <w:ilvl w:val="0"/>
          <w:numId w:val="1"/>
        </w:numPr>
        <w:spacing w:after="70" w:line="268"/>
      </w:pPr>
      <w:r>
        <w:rPr>
          <w:rFonts w:ascii="Calibri" w:cs="Calibri" w:eastAsia="Calibri" w:hAnsi="Calibri"/>
          <w:b/>
          <w:bCs/>
          <w:sz w:val="21"/>
          <w:szCs w:val="21"/>
        </w:rPr>
        <w:t xml:space="preserve">b) Protección de datos</w:t>
      </w:r>
      <w:r>
        <w:rPr>
          <w:rFonts w:ascii="Calibri" w:cs="Calibri" w:eastAsia="Calibri" w:hAnsi="Calibri"/>
          <w:sz w:val="21"/>
          <w:szCs w:val="21"/>
        </w:rPr>
        <w:t xml:space="preserve">: sometimiento a su normativa y, cuando el contratista trate datos personales por cuenta del Ayuntamiento, encargo de tratamiento en los términos del art. 28 del Reglamento (UE) 2016/679.</w:t>
      </w:r>
    </w:p>
    <w:p>
      <w:pPr>
        <w:pStyle w:val="ListParagraph"/>
        <w:numPr>
          <w:ilvl w:val="0"/>
          <w:numId w:val="1"/>
        </w:numPr>
        <w:spacing w:after="70" w:line="268"/>
      </w:pPr>
      <w:r>
        <w:rPr>
          <w:rFonts w:ascii="Calibri" w:cs="Calibri" w:eastAsia="Calibri" w:hAnsi="Calibri"/>
          <w:b/>
          <w:bCs/>
          <w:sz w:val="21"/>
          <w:szCs w:val="21"/>
        </w:rPr>
        <w:t xml:space="preserve">c) Ubicación de los servidores</w:t>
      </w:r>
      <w:r>
        <w:rPr>
          <w:rFonts w:ascii="Calibri" w:cs="Calibri" w:eastAsia="Calibri" w:hAnsi="Calibri"/>
          <w:sz w:val="21"/>
          <w:szCs w:val="21"/>
        </w:rPr>
        <w:t xml:space="preserve"> y lugar desde el que se prestan los servicios asociados, en ese mismo supuesto.</w:t>
      </w:r>
    </w:p>
    <w:p>
      <w:pPr>
        <w:pStyle w:val="ListParagraph"/>
        <w:numPr>
          <w:ilvl w:val="0"/>
          <w:numId w:val="1"/>
        </w:numPr>
        <w:spacing w:after="70" w:line="268"/>
      </w:pPr>
      <w:r>
        <w:rPr>
          <w:rFonts w:ascii="Calibri" w:cs="Calibri" w:eastAsia="Calibri" w:hAnsi="Calibri"/>
          <w:b/>
          <w:bCs/>
          <w:sz w:val="21"/>
          <w:szCs w:val="21"/>
        </w:rPr>
        <w:t xml:space="preserve">d) Entrega de los datos municipales y de su diccionario</w:t>
      </w:r>
      <w:r>
        <w:rPr>
          <w:rFonts w:ascii="Calibri" w:cs="Calibri" w:eastAsia="Calibri" w:hAnsi="Calibri"/>
          <w:sz w:val="21"/>
          <w:szCs w:val="21"/>
        </w:rPr>
        <w:t xml:space="preserve"> al finalizar, en formato abierto y sin coste por la extracción.</w:t>
      </w:r>
    </w:p>
    <w:p>
      <w:pPr>
        <w:pStyle w:val="ListParagraph"/>
        <w:numPr>
          <w:ilvl w:val="0"/>
          <w:numId w:val="1"/>
        </w:numPr>
        <w:spacing w:after="70" w:line="268"/>
      </w:pPr>
      <w:r>
        <w:rPr>
          <w:rFonts w:ascii="Calibri" w:cs="Calibri" w:eastAsia="Calibri" w:hAnsi="Calibri"/>
          <w:b/>
          <w:bCs/>
          <w:sz w:val="21"/>
          <w:szCs w:val="21"/>
        </w:rPr>
        <w:t xml:space="preserve">e) Mención «o equivalente» y trámite de prueba</w:t>
      </w:r>
      <w:r>
        <w:rPr>
          <w:rFonts w:ascii="Calibri" w:cs="Calibri" w:eastAsia="Calibri" w:hAnsi="Calibri"/>
          <w:sz w:val="21"/>
          <w:szCs w:val="21"/>
        </w:rPr>
        <w:t xml:space="preserve"> (</w:t>
      </w:r>
      <w:r>
        <w:rPr>
          <w:rFonts w:ascii="Calibri" w:cs="Calibri" w:eastAsia="Calibri" w:hAnsi="Calibri"/>
          <w:color w:val="2F5496"/>
          <w:sz w:val="21"/>
          <w:szCs w:val="21"/>
        </w:rPr>
        <w:t xml:space="preserve">DT-0·v3</w:t>
      </w:r>
      <w:r>
        <w:rPr>
          <w:rFonts w:ascii="Calibri" w:cs="Calibri" w:eastAsia="Calibri" w:hAnsi="Calibri"/>
          <w:sz w:val="21"/>
          <w:szCs w:val="21"/>
        </w:rPr>
        <w:t xml:space="preserve">), si el encargo cita un producto, un protocolo o una norma por su nombre.</w:t>
      </w:r>
    </w:p>
    <w:p>
      <w:pPr>
        <w:pStyle w:val="ListParagraph"/>
        <w:numPr>
          <w:ilvl w:val="0"/>
          <w:numId w:val="1"/>
        </w:numPr>
        <w:spacing w:after="70" w:line="268"/>
      </w:pPr>
      <w:r>
        <w:rPr>
          <w:rFonts w:ascii="Calibri" w:cs="Calibri" w:eastAsia="Calibri" w:hAnsi="Calibri"/>
          <w:b/>
          <w:bCs/>
          <w:sz w:val="21"/>
          <w:szCs w:val="21"/>
        </w:rPr>
        <w:t xml:space="preserve">f) Consulta previa al directorio general de aplicaciones</w:t>
      </w:r>
      <w:r>
        <w:rPr>
          <w:rFonts w:ascii="Calibri" w:cs="Calibri" w:eastAsia="Calibri" w:hAnsi="Calibri"/>
          <w:sz w:val="21"/>
          <w:szCs w:val="21"/>
        </w:rPr>
        <w:t xml:space="preserve"> y, si no se reutiliza una aplicación existente, justificación en términos de eficiencia (art. 157.3 de la Ley 40/2015), que no tiene umbral. Esta letra es trámite del expediente del encargo, no cláusula que se traslade al contratista.</w:t>
      </w:r>
    </w:p>
    <w:p>
      <w:pPr>
        <w:spacing w:after="140" w:line="276"/>
      </w:pPr>
      <w:r>
        <w:rPr>
          <w:rFonts w:ascii="Calibri" w:cs="Calibri" w:eastAsia="Calibri" w:hAnsi="Calibri"/>
          <w:b/>
          <w:bCs/>
          <w:sz w:val="21"/>
          <w:szCs w:val="21"/>
        </w:rPr>
        <w:t xml:space="preserve">Regla de lectura, para el técnico que tiene un menor sobre la mesa.</w:t>
      </w:r>
      <w:r>
        <w:rPr>
          <w:rFonts w:ascii="Calibri" w:cs="Calibri" w:eastAsia="Calibri" w:hAnsi="Calibri"/>
          <w:sz w:val="21"/>
          <w:szCs w:val="21"/>
        </w:rPr>
        <w:t xml:space="preserve"> Lo que se puede incorporar son las seis letras anteriores. Lo que no se puede incorporar es todo lo demás de este catálogo. Y el porqué es uno solo y sirve para las dos respuestas: </w:t>
      </w:r>
      <w:r>
        <w:rPr>
          <w:rFonts w:ascii="Calibri" w:cs="Calibri" w:eastAsia="Calibri" w:hAnsi="Calibri"/>
          <w:b/>
          <w:bCs/>
          <w:sz w:val="21"/>
          <w:szCs w:val="21"/>
        </w:rPr>
        <w:t xml:space="preserve">las seis letras obligan por norma propia, y las cláusulas del catálogo obligan porque están en un pliego que aquí no existe</w:t>
      </w:r>
      <w:r>
        <w:rPr>
          <w:rFonts w:ascii="Calibri" w:cs="Calibri" w:eastAsia="Calibri" w:hAnsi="Calibri"/>
          <w:sz w:val="21"/>
          <w:szCs w:val="21"/>
        </w:rPr>
        <w:t xml:space="preserve">. Si un encargo necesita más de esas seis letras, lo que hay que revisar no es la lista: es si ese objeto era un contrato menor.</w:t>
      </w:r>
    </w:p>
    <w:p>
      <w:pPr>
        <w:spacing w:after="140" w:line="276"/>
      </w:pPr>
      <w:r>
        <w:rPr>
          <w:rFonts w:ascii="Calibri" w:cs="Calibri" w:eastAsia="Calibri" w:hAnsi="Calibri"/>
          <w:b/>
          <w:bCs/>
          <w:sz w:val="21"/>
          <w:szCs w:val="21"/>
        </w:rPr>
        <w:t xml:space="preserve">Advertencia.</w:t>
      </w:r>
      <w:r>
        <w:rPr>
          <w:rFonts w:ascii="Calibri" w:cs="Calibri" w:eastAsia="Calibri" w:hAnsi="Calibri"/>
          <w:sz w:val="21"/>
          <w:szCs w:val="21"/>
        </w:rPr>
        <w:t xml:space="preserve"> Trocear en menores lo que es una necesidad única para evitar el pliego está prohibido por el propio art. 118.2 y por el art. 101.4. Si el catálogo empuja a hacerlo, el problema es el diseño del contrato, no el catálogo.</w:t>
      </w:r>
    </w:p>
    <w:p>
      <w:pPr>
        <w:pStyle w:val="Heading3"/>
        <w:keepNext/>
        <w:spacing w:after="140" w:before="320"/>
      </w:pPr>
      <w:r>
        <w:rPr>
          <w:rFonts w:ascii="Georgia" w:cs="Georgia" w:eastAsia="Georgia" w:hAnsi="Georgia"/>
          <w:b/>
          <w:bCs/>
          <w:color w:val="2F5496"/>
          <w:sz w:val="22"/>
          <w:szCs w:val="22"/>
        </w:rPr>
        <w:t xml:space="preserve">V.7.2 · Contratos basados en acuerdo marco y adhesiones a centrales de contratación</w:t>
      </w:r>
    </w:p>
    <w:p>
      <w:pPr>
        <w:spacing w:after="140" w:line="276"/>
      </w:pPr>
      <w:r>
        <w:rPr>
          <w:rFonts w:ascii="Calibri" w:cs="Calibri" w:eastAsia="Calibri" w:hAnsi="Calibri"/>
          <w:b/>
          <w:bCs/>
          <w:sz w:val="21"/>
          <w:szCs w:val="21"/>
        </w:rPr>
        <w:t xml:space="preserve">El punto de partida.</w:t>
      </w:r>
      <w:r>
        <w:rPr>
          <w:rFonts w:ascii="Calibri" w:cs="Calibri" w:eastAsia="Calibri" w:hAnsi="Calibri"/>
          <w:sz w:val="21"/>
          <w:szCs w:val="21"/>
        </w:rPr>
        <w:t xml:space="preserve"> En un contrato basado, las condiciones las fija el acuerdo marco. En una adhesión a una central de contratación, las fija quien licitó el contrato centralizado. En ninguno de los dos casos puede el ayuntamiento adherido añadir cláusulas propias que alteren el régimen del contrato.</w:t>
      </w:r>
    </w:p>
    <w:p>
      <w:pPr>
        <w:spacing w:after="140" w:line="276"/>
      </w:pPr>
      <w:r>
        <w:rPr>
          <w:rFonts w:ascii="Calibri" w:cs="Calibri" w:eastAsia="Calibri" w:hAnsi="Calibri"/>
          <w:b/>
          <w:bCs/>
          <w:sz w:val="21"/>
          <w:szCs w:val="21"/>
        </w:rPr>
        <w:t xml:space="preserve">Regla de este catálogo.</w:t>
      </w:r>
    </w:p>
    <w:p>
      <w:pPr>
        <w:pStyle w:val="ListParagraph"/>
        <w:numPr>
          <w:ilvl w:val="0"/>
          <w:numId w:val="2"/>
        </w:numPr>
        <w:spacing w:after="70" w:line="268"/>
      </w:pPr>
      <w:r>
        <w:rPr>
          <w:rFonts w:ascii="Calibri" w:cs="Calibri" w:eastAsia="Calibri" w:hAnsi="Calibri"/>
          <w:b/>
          <w:bCs/>
          <w:sz w:val="21"/>
          <w:szCs w:val="21"/>
        </w:rPr>
        <w:t xml:space="preserve">No se añaden cláusulas del catálogo a un contrato basado o a una adhesión.</w:t>
      </w:r>
      <w:r>
        <w:rPr>
          <w:rFonts w:ascii="Calibri" w:cs="Calibri" w:eastAsia="Calibri" w:hAnsi="Calibri"/>
          <w:sz w:val="21"/>
          <w:szCs w:val="21"/>
        </w:rPr>
        <w:t xml:space="preserve"> Marcar SÍ una cláusula que el acuerdo marco no contempla es introducir una condición que el adjudicatario no ofertó.</w:t>
      </w:r>
    </w:p>
    <w:p>
      <w:pPr>
        <w:pStyle w:val="ListParagraph"/>
        <w:numPr>
          <w:ilvl w:val="0"/>
          <w:numId w:val="2"/>
        </w:numPr>
        <w:spacing w:after="70" w:line="268"/>
      </w:pPr>
      <w:r>
        <w:rPr>
          <w:rFonts w:ascii="Calibri" w:cs="Calibri" w:eastAsia="Calibri" w:hAnsi="Calibri"/>
          <w:b/>
          <w:bCs/>
          <w:sz w:val="21"/>
          <w:szCs w:val="21"/>
        </w:rPr>
        <w:t xml:space="preserve">Sí se comprueba, antes de adherirse</w:t>
      </w:r>
      <w:r>
        <w:rPr>
          <w:rFonts w:ascii="Calibri" w:cs="Calibri" w:eastAsia="Calibri" w:hAnsi="Calibri"/>
          <w:sz w:val="21"/>
          <w:szCs w:val="21"/>
        </w:rPr>
        <w:t xml:space="preserve">, qué cubre el acuerdo marco de lo que este catálogo consideraría necesario: conformidad ENS del sistema, ubicación de servidores, reversibilidad y formatos de salida, y titularidad o licencia de lo que se desarrolle a medida. El resultado de esa comprobación se hace constar en el informe de necesidad.</w:t>
      </w:r>
    </w:p>
    <w:p>
      <w:pPr>
        <w:pStyle w:val="ListParagraph"/>
        <w:numPr>
          <w:ilvl w:val="0"/>
          <w:numId w:val="2"/>
        </w:numPr>
        <w:spacing w:after="70" w:line="268"/>
      </w:pPr>
      <w:r>
        <w:rPr>
          <w:rFonts w:ascii="Calibri" w:cs="Calibri" w:eastAsia="Calibri" w:hAnsi="Calibri"/>
          <w:b/>
          <w:bCs/>
          <w:sz w:val="21"/>
          <w:szCs w:val="21"/>
        </w:rPr>
        <w:t xml:space="preserve">Si el acuerdo marco no cubre una necesidad que sí concurre</w:t>
      </w:r>
      <w:r>
        <w:rPr>
          <w:rFonts w:ascii="Calibri" w:cs="Calibri" w:eastAsia="Calibri" w:hAnsi="Calibri"/>
          <w:sz w:val="21"/>
          <w:szCs w:val="21"/>
        </w:rPr>
        <w:t xml:space="preserve">, la decisión no es forzar el basado: es motivar en el expediente por qué se licita por separado, o asumir expresamente la limitación y hacerla constar.</w:t>
      </w:r>
    </w:p>
    <w:p>
      <w:pPr>
        <w:pStyle w:val="ListParagraph"/>
        <w:numPr>
          <w:ilvl w:val="0"/>
          <w:numId w:val="2"/>
        </w:numPr>
        <w:spacing w:after="70" w:line="268"/>
      </w:pPr>
      <w:r>
        <w:rPr>
          <w:rFonts w:ascii="Calibri" w:cs="Calibri" w:eastAsia="Calibri" w:hAnsi="Calibri"/>
          <w:b/>
          <w:bCs/>
          <w:sz w:val="21"/>
          <w:szCs w:val="21"/>
        </w:rPr>
        <w:t xml:space="preserve">Cuando el Ayuntamiento sea quien licite el acuerdo marco</w:t>
      </w:r>
      <w:r>
        <w:rPr>
          <w:rFonts w:ascii="Calibri" w:cs="Calibri" w:eastAsia="Calibri" w:hAnsi="Calibri"/>
          <w:sz w:val="21"/>
          <w:szCs w:val="21"/>
        </w:rPr>
        <w:t xml:space="preserve">, entonces sí: es el momento de incorporar el catálogo, porque las condiciones del acuerdo marco se trasladan a todos los basados. Recuérdese que los acuerdos marco y los contratos basados en ellos son recurribles en los términos del art. 44.1.b).</w:t>
      </w:r>
    </w:p>
    <w:p>
      <w:pPr>
        <w:pStyle w:val="Heading3"/>
        <w:keepNext/>
        <w:spacing w:after="140" w:before="320"/>
      </w:pPr>
      <w:r>
        <w:rPr>
          <w:rFonts w:ascii="Georgia" w:cs="Georgia" w:eastAsia="Georgia" w:hAnsi="Georgia"/>
          <w:b/>
          <w:bCs/>
          <w:color w:val="2F5496"/>
          <w:sz w:val="22"/>
          <w:szCs w:val="22"/>
        </w:rPr>
        <w:t xml:space="preserve">V.7.3 · Prórrogas y contratos en ejecución</w:t>
      </w:r>
    </w:p>
    <w:p>
      <w:pPr>
        <w:spacing w:after="140" w:line="276"/>
      </w:pPr>
      <w:r>
        <w:rPr>
          <w:rFonts w:ascii="Calibri" w:cs="Calibri" w:eastAsia="Calibri" w:hAnsi="Calibri"/>
          <w:b/>
          <w:bCs/>
          <w:sz w:val="21"/>
          <w:szCs w:val="21"/>
        </w:rPr>
        <w:t xml:space="preserve">La regla.</w:t>
      </w:r>
      <w:r>
        <w:rPr>
          <w:rFonts w:ascii="Calibri" w:cs="Calibri" w:eastAsia="Calibri" w:hAnsi="Calibri"/>
          <w:sz w:val="21"/>
          <w:szCs w:val="21"/>
        </w:rPr>
        <w:t xml:space="preserve"> Una prórroga extiende el contrato «siempre que sus características permanezcan inalterables durante el período de duración de estas» (art. 29.2 LCSP). No es el cauce para introducir obligaciones nuevas.</w:t>
      </w:r>
    </w:p>
    <w:p>
      <w:pPr>
        <w:spacing w:after="140" w:line="276"/>
      </w:pPr>
      <w:r>
        <w:rPr>
          <w:rFonts w:ascii="Calibri" w:cs="Calibri" w:eastAsia="Calibri" w:hAnsi="Calibri"/>
          <w:b/>
          <w:bCs/>
          <w:sz w:val="21"/>
          <w:szCs w:val="21"/>
        </w:rPr>
        <w:t xml:space="preserve">Lo que sí cabe.</w:t>
      </w:r>
    </w:p>
    <w:p>
      <w:pPr>
        <w:pStyle w:val="ListParagraph"/>
        <w:numPr>
          <w:ilvl w:val="0"/>
          <w:numId w:val="1"/>
        </w:numPr>
        <w:spacing w:after="70" w:line="268"/>
      </w:pPr>
      <w:r>
        <w:rPr>
          <w:rFonts w:ascii="Calibri" w:cs="Calibri" w:eastAsia="Calibri" w:hAnsi="Calibri"/>
          <w:b/>
          <w:bCs/>
          <w:sz w:val="21"/>
          <w:szCs w:val="21"/>
        </w:rPr>
        <w:t xml:space="preserve">Nada por la vía de la prórroga.</w:t>
      </w:r>
      <w:r>
        <w:rPr>
          <w:rFonts w:ascii="Calibri" w:cs="Calibri" w:eastAsia="Calibri" w:hAnsi="Calibri"/>
          <w:sz w:val="21"/>
          <w:szCs w:val="21"/>
        </w:rPr>
        <w:t xml:space="preserve"> No se incorporan cláusulas del catálogo al prorrogar.</w:t>
      </w:r>
    </w:p>
    <w:p>
      <w:pPr>
        <w:pStyle w:val="ListParagraph"/>
        <w:numPr>
          <w:ilvl w:val="0"/>
          <w:numId w:val="1"/>
        </w:numPr>
        <w:spacing w:after="70" w:line="268"/>
      </w:pPr>
      <w:r>
        <w:rPr>
          <w:rFonts w:ascii="Calibri" w:cs="Calibri" w:eastAsia="Calibri" w:hAnsi="Calibri"/>
          <w:b/>
          <w:bCs/>
          <w:sz w:val="21"/>
          <w:szCs w:val="21"/>
        </w:rPr>
        <w:t xml:space="preserve">Por la vía de la modificación</w:t>
      </w:r>
      <w:r>
        <w:rPr>
          <w:rFonts w:ascii="Calibri" w:cs="Calibri" w:eastAsia="Calibri" w:hAnsi="Calibri"/>
          <w:sz w:val="21"/>
          <w:szCs w:val="21"/>
        </w:rPr>
        <w:t xml:space="preserve">, sólo si concurre alguno de los supuestos de los arts. 203 a 205 LCSP y con el informe jurídico preceptivo, que también lo es en las modificaciones (DA 3.ª.8 LCSP).</w:t>
      </w:r>
    </w:p>
    <w:p>
      <w:pPr>
        <w:pStyle w:val="ListParagraph"/>
        <w:numPr>
          <w:ilvl w:val="0"/>
          <w:numId w:val="1"/>
        </w:numPr>
        <w:spacing w:after="70" w:line="268"/>
      </w:pPr>
      <w:r>
        <w:rPr>
          <w:rFonts w:ascii="Calibri" w:cs="Calibri" w:eastAsia="Calibri" w:hAnsi="Calibri"/>
          <w:b/>
          <w:bCs/>
          <w:sz w:val="21"/>
          <w:szCs w:val="21"/>
        </w:rPr>
        <w:t xml:space="preserve">Por acuerdo con el contratista</w:t>
      </w:r>
      <w:r>
        <w:rPr>
          <w:rFonts w:ascii="Calibri" w:cs="Calibri" w:eastAsia="Calibri" w:hAnsi="Calibri"/>
          <w:sz w:val="21"/>
          <w:szCs w:val="21"/>
        </w:rPr>
        <w:t xml:space="preserve"> cuando la obligación no altere el equilibrio económico y él la acepte por escrito: es el cauce razonable para cosas como la entrega del diccionario de datos o la habilitación de un acceso de consulta, y sirve de puente hasta la licitación siguiente.</w:t>
      </w:r>
    </w:p>
    <w:p>
      <w:pPr>
        <w:pStyle w:val="ListParagraph"/>
        <w:numPr>
          <w:ilvl w:val="0"/>
          <w:numId w:val="1"/>
        </w:numPr>
        <w:spacing w:after="70" w:line="268"/>
      </w:pPr>
      <w:r>
        <w:rPr>
          <w:rFonts w:ascii="Calibri" w:cs="Calibri" w:eastAsia="Calibri" w:hAnsi="Calibri"/>
          <w:b/>
          <w:bCs/>
          <w:sz w:val="21"/>
          <w:szCs w:val="21"/>
        </w:rPr>
        <w:t xml:space="preserve">La prórroga es, sin embargo, el momento de decidir.</w:t>
      </w:r>
      <w:r>
        <w:rPr>
          <w:rFonts w:ascii="Calibri" w:cs="Calibri" w:eastAsia="Calibri" w:hAnsi="Calibri"/>
          <w:sz w:val="21"/>
          <w:szCs w:val="21"/>
        </w:rPr>
        <w:t xml:space="preserve"> Al preparar el informe de la prórroga se hace la comprobación del art. 157.3 de la Ley 40/2015 —que alcanza al mantenimiento «a lo largo de todo el ciclo de vida»— y se deja escrito qué cláusulas del catálogo deberán incorporarse cuando el contrato se relicite. Ese párrafo es lo que evita que dentro de tres años se vuelva a empezar de cero.</w:t>
      </w:r>
    </w:p>
    <w:p>
      <w:pPr>
        <w:spacing w:after="140" w:line="276"/>
      </w:pPr>
      <w:r>
        <w:rPr>
          <w:rFonts w:ascii="Calibri" w:cs="Calibri" w:eastAsia="Calibri" w:hAnsi="Calibri"/>
          <w:b/>
          <w:bCs/>
          <w:sz w:val="21"/>
          <w:szCs w:val="21"/>
        </w:rPr>
        <w:t xml:space="preserve">Contratos ya redactados con la versión 2 del clausulado.</w:t>
      </w:r>
      <w:r>
        <w:rPr>
          <w:rFonts w:ascii="Calibri" w:cs="Calibri" w:eastAsia="Calibri" w:hAnsi="Calibri"/>
          <w:sz w:val="21"/>
          <w:szCs w:val="21"/>
        </w:rPr>
        <w:t xml:space="preserve"> Si el expediente aún no está aprobado, se rehace con la versión 3 antes de aprobarlo: es más barato rehacer que rectificar. Si ya está aprobado y publicado, no se retoca el PCAP —sólo cabría por error material, art. 122.1—: se documenta la divergencia y se corrige en la relicitación. El régimen del contrato </w:t>
      </w:r>
      <w:r>
        <w:rPr>
          <w:rFonts w:ascii="Calibri" w:cs="Calibri" w:eastAsia="Calibri" w:hAnsi="Calibri"/>
          <w:b/>
          <w:bCs/>
          <w:sz w:val="21"/>
          <w:szCs w:val="21"/>
        </w:rPr>
        <w:t xml:space="preserve">ya formalizado y en ejecución</w:t>
      </w:r>
      <w:r>
        <w:rPr>
          <w:rFonts w:ascii="Calibri" w:cs="Calibri" w:eastAsia="Calibri" w:hAnsi="Calibri"/>
          <w:sz w:val="21"/>
          <w:szCs w:val="21"/>
        </w:rPr>
        <w:t xml:space="preserve"> con cláusulas de la versión 2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 los pliegos son </w:t>
      </w:r>
      <w:r>
        <w:rPr>
          <w:rFonts w:ascii="Calibri" w:cs="Calibri" w:eastAsia="Calibri" w:hAnsi="Calibri"/>
          <w:i/>
          <w:iCs/>
          <w:sz w:val="21"/>
          <w:szCs w:val="21"/>
        </w:rPr>
        <w:t xml:space="preserve">lex contractus</w:t>
      </w:r>
      <w:r>
        <w:rPr>
          <w:rFonts w:ascii="Calibri" w:cs="Calibri" w:eastAsia="Calibri" w:hAnsi="Calibri"/>
          <w:sz w:val="21"/>
          <w:szCs w:val="21"/>
        </w:rPr>
        <w:t xml:space="preserve"> y las correcciones de la versión 3 no se aplican retroactivamente.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V.8 · Custodia y versionado del propio catálogo</w:t>
      </w:r>
    </w:p>
    <w:p>
      <w:pPr>
        <w:spacing w:after="140" w:line="276"/>
      </w:pPr>
      <w:r>
        <w:rPr>
          <w:rFonts w:ascii="Calibri" w:cs="Calibri" w:eastAsia="Calibri" w:hAnsi="Calibri"/>
          <w:sz w:val="21"/>
          <w:szCs w:val="21"/>
        </w:rPr>
        <w:t xml:space="preserve">Sin este apartado, en seis meses circulan cinco documentos distintos, tres de ellos por correo electrónico, y nadie sabe cuál rige. Es el fallo más previsible y el más barato de evitar.</w:t>
      </w:r>
    </w:p>
    <w:p>
      <w:pPr>
        <w:pStyle w:val="Heading3"/>
        <w:keepNext/>
        <w:spacing w:after="140" w:before="320"/>
      </w:pPr>
      <w:r>
        <w:rPr>
          <w:rFonts w:ascii="Georgia" w:cs="Georgia" w:eastAsia="Georgia" w:hAnsi="Georgia"/>
          <w:b/>
          <w:bCs/>
          <w:color w:val="2F5496"/>
          <w:sz w:val="22"/>
          <w:szCs w:val="22"/>
        </w:rPr>
        <w:t xml:space="preserve">V.8.1 · Dónde vive el maestro</w:t>
      </w:r>
    </w:p>
    <w:p>
      <w:pPr>
        <w:spacing w:after="140" w:line="276"/>
      </w:pPr>
      <w:r>
        <w:rPr>
          <w:rFonts w:ascii="Calibri" w:cs="Calibri" w:eastAsia="Calibri" w:hAnsi="Calibri"/>
          <w:b/>
          <w:bCs/>
          <w:sz w:val="21"/>
          <w:szCs w:val="21"/>
        </w:rPr>
        <w:t xml:space="preserve">Regla.</w:t>
      </w:r>
      <w:r>
        <w:rPr>
          <w:rFonts w:ascii="Calibri" w:cs="Calibri" w:eastAsia="Calibri" w:hAnsi="Calibri"/>
          <w:sz w:val="21"/>
          <w:szCs w:val="21"/>
        </w:rPr>
        <w:t xml:space="preserve"> Hay un único ejemplar maestro, y vive en el gestor documental corporativo, no en un ordenador, no en una carpeta compartida y no en un adjunto de correo. Todo lo demás son copias.</w:t>
      </w:r>
    </w:p>
    <w:p>
      <w:pPr>
        <w:spacing w:after="140" w:line="276"/>
      </w:pPr>
      <w:r>
        <w:rPr>
          <w:rFonts w:ascii="Calibri" w:cs="Calibri" w:eastAsia="Calibri" w:hAnsi="Calibri"/>
          <w:sz w:val="21"/>
          <w:szCs w:val="21"/>
        </w:rPr>
        <w:t xml:space="preserve">Identificación mínima del maestro, en la portada y en el pie de cada página:</w:t>
      </w:r>
    </w:p>
    <w:p>
      <w:pPr>
        <w:pStyle w:val="ListParagraph"/>
        <w:numPr>
          <w:ilvl w:val="0"/>
          <w:numId w:val="1"/>
        </w:numPr>
        <w:spacing w:after="70" w:line="268"/>
      </w:pPr>
      <w:r>
        <w:rPr>
          <w:rFonts w:ascii="Calibri" w:cs="Calibri" w:eastAsia="Calibri" w:hAnsi="Calibri"/>
          <w:sz w:val="21"/>
          <w:szCs w:val="21"/>
        </w:rPr>
        <w:t xml:space="preserve">Denominación completa del documento.</w:t>
      </w:r>
    </w:p>
    <w:p>
      <w:pPr>
        <w:pStyle w:val="ListParagraph"/>
        <w:numPr>
          <w:ilvl w:val="0"/>
          <w:numId w:val="1"/>
        </w:numPr>
        <w:spacing w:after="70" w:line="268"/>
      </w:pPr>
      <w:r>
        <w:rPr>
          <w:rFonts w:ascii="Calibri" w:cs="Calibri" w:eastAsia="Calibri" w:hAnsi="Calibri"/>
          <w:b/>
          <w:bCs/>
          <w:sz w:val="21"/>
          <w:szCs w:val="21"/>
        </w:rPr>
        <w:t xml:space="preserve">Número de versión</w:t>
      </w:r>
      <w:r>
        <w:rPr>
          <w:rFonts w:ascii="Calibri" w:cs="Calibri" w:eastAsia="Calibri" w:hAnsi="Calibri"/>
          <w:sz w:val="21"/>
          <w:szCs w:val="21"/>
        </w:rPr>
        <w:t xml:space="preserve"> (formato mayor.menor, por ejemplo 3.0, 3.1).</w:t>
      </w:r>
    </w:p>
    <w:p>
      <w:pPr>
        <w:pStyle w:val="ListParagraph"/>
        <w:numPr>
          <w:ilvl w:val="0"/>
          <w:numId w:val="1"/>
        </w:numPr>
        <w:spacing w:after="70" w:line="268"/>
      </w:pPr>
      <w:r>
        <w:rPr>
          <w:rFonts w:ascii="Calibri" w:cs="Calibri" w:eastAsia="Calibri" w:hAnsi="Calibri"/>
          <w:b/>
          <w:bCs/>
          <w:sz w:val="21"/>
          <w:szCs w:val="21"/>
        </w:rPr>
        <w:t xml:space="preserve">Fecha de aprobación</w:t>
      </w:r>
      <w:r>
        <w:rPr>
          <w:rFonts w:ascii="Calibri" w:cs="Calibri" w:eastAsia="Calibri" w:hAnsi="Calibri"/>
          <w:sz w:val="21"/>
          <w:szCs w:val="21"/>
        </w:rPr>
        <w:t xml:space="preserve"> y órgano que la aprobó, con número de acuerdo.</w:t>
      </w:r>
    </w:p>
    <w:p>
      <w:pPr>
        <w:pStyle w:val="ListParagraph"/>
        <w:numPr>
          <w:ilvl w:val="0"/>
          <w:numId w:val="1"/>
        </w:numPr>
        <w:spacing w:after="70" w:line="268"/>
      </w:pPr>
      <w:r>
        <w:rPr>
          <w:rFonts w:ascii="Calibri" w:cs="Calibri" w:eastAsia="Calibri" w:hAnsi="Calibri"/>
          <w:b/>
          <w:bCs/>
          <w:sz w:val="21"/>
          <w:szCs w:val="21"/>
        </w:rPr>
        <w:t xml:space="preserve">Fecha de corte normativa</w:t>
      </w:r>
      <w:r>
        <w:rPr>
          <w:rFonts w:ascii="Calibri" w:cs="Calibri" w:eastAsia="Calibri" w:hAnsi="Calibri"/>
          <w:sz w:val="21"/>
          <w:szCs w:val="21"/>
        </w:rPr>
        <w:t xml:space="preserve">: la fecha hasta la que se ha comprobado la vigencia de las normas citadas. Es distinta de la fecha de aprobación y más importante que ella.</w:t>
      </w:r>
    </w:p>
    <w:p>
      <w:pPr>
        <w:pStyle w:val="ListParagraph"/>
        <w:numPr>
          <w:ilvl w:val="0"/>
          <w:numId w:val="1"/>
        </w:numPr>
        <w:spacing w:after="70" w:line="268"/>
      </w:pPr>
      <w:r>
        <w:rPr>
          <w:rFonts w:ascii="Calibri" w:cs="Calibri" w:eastAsia="Calibri" w:hAnsi="Calibri"/>
          <w:b/>
          <w:bCs/>
          <w:sz w:val="21"/>
          <w:szCs w:val="21"/>
        </w:rPr>
        <w:t xml:space="preserve">Huella digital</w:t>
      </w:r>
      <w:r>
        <w:rPr>
          <w:rFonts w:ascii="Calibri" w:cs="Calibri" w:eastAsia="Calibri" w:hAnsi="Calibri"/>
          <w:sz w:val="21"/>
          <w:szCs w:val="21"/>
        </w:rPr>
        <w:t xml:space="preserve"> del fichero publicado (resumen criptográfico), para que cualquiera pueda comprobar que su copia es idéntica al maestro.</w:t>
      </w:r>
    </w:p>
    <w:p>
      <w:pPr>
        <w:pStyle w:val="ListParagraph"/>
        <w:numPr>
          <w:ilvl w:val="0"/>
          <w:numId w:val="1"/>
        </w:numPr>
        <w:spacing w:after="70" w:line="268"/>
      </w:pPr>
      <w:r>
        <w:rPr>
          <w:rFonts w:ascii="Calibri" w:cs="Calibri" w:eastAsia="Calibri" w:hAnsi="Calibri"/>
          <w:sz w:val="21"/>
          <w:szCs w:val="21"/>
        </w:rPr>
        <w:t xml:space="preserve">Dirección permanente en la que se publica.</w:t>
      </w:r>
    </w:p>
    <w:p>
      <w:pPr>
        <w:pStyle w:val="Heading3"/>
        <w:keepNext/>
        <w:spacing w:after="140" w:before="320"/>
      </w:pPr>
      <w:r>
        <w:rPr>
          <w:rFonts w:ascii="Georgia" w:cs="Georgia" w:eastAsia="Georgia" w:hAnsi="Georgia"/>
          <w:b/>
          <w:bCs/>
          <w:color w:val="2F5496"/>
          <w:sz w:val="22"/>
          <w:szCs w:val="22"/>
        </w:rPr>
        <w:t xml:space="preserve">V.8.2 · Qué naturaleza tiene el acto de aprobación, y qué no debe ser</w:t>
      </w:r>
    </w:p>
    <w:p>
      <w:pPr>
        <w:spacing w:after="140" w:line="276"/>
      </w:pPr>
      <w:r>
        <w:rPr>
          <w:rFonts w:ascii="Calibri" w:cs="Calibri" w:eastAsia="Calibri" w:hAnsi="Calibri"/>
          <w:b/>
          <w:bCs/>
          <w:sz w:val="21"/>
          <w:szCs w:val="21"/>
        </w:rPr>
        <w:t xml:space="preserve">Advertencia jurídica.</w:t>
      </w:r>
      <w:r>
        <w:rPr>
          <w:rFonts w:ascii="Calibri" w:cs="Calibri" w:eastAsia="Calibri" w:hAnsi="Calibri"/>
          <w:sz w:val="21"/>
          <w:szCs w:val="21"/>
        </w:rPr>
        <w:t xml:space="preserve"> Este catálogo </w:t>
      </w:r>
      <w:r>
        <w:rPr>
          <w:rFonts w:ascii="Calibri" w:cs="Calibri" w:eastAsia="Calibri" w:hAnsi="Calibri"/>
          <w:b/>
          <w:bCs/>
          <w:sz w:val="21"/>
          <w:szCs w:val="21"/>
        </w:rPr>
        <w:t xml:space="preserve">no se aprueba como pliego de cláusulas administrativas generales</w:t>
      </w:r>
      <w:r>
        <w:rPr>
          <w:rFonts w:ascii="Calibri" w:cs="Calibri" w:eastAsia="Calibri" w:hAnsi="Calibri"/>
          <w:sz w:val="21"/>
          <w:szCs w:val="21"/>
        </w:rPr>
        <w:t xml:space="preserve">. El art. 121.2 LCSP permite a las entidades locales aprobar pliegos de cláusulas administrativas generales, pero exige </w:t>
      </w:r>
      <w:r>
        <w:rPr>
          <w:rFonts w:ascii="Calibri" w:cs="Calibri" w:eastAsia="Calibri" w:hAnsi="Calibri"/>
          <w:b/>
          <w:bCs/>
          <w:sz w:val="21"/>
          <w:szCs w:val="21"/>
        </w:rPr>
        <w:t xml:space="preserve">dictamen previo del Consejo de Estado u órgano consultivo equivalente de la Comunidad Autónoma</w:t>
      </w:r>
      <w:r>
        <w:rPr>
          <w:rFonts w:ascii="Calibri" w:cs="Calibri" w:eastAsia="Calibri" w:hAnsi="Calibri"/>
          <w:sz w:val="21"/>
          <w:szCs w:val="21"/>
        </w:rPr>
        <w:t xml:space="preserve">, y en las entidades locales la competencia es del Pleno (DA 2.ª.2 y 2.ª.4 LCSP). Un pliego general, además, regiría por sí mismo, y eso es lo contrario de lo que este documento pretende: aquí ninguna cláusula rige hasta que se transcribe en un PCAP o un PPT concreto y con su ficha detrás.</w:t>
      </w:r>
    </w:p>
    <w:p>
      <w:pPr>
        <w:spacing w:after="140" w:line="276"/>
      </w:pPr>
      <w:r>
        <w:rPr>
          <w:rFonts w:ascii="Calibri" w:cs="Calibri" w:eastAsia="Calibri" w:hAnsi="Calibri"/>
          <w:b/>
          <w:bCs/>
          <w:sz w:val="21"/>
          <w:szCs w:val="21"/>
        </w:rPr>
        <w:t xml:space="preserve">Naturaleza correcta.</w:t>
      </w:r>
      <w:r>
        <w:rPr>
          <w:rFonts w:ascii="Calibri" w:cs="Calibri" w:eastAsia="Calibri" w:hAnsi="Calibri"/>
          <w:sz w:val="21"/>
          <w:szCs w:val="21"/>
        </w:rPr>
        <w:t xml:space="preserve"> Instrumento de organización y de apoyo a la redacción de pliegos, aprobado por acuerdo del órgano competente. Vincula al personal municipal en cuanto a método —la ficha, el informe de necesidad, la comprobación del baremo— y no vincula a ningún contratista hasta que su texto está en un pliego aprobado.</w:t>
      </w:r>
    </w:p>
    <w:p>
      <w:pPr>
        <w:spacing w:after="140" w:line="276"/>
      </w:pPr>
      <w:r>
        <w:rPr>
          <w:rFonts w:ascii="Calibri" w:cs="Calibri" w:eastAsia="Calibri" w:hAnsi="Calibri"/>
          <w:sz w:val="21"/>
          <w:szCs w:val="21"/>
        </w:rPr>
        <w:t xml:space="preserve">Quien copie este documento debe tomar esta decisión conscientemente. Aprobarlo como pliego general porque suena más solemne es multiplicar el coste de cada revisión anual y regalar al recurrente la discusión sobre la validez de un instrumento que no la necesitaba.</w:t>
      </w:r>
    </w:p>
    <w:p>
      <w:pPr>
        <w:pStyle w:val="Heading3"/>
        <w:keepNext/>
        <w:spacing w:after="140" w:before="320"/>
      </w:pPr>
      <w:r>
        <w:rPr>
          <w:rFonts w:ascii="Georgia" w:cs="Georgia" w:eastAsia="Georgia" w:hAnsi="Georgia"/>
          <w:b/>
          <w:bCs/>
          <w:color w:val="2F5496"/>
          <w:sz w:val="22"/>
          <w:szCs w:val="22"/>
        </w:rPr>
        <w:t xml:space="preserve">V.8.3 · Quién lo versiona y cuándo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revisa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Órgano que aprueba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Cuerpo del catálogo (Partes 0 a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informe jurídico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24 meses, o antes si cambia una norma citada]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que lo aprobó</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contraste de mercado documentado (V.4.13)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 antes del [fecha; se recomienda el 30 de noviembre]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de aprobación anual, sin reabrir el resto del catálogo. Modelo en el </w:t>
            </w:r>
            <w:r>
              <w:rPr>
                <w:rFonts w:ascii="Calibri" w:cs="Calibri" w:eastAsia="Calibri" w:hAnsi="Calibri"/>
                <w:b/>
                <w:bCs/>
                <w:sz w:val="18"/>
                <w:szCs w:val="18"/>
              </w:rPr>
              <w:t xml:space="preserve">Anexo XV</w:t>
            </w:r>
            <w:r>
              <w:rPr>
                <w:rFonts w:ascii="Calibri" w:cs="Calibri" w:eastAsia="Calibri" w:hAnsi="Calibri"/>
                <w:b w:val="false"/>
                <w:bCs w:val="false"/>
                <w:sz w:val="18"/>
                <w:szCs w:val="18"/>
              </w:rPr>
              <w:t xml:space="preserve">; sin resolución en plazo, sigue vigente el Catálogo del ejercicio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 (vigencia normativa), su extracto transcribible del Anexo XIX y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6 meses, y en todo caso en enero de cada año par, por la actualización bienal de los umbrales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técnica, con constancia de la fecha de corte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 de erratas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publica con número de versión menor</w:t>
            </w:r>
          </w:p>
        </w:tc>
      </w:tr>
    </w:tbl>
    <w:p>
      <w:pPr>
        <w:spacing w:after="200"/>
      </w:pPr>
    </w:p>
    <w:p>
      <w:pPr>
        <w:spacing w:after="140" w:line="276"/>
      </w:pPr>
      <w:r>
        <w:rPr>
          <w:rFonts w:ascii="Calibri" w:cs="Calibri" w:eastAsia="Calibri" w:hAnsi="Calibri"/>
          <w:sz w:val="21"/>
          <w:szCs w:val="21"/>
        </w:rPr>
        <w:t xml:space="preserve">Regla de estabilidad: </w:t>
      </w:r>
      <w:r>
        <w:rPr>
          <w:rFonts w:ascii="Calibri" w:cs="Calibri" w:eastAsia="Calibri" w:hAnsi="Calibri"/>
          <w:b/>
          <w:bCs/>
          <w:sz w:val="21"/>
          <w:szCs w:val="21"/>
        </w:rPr>
        <w:t xml:space="preserve">el cuerpo se revisa poco y el Anexo V se revisa cada año.</w:t>
      </w:r>
      <w:r>
        <w:rPr>
          <w:rFonts w:ascii="Calibri" w:cs="Calibri" w:eastAsia="Calibri" w:hAnsi="Calibri"/>
          <w:sz w:val="21"/>
          <w:szCs w:val="21"/>
        </w:rPr>
        <w:t xml:space="preserve"> Esa es la razón de que estén separados. Si el catálogo del ejercicio viviera dentro del articulado, cada revisión anual obligaría a reabrir y reaprobar el documento entero, lo que garantiza que no se revise nunca.</w:t>
      </w:r>
    </w:p>
    <w:p>
      <w:pPr>
        <w:pStyle w:val="Heading3"/>
        <w:keepNext/>
        <w:spacing w:after="140" w:before="320"/>
      </w:pPr>
      <w:r>
        <w:rPr>
          <w:rFonts w:ascii="Georgia" w:cs="Georgia" w:eastAsia="Georgia" w:hAnsi="Georgia"/>
          <w:b/>
          <w:bCs/>
          <w:color w:val="2F5496"/>
          <w:sz w:val="22"/>
          <w:szCs w:val="22"/>
        </w:rPr>
        <w:t xml:space="preserve">V.8.4 · Cómo sabe un técnico que tiene el vigente</w:t>
      </w:r>
    </w:p>
    <w:p>
      <w:pPr>
        <w:spacing w:after="140" w:line="276"/>
      </w:pPr>
      <w:r>
        <w:rPr>
          <w:rFonts w:ascii="Calibri" w:cs="Calibri" w:eastAsia="Calibri" w:hAnsi="Calibri"/>
          <w:sz w:val="21"/>
          <w:szCs w:val="21"/>
        </w:rPr>
        <w:t xml:space="preserve">Tres mecanismos, y ninguno depende de la memoria de nadie:</w:t>
      </w:r>
    </w:p>
    <w:p>
      <w:pPr>
        <w:pStyle w:val="ListParagraph"/>
        <w:numPr>
          <w:ilvl w:val="0"/>
          <w:numId w:val="2"/>
        </w:numPr>
        <w:spacing w:after="70" w:line="268"/>
      </w:pPr>
      <w:r>
        <w:rPr>
          <w:rFonts w:ascii="Calibri" w:cs="Calibri" w:eastAsia="Calibri" w:hAnsi="Calibri"/>
          <w:b/>
          <w:bCs/>
          <w:sz w:val="21"/>
          <w:szCs w:val="21"/>
        </w:rPr>
        <w:t xml:space="preserve">Una única dirección permanente</w:t>
      </w:r>
      <w:r>
        <w:rPr>
          <w:rFonts w:ascii="Calibri" w:cs="Calibri" w:eastAsia="Calibri" w:hAnsi="Calibri"/>
          <w:sz w:val="21"/>
          <w:szCs w:val="21"/>
        </w:rPr>
        <w:t xml:space="preserve"> para el documento vigente. Los enlaces internos apuntan siempre ahí, nunca a un fichero adjunto.</w:t>
      </w:r>
    </w:p>
    <w:p>
      <w:pPr>
        <w:pStyle w:val="ListParagraph"/>
        <w:numPr>
          <w:ilvl w:val="0"/>
          <w:numId w:val="2"/>
        </w:numPr>
        <w:spacing w:after="70" w:line="268"/>
      </w:pPr>
      <w:r>
        <w:rPr>
          <w:rFonts w:ascii="Calibri" w:cs="Calibri" w:eastAsia="Calibri" w:hAnsi="Calibri"/>
          <w:b/>
          <w:bCs/>
          <w:sz w:val="21"/>
          <w:szCs w:val="21"/>
        </w:rPr>
        <w:t xml:space="preserve">Un registro de versiones</w:t>
      </w:r>
      <w:r>
        <w:rPr>
          <w:rFonts w:ascii="Calibri" w:cs="Calibri" w:eastAsia="Calibri" w:hAnsi="Calibri"/>
          <w:sz w:val="21"/>
          <w:szCs w:val="21"/>
        </w:rPr>
        <w:t xml:space="preserve"> de una página, publicado junto al documento, con: versión, fecha, órgano y acuerdo de aprobación, fecha de corte normativa, huella digital, y </w:t>
      </w:r>
      <w:r>
        <w:rPr>
          <w:rFonts w:ascii="Calibri" w:cs="Calibri" w:eastAsia="Calibri" w:hAnsi="Calibri"/>
          <w:b/>
          <w:bCs/>
          <w:sz w:val="21"/>
          <w:szCs w:val="21"/>
        </w:rPr>
        <w:t xml:space="preserve">resumen de qué cambió</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Un registro de uso</w:t>
      </w:r>
      <w:r>
        <w:rPr>
          <w:rFonts w:ascii="Calibri" w:cs="Calibri" w:eastAsia="Calibri" w:hAnsi="Calibri"/>
          <w:sz w:val="21"/>
          <w:szCs w:val="21"/>
        </w:rPr>
        <w:t xml:space="preserve">: qué expedientes han incorporado cláusulas de cada versión. Es un fichero de tres columnas —expediente, versión aplicada, cláusulas incorporadas— y resuelve la pregunta que se hace después de un recurso perdido: </w:t>
      </w:r>
      <w:r>
        <w:rPr>
          <w:rFonts w:ascii="Calibri" w:cs="Calibri" w:eastAsia="Calibri" w:hAnsi="Calibri"/>
          <w:i/>
          <w:iCs/>
          <w:sz w:val="21"/>
          <w:szCs w:val="21"/>
        </w:rPr>
        <w:t xml:space="preserve">¿qué otros pliegos vivos llevan esta misma cláusula?</w:t>
      </w:r>
      <w:r>
        <w:rPr>
          <w:rFonts w:ascii="Calibri" w:cs="Calibri" w:eastAsia="Calibri" w:hAnsi="Calibri"/>
          <w:sz w:val="21"/>
          <w:szCs w:val="21"/>
        </w:rPr>
        <w:t xml:space="preserve"> Sin ese registro, la respuesta se busca a mano y tarda una semana.</w:t>
      </w:r>
    </w:p>
    <w:p>
      <w:pPr>
        <w:spacing w:after="140" w:line="276"/>
      </w:pPr>
      <w:r>
        <w:rPr>
          <w:rFonts w:ascii="Calibri" w:cs="Calibri" w:eastAsia="Calibri" w:hAnsi="Calibri"/>
          <w:sz w:val="21"/>
          <w:szCs w:val="21"/>
        </w:rPr>
        <w:t xml:space="preserve">Y el mecanismo que cierra el circuito hacia fuera: </w:t>
      </w:r>
      <w:r>
        <w:rPr>
          <w:rFonts w:ascii="Calibri" w:cs="Calibri" w:eastAsia="Calibri" w:hAnsi="Calibri"/>
          <w:b/>
          <w:bCs/>
          <w:sz w:val="21"/>
          <w:szCs w:val="21"/>
        </w:rPr>
        <w:t xml:space="preserve">el pliego identifica la versión aplicada</w:t>
      </w:r>
      <w:r>
        <w:rPr>
          <w:rFonts w:ascii="Calibri" w:cs="Calibri" w:eastAsia="Calibri" w:hAnsi="Calibri"/>
          <w:sz w:val="21"/>
          <w:szCs w:val="21"/>
        </w:rPr>
        <w:t xml:space="preserve">. Este es el segundo de los tres textos de esta Parte que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Identificación del catálogo aplicado.</w:t>
            </w:r>
            <w:r>
              <w:rPr>
                <w:rFonts w:ascii="Georgia" w:cs="Georgia" w:eastAsia="Georgia" w:hAnsi="Georgia"/>
                <w:sz w:val="20"/>
                <w:szCs w:val="20"/>
              </w:rPr>
              <w:t xml:space="preserve"> Las cláusulas [códigos] del presente pliego se han redactado a partir del </w:t>
            </w:r>
            <w:r>
              <w:rPr>
                <w:rFonts w:ascii="Georgia" w:cs="Georgia" w:eastAsia="Georgia" w:hAnsi="Georgia"/>
                <w:i/>
                <w:iCs/>
                <w:sz w:val="20"/>
                <w:szCs w:val="20"/>
              </w:rPr>
              <w:t xml:space="preserve">Clausulado de Inteligencia Artificial y Deep Tech</w:t>
            </w:r>
            <w:r>
              <w:rPr>
                <w:rFonts w:ascii="Georgia" w:cs="Georgia" w:eastAsia="Georgia" w:hAnsi="Georgia"/>
                <w:sz w:val="20"/>
                <w:szCs w:val="20"/>
              </w:rPr>
              <w:t xml:space="preserve"> de [entidad], </w:t>
            </w:r>
            <w:r>
              <w:rPr>
                <w:rFonts w:ascii="Georgia" w:cs="Georgia" w:eastAsia="Georgia" w:hAnsi="Georgia"/>
                <w:b/>
                <w:bCs/>
                <w:sz w:val="20"/>
                <w:szCs w:val="20"/>
              </w:rPr>
              <w:t xml:space="preserve">versión [n.º], aprobada por [órgano] con fecha [dd/mm/aaaa]</w:t>
            </w:r>
            <w:r>
              <w:rPr>
                <w:rFonts w:ascii="Georgia" w:cs="Georgia" w:eastAsia="Georgia" w:hAnsi="Georgia"/>
                <w:sz w:val="20"/>
                <w:szCs w:val="20"/>
              </w:rPr>
              <w:t xml:space="preserve">, y del Anexo V </w:t>
            </w:r>
            <w:r>
              <w:rPr>
                <w:rFonts w:ascii="Georgia" w:cs="Georgia" w:eastAsia="Georgia" w:hAnsi="Georgia"/>
                <w:i/>
                <w:iCs/>
                <w:sz w:val="20"/>
                <w:szCs w:val="20"/>
              </w:rPr>
              <w:t xml:space="preserve">Exigencias Tecnológicas Determinadas</w:t>
            </w:r>
            <w:r>
              <w:rPr>
                <w:rFonts w:ascii="Georgia" w:cs="Georgia" w:eastAsia="Georgia" w:hAnsi="Georgia"/>
                <w:sz w:val="20"/>
                <w:szCs w:val="20"/>
              </w:rPr>
              <w:t xml:space="preserve"> del ejercicio [año], </w:t>
            </w:r>
            <w:r>
              <w:rPr>
                <w:rFonts w:ascii="Georgia" w:cs="Georgia" w:eastAsia="Georgia" w:hAnsi="Georgia"/>
                <w:b/>
                <w:bCs/>
                <w:sz w:val="20"/>
                <w:szCs w:val="20"/>
              </w:rPr>
              <w:t xml:space="preserve">versión [n.º], de fecha [dd/mm/aaaa]</w:t>
            </w:r>
            <w:r>
              <w:rPr>
                <w:rFonts w:ascii="Georgia" w:cs="Georgia" w:eastAsia="Georgia" w:hAnsi="Georgia"/>
                <w:sz w:val="20"/>
                <w:szCs w:val="20"/>
              </w:rPr>
              <w:t xml:space="preserve">, que se transcribe íntegramente en el [apartado/anexo] de este pliego. Las revisiones posteriores de dicho catálogo o de su Anexo V no afectarán al presente contrato.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V.8.5 · El Anexo V no se incorpora por remisión: se transcribe</w:t>
      </w:r>
    </w:p>
    <w:p>
      <w:pPr>
        <w:spacing w:after="140" w:line="276"/>
      </w:pPr>
      <w:r>
        <w:rPr>
          <w:rFonts w:ascii="Calibri" w:cs="Calibri" w:eastAsia="Calibri" w:hAnsi="Calibri"/>
          <w:sz w:val="21"/>
          <w:szCs w:val="21"/>
        </w:rPr>
        <w:t xml:space="preserve">Un pliego que remite a un documento municipal que se revisa cada año es un pliego con contenido indeterminado, y la indeterminación del objeto y de las obligaciones es un motivo de recurso limpio. Además, en una obligación esencial, la enumeración debe ser precisa, clara e inequívoca y no se admiten cláusulas de tipo general (art. 211.1.f).2.º LCSP).</w:t>
      </w:r>
    </w:p>
    <w:p>
      <w:pPr>
        <w:spacing w:after="140" w:line="276"/>
      </w:pPr>
      <w:r>
        <w:rPr>
          <w:rFonts w:ascii="Calibri" w:cs="Calibri" w:eastAsia="Calibri" w:hAnsi="Calibri"/>
          <w:sz w:val="21"/>
          <w:szCs w:val="21"/>
        </w:rPr>
        <w:t xml:space="preserve">Regla: </w:t>
      </w:r>
      <w:r>
        <w:rPr>
          <w:rFonts w:ascii="Calibri" w:cs="Calibri" w:eastAsia="Calibri" w:hAnsi="Calibri"/>
          <w:b/>
          <w:bCs/>
          <w:sz w:val="21"/>
          <w:szCs w:val="21"/>
        </w:rPr>
        <w:t xml:space="preserve">el texto del Anexo V que rija un contrato se transcribe físicamente dentro del PPT</w:t>
      </w:r>
      <w:r>
        <w:rPr>
          <w:rFonts w:ascii="Calibri" w:cs="Calibri" w:eastAsia="Calibri" w:hAnsi="Calibri"/>
          <w:sz w:val="21"/>
          <w:szCs w:val="21"/>
        </w:rPr>
        <w:t xml:space="preserve">, con su versión y su fecha, recortado a los módulos y funciones de ese contrato. La regla de invariabilidad de ese texto durante la vigencia del contrato se enuncia una sola vez, en DT-9·v3, apartado 2; aquí sólo se describe cómo se incorpora. Y se cierra la versión: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Cierre de versión.</w:t>
            </w:r>
            <w:r>
              <w:rPr>
                <w:rFonts w:ascii="Georgia" w:cs="Georgia" w:eastAsia="Georgia" w:hAnsi="Georgia"/>
                <w:sz w:val="20"/>
                <w:szCs w:val="20"/>
              </w:rPr>
              <w:t xml:space="preserve"> Las exigencias tecnológicas que rigen este contrato son exclusivamente las transcritas en el [apartado/anexo] de este pliego, correspondientes a la versión [n.º], de fecha [dd/mm/aaaa], del Anexo V del catálogo municipal. Fuera de ellas no existe obligación de evolución tecnológica exigible al contratista al amparo de dicho catálogo.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V.8.6 · Publicación en abierto y reutilización por otras administraciones</w:t>
      </w:r>
    </w:p>
    <w:p>
      <w:pPr>
        <w:spacing w:after="140" w:line="276"/>
      </w:pPr>
      <w:r>
        <w:rPr>
          <w:rFonts w:ascii="Calibri" w:cs="Calibri" w:eastAsia="Calibri" w:hAnsi="Calibri"/>
          <w:sz w:val="21"/>
          <w:szCs w:val="21"/>
        </w:rPr>
        <w:t xml:space="preserve">Este documento se publica para ser reutilizado. Para que la reutilización no propague defectos:</w:t>
      </w:r>
    </w:p>
    <w:p>
      <w:pPr>
        <w:pStyle w:val="ListParagraph"/>
        <w:numPr>
          <w:ilvl w:val="0"/>
          <w:numId w:val="1"/>
        </w:numPr>
        <w:spacing w:after="70" w:line="268"/>
      </w:pPr>
      <w:r>
        <w:rPr>
          <w:rFonts w:ascii="Calibri" w:cs="Calibri" w:eastAsia="Calibri" w:hAnsi="Calibri"/>
          <w:sz w:val="21"/>
          <w:szCs w:val="21"/>
        </w:rPr>
        <w:t xml:space="preserve">Se publica con </w:t>
      </w:r>
      <w:r>
        <w:rPr>
          <w:rFonts w:ascii="Calibri" w:cs="Calibri" w:eastAsia="Calibri" w:hAnsi="Calibri"/>
          <w:b/>
          <w:bCs/>
          <w:sz w:val="21"/>
          <w:szCs w:val="21"/>
        </w:rPr>
        <w:t xml:space="preserve">licencia de reutilización explícita</w:t>
      </w:r>
      <w:r>
        <w:rPr>
          <w:rFonts w:ascii="Calibri" w:cs="Calibri" w:eastAsia="Calibri" w:hAnsi="Calibri"/>
          <w:sz w:val="21"/>
          <w:szCs w:val="21"/>
        </w:rPr>
        <w:t xml:space="preserve"> y en formato abierto y editable, no sólo en PDF.</w:t>
      </w:r>
    </w:p>
    <w:p>
      <w:pPr>
        <w:pStyle w:val="ListParagraph"/>
        <w:numPr>
          <w:ilvl w:val="0"/>
          <w:numId w:val="1"/>
        </w:numPr>
        <w:spacing w:after="70" w:line="268"/>
      </w:pPr>
      <w:r>
        <w:rPr>
          <w:rFonts w:ascii="Calibri" w:cs="Calibri" w:eastAsia="Calibri" w:hAnsi="Calibri"/>
          <w:sz w:val="21"/>
          <w:szCs w:val="21"/>
        </w:rPr>
        <w:t xml:space="preserve">Se publica junto con el </w:t>
      </w:r>
      <w:r>
        <w:rPr>
          <w:rFonts w:ascii="Calibri" w:cs="Calibri" w:eastAsia="Calibri" w:hAnsi="Calibri"/>
          <w:b/>
          <w:bCs/>
          <w:sz w:val="21"/>
          <w:szCs w:val="21"/>
        </w:rPr>
        <w:t xml:space="preserve">registro de versiones</w:t>
      </w:r>
      <w:r>
        <w:rPr>
          <w:rFonts w:ascii="Calibri" w:cs="Calibri" w:eastAsia="Calibri" w:hAnsi="Calibri"/>
          <w:sz w:val="21"/>
          <w:szCs w:val="21"/>
        </w:rPr>
        <w:t xml:space="preserve"> y con el </w:t>
      </w:r>
      <w:r>
        <w:rPr>
          <w:rFonts w:ascii="Calibri" w:cs="Calibri" w:eastAsia="Calibri" w:hAnsi="Calibri"/>
          <w:b/>
          <w:bCs/>
          <w:sz w:val="21"/>
          <w:szCs w:val="21"/>
        </w:rPr>
        <w:t xml:space="preserve">Anexo XI de vigencia normativa, con su fecha de corte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Se advierte, en la portada y en la Parte I, de </w:t>
      </w:r>
      <w:r>
        <w:rPr>
          <w:rFonts w:ascii="Calibri" w:cs="Calibri" w:eastAsia="Calibri" w:hAnsi="Calibri"/>
          <w:b/>
          <w:bCs/>
          <w:sz w:val="21"/>
          <w:szCs w:val="21"/>
        </w:rPr>
        <w:t xml:space="preserve">lo que otra administración debe adaptar obligatoriamente</w:t>
      </w:r>
      <w:r>
        <w:rPr>
          <w:rFonts w:ascii="Calibri" w:cs="Calibri" w:eastAsia="Calibri" w:hAnsi="Calibri"/>
          <w:sz w:val="21"/>
          <w:szCs w:val="21"/>
        </w:rPr>
        <w:t xml:space="preserve">: el órgano competente, el órgano al que corresponde el informe jurídico preceptivo, la categoría ENS de sus propios sistemas, los umbrales vigentes en el momento de la copia, el Anexo V de su ejercicio y todos los parámetros entre corchetes.</w:t>
      </w:r>
    </w:p>
    <w:p>
      <w:pPr>
        <w:pStyle w:val="ListParagraph"/>
        <w:numPr>
          <w:ilvl w:val="0"/>
          <w:numId w:val="1"/>
        </w:numPr>
        <w:spacing w:after="70" w:line="268"/>
      </w:pPr>
      <w:r>
        <w:rPr>
          <w:rFonts w:ascii="Calibri" w:cs="Calibri" w:eastAsia="Calibri" w:hAnsi="Calibri"/>
          <w:sz w:val="21"/>
          <w:szCs w:val="21"/>
        </w:rPr>
        <w:t xml:space="preserve">Se advierte, con la misma claridad, de que </w:t>
      </w:r>
      <w:r>
        <w:rPr>
          <w:rFonts w:ascii="Calibri" w:cs="Calibri" w:eastAsia="Calibri" w:hAnsi="Calibri"/>
          <w:b/>
          <w:bCs/>
          <w:sz w:val="21"/>
          <w:szCs w:val="21"/>
        </w:rPr>
        <w:t xml:space="preserve">copiar el texto sin hacer la ficha y el informe de necesidad reproduce el vicio y no la protección</w:t>
      </w:r>
      <w:r>
        <w:rPr>
          <w:rFonts w:ascii="Calibri" w:cs="Calibri" w:eastAsia="Calibri" w:hAnsi="Calibri"/>
          <w:sz w:val="21"/>
          <w:szCs w:val="21"/>
        </w:rPr>
        <w:t xml:space="preserve">. Un catálogo copiado sin expediente es exactamente lo que un tribunal describe como exigencia sin justificación.</w:t>
      </w:r>
    </w:p>
    <w:p>
      <w:pPr>
        <w:pStyle w:val="ListParagraph"/>
        <w:numPr>
          <w:ilvl w:val="0"/>
          <w:numId w:val="1"/>
        </w:numPr>
        <w:spacing w:after="70" w:line="268"/>
      </w:pPr>
      <w:r>
        <w:rPr>
          <w:rFonts w:ascii="Calibri" w:cs="Calibri" w:eastAsia="Calibri" w:hAnsi="Calibri"/>
          <w:sz w:val="21"/>
          <w:szCs w:val="21"/>
        </w:rPr>
        <w:t xml:space="preserve">Las erratas detectadas por terceros se recogen y se publican con número de versión menor. Un documento que se corrige a la vista de todos es más creíble que uno que nunca cambia.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V.9 · Carga de preparación del expediente</w:t>
      </w:r>
    </w:p>
    <w:p>
      <w:pPr>
        <w:spacing w:after="140" w:line="276"/>
      </w:pPr>
      <w:r>
        <w:rPr>
          <w:rFonts w:ascii="Calibri" w:cs="Calibri" w:eastAsia="Calibri" w:hAnsi="Calibri"/>
          <w:sz w:val="21"/>
          <w:szCs w:val="21"/>
        </w:rPr>
        <w:t xml:space="preserve">La objeción a la que responde este apartado es real y está por escrito: el seguimiento de los contratos municipales se basa hoy casi exclusivamente en el control del gasto. Añadir obligaciones que nadie va a verificar no mejora nada y empeora el expediente, porque un incumplimiento esencial tolerado durante meses desactiva la cláusula para el resto del contrato.</w:t>
      </w:r>
    </w:p>
    <w:p>
      <w:pPr>
        <w:spacing w:after="140" w:line="276"/>
      </w:pPr>
      <w:r>
        <w:rPr>
          <w:rFonts w:ascii="Calibri" w:cs="Calibri" w:eastAsia="Calibri" w:hAnsi="Calibri"/>
          <w:b/>
          <w:bCs/>
          <w:sz w:val="21"/>
          <w:szCs w:val="21"/>
        </w:rPr>
        <w:t xml:space="preserve">Esta tabla mide sólo la preparación del expediente.</w:t>
      </w:r>
      <w:r>
        <w:rPr>
          <w:rFonts w:ascii="Calibri" w:cs="Calibri" w:eastAsia="Calibri" w:hAnsi="Calibri"/>
          <w:sz w:val="21"/>
          <w:szCs w:val="21"/>
        </w:rPr>
        <w:t xml:space="preserve"> La carga de verificación durante la ejecución se cuantifica una sola vez en todo el catálogo, en ADM-4·v3, apartado 5, y no se suma aquí. Son horas de trabajo municipal, no de consultoría, y son una </w:t>
      </w:r>
      <w:r>
        <w:rPr>
          <w:rFonts w:ascii="Calibri" w:cs="Calibri" w:eastAsia="Calibri" w:hAnsi="Calibri"/>
          <w:b/>
          <w:bCs/>
          <w:sz w:val="21"/>
          <w:szCs w:val="21"/>
        </w:rPr>
        <w:t xml:space="preserve">estimación a calibrar con el piloto</w:t>
      </w:r>
      <w:r>
        <w:rPr>
          <w:rFonts w:ascii="Calibri" w:cs="Calibri" w:eastAsia="Calibri" w:hAnsi="Calibri"/>
          <w:sz w:val="21"/>
          <w:szCs w:val="21"/>
        </w:rPr>
        <w:t xml:space="preserve">, no una medición.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o 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Primera vez</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Expedientes siguientes del mismo 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con las seis casillas por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criterios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Coordinación PPT-PCAP y depuración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de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preparación por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21,5 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10 h</w:t>
            </w:r>
          </w:p>
        </w:tc>
      </w:tr>
    </w:tbl>
    <w:p>
      <w:pPr>
        <w:spacing w:after="200"/>
      </w:pPr>
    </w:p>
    <w:p>
      <w:pPr>
        <w:spacing w:after="140" w:line="276"/>
      </w:pPr>
      <w:r>
        <w:rPr>
          <w:rFonts w:ascii="Calibri" w:cs="Calibri" w:eastAsia="Calibri" w:hAnsi="Calibri"/>
          <w:b/>
          <w:bCs/>
          <w:sz w:val="21"/>
          <w:szCs w:val="21"/>
        </w:rPr>
        <w:t xml:space="preserve">Tareas anuales, no por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centralizada y su informe (V.4.13)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 – 60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y aprobación del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30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Anexo XI, de su extracto del Anexo XIX y de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8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del registro de versiones y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r>
    </w:tbl>
    <w:p>
      <w:pPr>
        <w:spacing w:after="200"/>
      </w:pPr>
    </w:p>
    <w:p>
      <w:pPr>
        <w:spacing w:after="140" w:line="276"/>
      </w:pPr>
      <w:r>
        <w:rPr>
          <w:rFonts w:ascii="Calibri" w:cs="Calibri" w:eastAsia="Calibri" w:hAnsi="Calibri"/>
          <w:b/>
          <w:bCs/>
          <w:sz w:val="21"/>
          <w:szCs w:val="21"/>
        </w:rPr>
        <w:t xml:space="preserve">Y la carga que no está aquí: la de verificar durante la ejecución.</w:t>
      </w:r>
      <w:r>
        <w:rPr>
          <w:rFonts w:ascii="Calibri" w:cs="Calibri" w:eastAsia="Calibri" w:hAnsi="Calibri"/>
          <w:sz w:val="21"/>
          <w:szCs w:val="21"/>
        </w:rPr>
        <w:t xml:space="preserve"> Esa no la fija esta Parte, la fija cada cláusula en su casilla «Cómo se verifica», se totaliza en ADM-4·v3, apartado 5, y se suma en la ficha del expediente. La regla es la de V.1.3: </w:t>
      </w:r>
      <w:r>
        <w:rPr>
          <w:rFonts w:ascii="Calibri" w:cs="Calibri" w:eastAsia="Calibri" w:hAnsi="Calibri"/>
          <w:b/>
          <w:bCs/>
          <w:sz w:val="21"/>
          <w:szCs w:val="21"/>
        </w:rPr>
        <w:t xml:space="preserve">si una cláusula no tiene actor y periodicidad, no entra</w:t>
      </w:r>
      <w:r>
        <w:rPr>
          <w:rFonts w:ascii="Calibri" w:cs="Calibri" w:eastAsia="Calibri" w:hAnsi="Calibri"/>
          <w:sz w:val="21"/>
          <w:szCs w:val="21"/>
        </w:rPr>
        <w:t xml:space="preserve">. La consecuencia práctica es que un contrato pequeño soportará dos o tres cláusulas del catálogo, no doce, y eso es un resultado correcto, no una derrota.</w:t>
      </w:r>
    </w:p>
    <w:p>
      <w:pPr>
        <w:spacing w:after="140" w:line="276"/>
      </w:pPr>
      <w:r>
        <w:rPr>
          <w:rFonts w:ascii="Calibri" w:cs="Calibri" w:eastAsia="Calibri" w:hAnsi="Calibri"/>
          <w:b/>
          <w:bCs/>
          <w:sz w:val="21"/>
          <w:szCs w:val="21"/>
        </w:rPr>
        <w:t xml:space="preserve">Compromiso de medición.</w:t>
      </w:r>
      <w:r>
        <w:rPr>
          <w:rFonts w:ascii="Calibri" w:cs="Calibri" w:eastAsia="Calibri" w:hAnsi="Calibri"/>
          <w:sz w:val="21"/>
          <w:szCs w:val="21"/>
        </w:rPr>
        <w:t xml:space="preserve"> Las cifras anteriores se contrastan con las reales en el informe de evaluación del piloto a los seis y a los doce meses, y se corrigen en la revisión siguiente del documento. Una estimación que nunca se compara con la realidad es una estimación que nunca es cierta.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V.10 · Lista de comprobación final del expediente</w:t>
      </w:r>
    </w:p>
    <w:p>
      <w:pPr>
        <w:spacing w:after="140" w:line="276"/>
      </w:pPr>
      <w:r>
        <w:rPr>
          <w:rFonts w:ascii="Calibri" w:cs="Calibri" w:eastAsia="Calibri" w:hAnsi="Calibri"/>
          <w:sz w:val="21"/>
          <w:szCs w:val="21"/>
        </w:rPr>
        <w:t xml:space="preserve">Una página. Se recorre antes de elevar a aprobación. Cada casilla remite al apartado que la explica.</w:t>
      </w:r>
    </w:p>
    <w:p>
      <w:pPr>
        <w:spacing w:after="140" w:line="276"/>
      </w:pPr>
      <w:r>
        <w:rPr>
          <w:rFonts w:ascii="Calibri" w:cs="Calibri" w:eastAsia="Calibri" w:hAnsi="Calibri"/>
          <w:b/>
          <w:bCs/>
          <w:sz w:val="21"/>
          <w:szCs w:val="21"/>
        </w:rPr>
        <w:t xml:space="preserve">Necesidad y aplicabilidad</w:t>
      </w:r>
    </w:p>
    <w:p>
      <w:pPr>
        <w:pStyle w:val="ListParagraph"/>
        <w:numPr>
          <w:ilvl w:val="0"/>
          <w:numId w:val="1"/>
        </w:numPr>
        <w:spacing w:after="70" w:line="268"/>
      </w:pPr>
      <w:r>
        <w:rPr>
          <w:rFonts w:ascii="Calibri" w:cs="Calibri" w:eastAsia="Calibri" w:hAnsi="Calibri"/>
          <w:sz w:val="21"/>
          <w:szCs w:val="21"/>
        </w:rPr>
        <w:t xml:space="preserve">[ ] Informe de necesidad firmado, con la relación necesidad-objeto argumentada como directa, clara y proporcional (V.4.1).</w:t>
      </w:r>
    </w:p>
    <w:p>
      <w:pPr>
        <w:pStyle w:val="ListParagraph"/>
        <w:numPr>
          <w:ilvl w:val="0"/>
          <w:numId w:val="1"/>
        </w:numPr>
        <w:spacing w:after="70" w:line="268"/>
      </w:pPr>
      <w:r>
        <w:rPr>
          <w:rFonts w:ascii="Calibri" w:cs="Calibri" w:eastAsia="Calibri" w:hAnsi="Calibri"/>
          <w:sz w:val="21"/>
          <w:szCs w:val="21"/>
        </w:rPr>
        <w:t xml:space="preserve">[ ] Origen de cada necesidad identificado: funcional, normativa o institucional, con la firma que corresponde a cada una (V.4.2).</w:t>
      </w:r>
    </w:p>
    <w:p>
      <w:pPr>
        <w:pStyle w:val="ListParagraph"/>
        <w:numPr>
          <w:ilvl w:val="0"/>
          <w:numId w:val="1"/>
        </w:numPr>
        <w:spacing w:after="70" w:line="268"/>
      </w:pPr>
      <w:r>
        <w:rPr>
          <w:rFonts w:ascii="Calibri" w:cs="Calibri" w:eastAsia="Calibri" w:hAnsi="Calibri"/>
          <w:sz w:val="21"/>
          <w:szCs w:val="21"/>
        </w:rPr>
        <w:t xml:space="preserve">[ ] Si hay necesidad institucional, acuerdo del órgano de gobierno citado con fecha y número (V.4.2).</w:t>
      </w:r>
    </w:p>
    <w:p>
      <w:pPr>
        <w:pStyle w:val="ListParagraph"/>
        <w:numPr>
          <w:ilvl w:val="0"/>
          <w:numId w:val="1"/>
        </w:numPr>
        <w:spacing w:after="70" w:line="268"/>
      </w:pPr>
      <w:r>
        <w:rPr>
          <w:rFonts w:ascii="Calibri" w:cs="Calibri" w:eastAsia="Calibri" w:hAnsi="Calibri"/>
          <w:sz w:val="21"/>
          <w:szCs w:val="21"/>
        </w:rPr>
        <w:t xml:space="preserve">[ ] Ficha de Aplicabilidad firmada, con las seis casillas cumplimentadas por cada cláusula marcada SÍ (V.4.4).</w:t>
      </w:r>
    </w:p>
    <w:p>
      <w:pPr>
        <w:pStyle w:val="ListParagraph"/>
        <w:numPr>
          <w:ilvl w:val="0"/>
          <w:numId w:val="1"/>
        </w:numPr>
        <w:spacing w:after="70" w:line="268"/>
      </w:pPr>
      <w:r>
        <w:rPr>
          <w:rFonts w:ascii="Calibri" w:cs="Calibri" w:eastAsia="Calibri" w:hAnsi="Calibri"/>
          <w:sz w:val="21"/>
          <w:szCs w:val="21"/>
        </w:rPr>
        <w:t xml:space="preserve">[ ] Cláusulas NO APLICA depuradas también en las menciones que arrastran (V.2.3).</w:t>
      </w:r>
    </w:p>
    <w:p>
      <w:pPr>
        <w:pStyle w:val="ListParagraph"/>
        <w:numPr>
          <w:ilvl w:val="0"/>
          <w:numId w:val="1"/>
        </w:numPr>
        <w:spacing w:after="70" w:line="268"/>
      </w:pPr>
      <w:r>
        <w:rPr>
          <w:rFonts w:ascii="Calibri" w:cs="Calibri" w:eastAsia="Calibri" w:hAnsi="Calibri"/>
          <w:sz w:val="21"/>
          <w:szCs w:val="21"/>
        </w:rPr>
        <w:t xml:space="preserve">[ ] Finalidad del tratamiento especificada si hay cesión de datos al contratista (V.4.1, punto 7).</w:t>
      </w:r>
    </w:p>
    <w:p>
      <w:pPr>
        <w:spacing w:after="140" w:line="276"/>
      </w:pPr>
      <w:r>
        <w:rPr>
          <w:rFonts w:ascii="Calibri" w:cs="Calibri" w:eastAsia="Calibri" w:hAnsi="Calibri"/>
          <w:b/>
          <w:bCs/>
          <w:sz w:val="21"/>
          <w:szCs w:val="21"/>
        </w:rPr>
        <w:t xml:space="preserve">Comprobaciones previas</w:t>
      </w:r>
    </w:p>
    <w:p>
      <w:pPr>
        <w:pStyle w:val="ListParagraph"/>
        <w:numPr>
          <w:ilvl w:val="0"/>
          <w:numId w:val="1"/>
        </w:numPr>
        <w:spacing w:after="70" w:line="268"/>
      </w:pPr>
      <w:r>
        <w:rPr>
          <w:rFonts w:ascii="Calibri" w:cs="Calibri" w:eastAsia="Calibri" w:hAnsi="Calibri"/>
          <w:sz w:val="21"/>
          <w:szCs w:val="21"/>
        </w:rPr>
        <w:t xml:space="preserve">[ ] Consulta al directorio general de aplicaciones realizada y documentada; y, si existía solución reutilizable y no se reutiliza, justificación en términos de eficiencia (V.4.3).</w:t>
      </w:r>
    </w:p>
    <w:p>
      <w:pPr>
        <w:pStyle w:val="ListParagraph"/>
        <w:numPr>
          <w:ilvl w:val="0"/>
          <w:numId w:val="1"/>
        </w:numPr>
        <w:spacing w:after="70" w:line="268"/>
      </w:pPr>
      <w:r>
        <w:rPr>
          <w:rFonts w:ascii="Calibri" w:cs="Calibri" w:eastAsia="Calibri" w:hAnsi="Calibri"/>
          <w:sz w:val="21"/>
          <w:szCs w:val="21"/>
        </w:rPr>
        <w:t xml:space="preserve">[ ] Categorización ENS determinada conforme al anexo I del RD 311/2022, con firma del responsable de la seguridad (V.4.11).</w:t>
      </w:r>
    </w:p>
    <w:p>
      <w:pPr>
        <w:pStyle w:val="ListParagraph"/>
        <w:numPr>
          <w:ilvl w:val="0"/>
          <w:numId w:val="1"/>
        </w:numPr>
        <w:spacing w:after="70" w:line="268"/>
      </w:pPr>
      <w:r>
        <w:rPr>
          <w:rFonts w:ascii="Calibri" w:cs="Calibri" w:eastAsia="Calibri" w:hAnsi="Calibri"/>
          <w:sz w:val="21"/>
          <w:szCs w:val="21"/>
        </w:rPr>
        <w:t xml:space="preserve">[ ] Análisis de riesgos con conclusión expresa sobre la extensión a la cadena de suministro (V.4.11).</w:t>
      </w:r>
    </w:p>
    <w:p>
      <w:pPr>
        <w:pStyle w:val="ListParagraph"/>
        <w:numPr>
          <w:ilvl w:val="0"/>
          <w:numId w:val="1"/>
        </w:numPr>
        <w:spacing w:after="70" w:line="268"/>
      </w:pPr>
      <w:r>
        <w:rPr>
          <w:rFonts w:ascii="Calibri" w:cs="Calibri" w:eastAsia="Calibri" w:hAnsi="Calibri"/>
          <w:sz w:val="21"/>
          <w:szCs w:val="21"/>
        </w:rPr>
        <w:t xml:space="preserve">[ ] Calificación jurídica de cada certificación exigida: habilitación, solvencia, prescripción de ejecución o criterio (V.4.11 y V.5.6).</w:t>
      </w:r>
    </w:p>
    <w:p>
      <w:pPr>
        <w:pStyle w:val="ListParagraph"/>
        <w:numPr>
          <w:ilvl w:val="0"/>
          <w:numId w:val="1"/>
        </w:numPr>
        <w:spacing w:after="70" w:line="268"/>
      </w:pPr>
      <w:r>
        <w:rPr>
          <w:rFonts w:ascii="Calibri" w:cs="Calibri" w:eastAsia="Calibri" w:hAnsi="Calibri"/>
          <w:sz w:val="21"/>
          <w:szCs w:val="21"/>
        </w:rPr>
        <w:t xml:space="preserve">[ ] Informe de consultas preliminares del ejercicio invocado, o constancia de que no se realizaron (V.4.13).</w:t>
      </w:r>
    </w:p>
    <w:p>
      <w:pPr>
        <w:spacing w:after="140" w:line="276"/>
      </w:pPr>
      <w:r>
        <w:rPr>
          <w:rFonts w:ascii="Calibri" w:cs="Calibri" w:eastAsia="Calibri" w:hAnsi="Calibri"/>
          <w:b/>
          <w:bCs/>
          <w:sz w:val="21"/>
          <w:szCs w:val="21"/>
        </w:rPr>
        <w:t xml:space="preserve">Diseño del contrato</w:t>
      </w:r>
    </w:p>
    <w:p>
      <w:pPr>
        <w:pStyle w:val="ListParagraph"/>
        <w:numPr>
          <w:ilvl w:val="0"/>
          <w:numId w:val="1"/>
        </w:numPr>
        <w:spacing w:after="70" w:line="268"/>
      </w:pPr>
      <w:r>
        <w:rPr>
          <w:rFonts w:ascii="Calibri" w:cs="Calibri" w:eastAsia="Calibri" w:hAnsi="Calibri"/>
          <w:sz w:val="21"/>
          <w:szCs w:val="21"/>
        </w:rPr>
        <w:t xml:space="preserve">[ ] Valor estimado calculado con prórrogas, opciones, bolsa de evolutivos y máximo de modificaciones al alza (V.4.10).</w:t>
      </w:r>
    </w:p>
    <w:p>
      <w:pPr>
        <w:pStyle w:val="ListParagraph"/>
        <w:numPr>
          <w:ilvl w:val="0"/>
          <w:numId w:val="1"/>
        </w:numPr>
        <w:spacing w:after="70" w:line="268"/>
      </w:pPr>
      <w:r>
        <w:rPr>
          <w:rFonts w:ascii="Calibri" w:cs="Calibri" w:eastAsia="Calibri" w:hAnsi="Calibri"/>
          <w:sz w:val="21"/>
          <w:szCs w:val="21"/>
        </w:rPr>
        <w:t xml:space="preserve">[ ] Método de cálculo del valor estimado incorporado al PCAP (art. 101.5).</w:t>
      </w:r>
    </w:p>
    <w:p>
      <w:pPr>
        <w:pStyle w:val="ListParagraph"/>
        <w:numPr>
          <w:ilvl w:val="0"/>
          <w:numId w:val="1"/>
        </w:numPr>
        <w:spacing w:after="70" w:line="268"/>
      </w:pPr>
      <w:r>
        <w:rPr>
          <w:rFonts w:ascii="Calibri" w:cs="Calibri" w:eastAsia="Calibri" w:hAnsi="Calibri"/>
          <w:sz w:val="21"/>
          <w:szCs w:val="21"/>
        </w:rPr>
        <w:t xml:space="preserve">[ ] Umbrales comprobados: menor, abreviado, recurso especial y regulación armonizada, con la cuantía vigente en la fecha (V.4.10).</w:t>
      </w:r>
    </w:p>
    <w:p>
      <w:pPr>
        <w:pStyle w:val="ListParagraph"/>
        <w:numPr>
          <w:ilvl w:val="0"/>
          <w:numId w:val="1"/>
        </w:numPr>
        <w:spacing w:after="70" w:line="268"/>
      </w:pPr>
      <w:r>
        <w:rPr>
          <w:rFonts w:ascii="Calibri" w:cs="Calibri" w:eastAsia="Calibri" w:hAnsi="Calibri"/>
          <w:sz w:val="21"/>
          <w:szCs w:val="21"/>
        </w:rPr>
        <w:t xml:space="preserve">[ ] Procedimiento elegido compatible con el porcentaje de juicio de valor del baremo (V.4.6).</w:t>
      </w:r>
    </w:p>
    <w:p>
      <w:pPr>
        <w:pStyle w:val="ListParagraph"/>
        <w:numPr>
          <w:ilvl w:val="0"/>
          <w:numId w:val="1"/>
        </w:numPr>
        <w:spacing w:after="70" w:line="268"/>
      </w:pPr>
      <w:r>
        <w:rPr>
          <w:rFonts w:ascii="Calibri" w:cs="Calibri" w:eastAsia="Calibri" w:hAnsi="Calibri"/>
          <w:sz w:val="21"/>
          <w:szCs w:val="21"/>
        </w:rPr>
        <w:t xml:space="preserve">[ ] Hoja de comprobación del baremo cumplimentada </w:t>
      </w:r>
      <w:r>
        <w:rPr>
          <w:rFonts w:ascii="Calibri" w:cs="Calibri" w:eastAsia="Calibri" w:hAnsi="Calibri"/>
          <w:b/>
          <w:bCs/>
          <w:sz w:val="21"/>
          <w:szCs w:val="21"/>
        </w:rPr>
        <w:t xml:space="preserve">sobre el baremo entero, precio incluido</w:t>
      </w:r>
      <w:r>
        <w:rPr>
          <w:rFonts w:ascii="Calibri" w:cs="Calibri" w:eastAsia="Calibri" w:hAnsi="Calibri"/>
          <w:sz w:val="21"/>
          <w:szCs w:val="21"/>
        </w:rPr>
        <w:t xml:space="preserve"> (V.4.7).</w:t>
      </w:r>
    </w:p>
    <w:p>
      <w:pPr>
        <w:pStyle w:val="ListParagraph"/>
        <w:numPr>
          <w:ilvl w:val="0"/>
          <w:numId w:val="1"/>
        </w:numPr>
        <w:spacing w:after="70" w:line="268"/>
      </w:pPr>
      <w:r>
        <w:rPr>
          <w:rFonts w:ascii="Calibri" w:cs="Calibri" w:eastAsia="Calibri" w:hAnsi="Calibri"/>
          <w:sz w:val="21"/>
          <w:szCs w:val="21"/>
        </w:rPr>
        <w:t xml:space="preserve">[ ] Ninguna exigencia computada dos veces como instrumentos distintos (V.4.7).</w:t>
      </w:r>
    </w:p>
    <w:p>
      <w:pPr>
        <w:pStyle w:val="ListParagraph"/>
        <w:numPr>
          <w:ilvl w:val="0"/>
          <w:numId w:val="1"/>
        </w:numPr>
        <w:spacing w:after="70" w:line="268"/>
      </w:pPr>
      <w:r>
        <w:rPr>
          <w:rFonts w:ascii="Calibri" w:cs="Calibri" w:eastAsia="Calibri" w:hAnsi="Calibri"/>
          <w:sz w:val="21"/>
          <w:szCs w:val="21"/>
        </w:rPr>
        <w:t xml:space="preserve">[ ] Informe de insuficiencia de medios, en contratos de servicios (V.4.8).</w:t>
      </w:r>
    </w:p>
    <w:p>
      <w:pPr>
        <w:pStyle w:val="ListParagraph"/>
        <w:numPr>
          <w:ilvl w:val="0"/>
          <w:numId w:val="1"/>
        </w:numPr>
        <w:spacing w:after="70" w:line="268"/>
      </w:pPr>
      <w:r>
        <w:rPr>
          <w:rFonts w:ascii="Calibri" w:cs="Calibri" w:eastAsia="Calibri" w:hAnsi="Calibri"/>
          <w:sz w:val="21"/>
          <w:szCs w:val="21"/>
        </w:rPr>
        <w:t xml:space="preserve">[ ] Decisión sobre lotes motivada (V.4.9).</w:t>
      </w:r>
    </w:p>
    <w:p>
      <w:pPr>
        <w:pStyle w:val="ListParagraph"/>
        <w:numPr>
          <w:ilvl w:val="0"/>
          <w:numId w:val="1"/>
        </w:numPr>
        <w:spacing w:after="70" w:line="268"/>
      </w:pPr>
      <w:r>
        <w:rPr>
          <w:rFonts w:ascii="Calibri" w:cs="Calibri" w:eastAsia="Calibri" w:hAnsi="Calibri"/>
          <w:sz w:val="21"/>
          <w:szCs w:val="21"/>
        </w:rPr>
        <w:t xml:space="preserve">[ ] Responsable único de la coherencia PPT-PCAP designado y anotado en la ficha (V.2.3).</w:t>
      </w:r>
    </w:p>
    <w:p>
      <w:pPr>
        <w:pStyle w:val="ListParagraph"/>
        <w:numPr>
          <w:ilvl w:val="0"/>
          <w:numId w:val="1"/>
        </w:numPr>
        <w:spacing w:after="70" w:line="268"/>
      </w:pPr>
      <w:r>
        <w:rPr>
          <w:rFonts w:ascii="Calibri" w:cs="Calibri" w:eastAsia="Calibri" w:hAnsi="Calibri"/>
          <w:sz w:val="21"/>
          <w:szCs w:val="21"/>
        </w:rPr>
        <w:t xml:space="preserve">[ ] Cada cláusula incorporada tiene actor de verificación y periodicidad (V.1.3, regla 4).</w:t>
      </w:r>
    </w:p>
    <w:p>
      <w:pPr>
        <w:pStyle w:val="ListParagraph"/>
        <w:numPr>
          <w:ilvl w:val="0"/>
          <w:numId w:val="1"/>
        </w:numPr>
        <w:spacing w:after="70" w:line="268"/>
      </w:pPr>
      <w:r>
        <w:rPr>
          <w:rFonts w:ascii="Calibri" w:cs="Calibri" w:eastAsia="Calibri" w:hAnsi="Calibri"/>
          <w:sz w:val="21"/>
          <w:szCs w:val="21"/>
        </w:rPr>
        <w:t xml:space="preserve">[ ] Conformidad expresa del servicio verificador incorporada, cuando la carga estimada de verificación supere el umbral del §7.9.2 de la Parte I (V.2.1, documento A-6, y V.4.16).</w:t>
      </w:r>
    </w:p>
    <w:p>
      <w:pPr>
        <w:spacing w:after="140" w:line="276"/>
      </w:pPr>
      <w:r>
        <w:rPr>
          <w:rFonts w:ascii="Calibri" w:cs="Calibri" w:eastAsia="Calibri" w:hAnsi="Calibri"/>
          <w:b/>
          <w:bCs/>
          <w:sz w:val="21"/>
          <w:szCs w:val="21"/>
        </w:rPr>
        <w:t xml:space="preserve">Integridad y control</w:t>
      </w:r>
    </w:p>
    <w:p>
      <w:pPr>
        <w:pStyle w:val="ListParagraph"/>
        <w:numPr>
          <w:ilvl w:val="0"/>
          <w:numId w:val="1"/>
        </w:numPr>
        <w:spacing w:after="70" w:line="268"/>
      </w:pPr>
      <w:r>
        <w:rPr>
          <w:rFonts w:ascii="Calibri" w:cs="Calibri" w:eastAsia="Calibri" w:hAnsi="Calibri"/>
          <w:sz w:val="21"/>
          <w:szCs w:val="21"/>
        </w:rPr>
        <w:t xml:space="preserve">[ ] Declaraciones de conflicto de interés firmadas por todos los intervinientes, incluidos asesores externos (V.4.12).</w:t>
      </w:r>
    </w:p>
    <w:p>
      <w:pPr>
        <w:pStyle w:val="ListParagraph"/>
        <w:numPr>
          <w:ilvl w:val="0"/>
          <w:numId w:val="1"/>
        </w:numPr>
        <w:spacing w:after="70" w:line="268"/>
      </w:pPr>
      <w:r>
        <w:rPr>
          <w:rFonts w:ascii="Calibri" w:cs="Calibri" w:eastAsia="Calibri" w:hAnsi="Calibri"/>
          <w:sz w:val="21"/>
          <w:szCs w:val="21"/>
        </w:rPr>
        <w:t xml:space="preserve">[ ] Medidas del art. 70 adoptadas y consignadas, si hubo participación previa en la preparación (V.4.12).</w:t>
      </w:r>
    </w:p>
    <w:p>
      <w:pPr>
        <w:pStyle w:val="ListParagraph"/>
        <w:numPr>
          <w:ilvl w:val="0"/>
          <w:numId w:val="1"/>
        </w:numPr>
        <w:spacing w:after="70" w:line="268"/>
      </w:pPr>
      <w:r>
        <w:rPr>
          <w:rFonts w:ascii="Calibri" w:cs="Calibri" w:eastAsia="Calibri" w:hAnsi="Calibri"/>
          <w:sz w:val="21"/>
          <w:szCs w:val="21"/>
        </w:rPr>
        <w:t xml:space="preserve">[ ] Coste de las cláusulas activadas cifrado por concepto y partida (V.4.16).</w:t>
      </w:r>
    </w:p>
    <w:p>
      <w:pPr>
        <w:pStyle w:val="ListParagraph"/>
        <w:numPr>
          <w:ilvl w:val="0"/>
          <w:numId w:val="1"/>
        </w:numPr>
        <w:spacing w:after="70" w:line="268"/>
      </w:pPr>
      <w:r>
        <w:rPr>
          <w:rFonts w:ascii="Calibri" w:cs="Calibri" w:eastAsia="Calibri" w:hAnsi="Calibri"/>
          <w:sz w:val="21"/>
          <w:szCs w:val="21"/>
        </w:rPr>
        <w:t xml:space="preserve">[ ] Valoración de repercusiones en estabilidad presupuestaria y sostenibilidad financiera incorporada (V.4.16).</w:t>
      </w:r>
    </w:p>
    <w:p>
      <w:pPr>
        <w:pStyle w:val="ListParagraph"/>
        <w:numPr>
          <w:ilvl w:val="0"/>
          <w:numId w:val="1"/>
        </w:numPr>
        <w:spacing w:after="70" w:line="268"/>
      </w:pPr>
      <w:r>
        <w:rPr>
          <w:rFonts w:ascii="Calibri" w:cs="Calibri" w:eastAsia="Calibri" w:hAnsi="Calibri"/>
          <w:sz w:val="21"/>
          <w:szCs w:val="21"/>
        </w:rPr>
        <w:t xml:space="preserve">[ ] Certificado de existencia de crédito (V.4.16).</w:t>
      </w:r>
    </w:p>
    <w:p>
      <w:pPr>
        <w:pStyle w:val="ListParagraph"/>
        <w:numPr>
          <w:ilvl w:val="0"/>
          <w:numId w:val="1"/>
        </w:numPr>
        <w:spacing w:after="70" w:line="268"/>
      </w:pPr>
      <w:r>
        <w:rPr>
          <w:rFonts w:ascii="Calibri" w:cs="Calibri" w:eastAsia="Calibri" w:hAnsi="Calibri"/>
          <w:sz w:val="21"/>
          <w:szCs w:val="21"/>
        </w:rPr>
        <w:t xml:space="preserve">[ ] Informe jurídico preceptivo solicitado con la antelación fijada, y emitido (V.4.15).</w:t>
      </w:r>
    </w:p>
    <w:p>
      <w:pPr>
        <w:pStyle w:val="ListParagraph"/>
        <w:numPr>
          <w:ilvl w:val="0"/>
          <w:numId w:val="1"/>
        </w:numPr>
        <w:spacing w:after="70" w:line="268"/>
      </w:pPr>
      <w:r>
        <w:rPr>
          <w:rFonts w:ascii="Calibri" w:cs="Calibri" w:eastAsia="Calibri" w:hAnsi="Calibri"/>
          <w:sz w:val="21"/>
          <w:szCs w:val="21"/>
        </w:rPr>
        <w:t xml:space="preserve">[ ] Informe de fiscalización, y reparos, en su caso, solventados (V.4.16).</w:t>
      </w:r>
    </w:p>
    <w:p>
      <w:pPr>
        <w:spacing w:after="140" w:line="276"/>
      </w:pPr>
      <w:r>
        <w:rPr>
          <w:rFonts w:ascii="Calibri" w:cs="Calibri" w:eastAsia="Calibri" w:hAnsi="Calibri"/>
          <w:b/>
          <w:bCs/>
          <w:sz w:val="21"/>
          <w:szCs w:val="21"/>
        </w:rPr>
        <w:t xml:space="preserve">Publicación y defensa</w:t>
      </w:r>
    </w:p>
    <w:p>
      <w:pPr>
        <w:pStyle w:val="ListParagraph"/>
        <w:numPr>
          <w:ilvl w:val="0"/>
          <w:numId w:val="1"/>
        </w:numPr>
        <w:spacing w:after="70" w:line="268"/>
      </w:pPr>
      <w:r>
        <w:rPr>
          <w:rFonts w:ascii="Calibri" w:cs="Calibri" w:eastAsia="Calibri" w:hAnsi="Calibri"/>
          <w:sz w:val="21"/>
          <w:szCs w:val="21"/>
        </w:rPr>
        <w:t xml:space="preserve">[ ] Comprobado qué documentos se publican y que todos ellos están redactados sabiendo que se publican (V.3).</w:t>
      </w:r>
    </w:p>
    <w:p>
      <w:pPr>
        <w:pStyle w:val="ListParagraph"/>
        <w:numPr>
          <w:ilvl w:val="0"/>
          <w:numId w:val="1"/>
        </w:numPr>
        <w:spacing w:after="70" w:line="268"/>
      </w:pPr>
      <w:r>
        <w:rPr>
          <w:rFonts w:ascii="Calibri" w:cs="Calibri" w:eastAsia="Calibri" w:hAnsi="Calibri"/>
          <w:sz w:val="21"/>
          <w:szCs w:val="21"/>
        </w:rPr>
        <w:t xml:space="preserve">[ ] Anuncio de licitación con indicación expresa de la forma de acceso a los pliegos (V.4.17 y art. 50.1.b).</w:t>
      </w:r>
    </w:p>
    <w:p>
      <w:pPr>
        <w:pStyle w:val="ListParagraph"/>
        <w:numPr>
          <w:ilvl w:val="0"/>
          <w:numId w:val="1"/>
        </w:numPr>
        <w:spacing w:after="70" w:line="268"/>
      </w:pPr>
      <w:r>
        <w:rPr>
          <w:rFonts w:ascii="Calibri" w:cs="Calibri" w:eastAsia="Calibri" w:hAnsi="Calibri"/>
          <w:sz w:val="21"/>
          <w:szCs w:val="21"/>
        </w:rPr>
        <w:t xml:space="preserve">[ ] Todas las condiciones especiales de ejecución incorporadas figuran indicadas en el anuncio de licitación (art. 202.1 LCSP), </w:t>
      </w:r>
      <w:r>
        <w:rPr>
          <w:rFonts w:ascii="Calibri" w:cs="Calibri" w:eastAsia="Calibri" w:hAnsi="Calibri"/>
          <w:b/>
          <w:bCs/>
          <w:sz w:val="21"/>
          <w:szCs w:val="21"/>
        </w:rPr>
        <w:t xml:space="preserve">enumeradas una por una</w:t>
      </w:r>
      <w:r>
        <w:rPr>
          <w:rFonts w:ascii="Calibri" w:cs="Calibri" w:eastAsia="Calibri" w:hAnsi="Calibri"/>
          <w:sz w:val="21"/>
          <w:szCs w:val="21"/>
        </w:rPr>
        <w:t xml:space="preserve"> y cotejadas contra la Ficha de Aplicabilidad. Su omisión en el anuncio no se subsana después, y de ella pende además la esencialidad de las que el pliego haya calificado como tales.</w:t>
      </w:r>
    </w:p>
    <w:p>
      <w:pPr>
        <w:pStyle w:val="ListParagraph"/>
        <w:numPr>
          <w:ilvl w:val="0"/>
          <w:numId w:val="1"/>
        </w:numPr>
        <w:spacing w:after="70" w:line="268"/>
      </w:pPr>
      <w:r>
        <w:rPr>
          <w:rFonts w:ascii="Calibri" w:cs="Calibri" w:eastAsia="Calibri" w:hAnsi="Calibri"/>
          <w:sz w:val="21"/>
          <w:szCs w:val="21"/>
        </w:rPr>
        <w:t xml:space="preserve">[ ] Versión del catálogo y del Anexo V identificadas en el pliego, y Anexo V transcrito, no remitido (V.8.4 y V.8.5).</w:t>
      </w:r>
    </w:p>
    <w:p>
      <w:pPr>
        <w:pStyle w:val="ListParagraph"/>
        <w:numPr>
          <w:ilvl w:val="0"/>
          <w:numId w:val="1"/>
        </w:numPr>
        <w:spacing w:after="70" w:line="268"/>
      </w:pPr>
      <w:r>
        <w:rPr>
          <w:rFonts w:ascii="Calibri" w:cs="Calibri" w:eastAsia="Calibri" w:hAnsi="Calibri"/>
          <w:sz w:val="21"/>
          <w:szCs w:val="21"/>
        </w:rPr>
        <w:t xml:space="preserve">[ ] Carpeta de defensa cerrada, con índice, responsable y suplente designados y dirección electrónica habilitada verificada (V.6).</w:t>
      </w:r>
    </w:p>
    <w:p>
      <w:pPr>
        <w:pStyle w:val="ListParagraph"/>
        <w:numPr>
          <w:ilvl w:val="0"/>
          <w:numId w:val="1"/>
        </w:numPr>
        <w:spacing w:after="70" w:line="268"/>
      </w:pPr>
      <w:r>
        <w:rPr>
          <w:rFonts w:ascii="Calibri" w:cs="Calibri" w:eastAsia="Calibri" w:hAnsi="Calibri"/>
          <w:sz w:val="21"/>
          <w:szCs w:val="21"/>
        </w:rPr>
        <w:t xml:space="preserve">[ ] Registro de uso actualizado: expediente, versión aplicada y cláusulas incorporadas (V.8.4).</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V.11 · Fuentes citadas en esta Parte</w:t>
      </w:r>
    </w:p>
    <w:p>
      <w:pPr>
        <w:spacing w:after="140" w:line="276"/>
      </w:pPr>
      <w:r>
        <w:rPr>
          <w:rFonts w:ascii="Calibri" w:cs="Calibri" w:eastAsia="Calibri" w:hAnsi="Calibri"/>
          <w:sz w:val="21"/>
          <w:szCs w:val="21"/>
        </w:rPr>
        <w:t xml:space="preserve">Todas verificadas en fuente primaria a fecha de corte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resoluciones se citan como doctrina general trasladada por analogía: no existe, a esa fecha, doctrina de tribunales administrativos de recursos contractuales sobre cláusulas de inteligencia artificial, interfaces para agentes, condiciones especiales de ejecución de contenido tecnológico-evolutivo o demostraciones de software.</w:t>
      </w:r>
    </w:p>
    <w:p>
      <w:pPr>
        <w:spacing w:after="140" w:line="276"/>
      </w:pPr>
      <w:r>
        <w:rPr>
          <w:rFonts w:ascii="Calibri" w:cs="Calibri" w:eastAsia="Calibri" w:hAnsi="Calibri"/>
          <w:b/>
          <w:bCs/>
          <w:sz w:val="21"/>
          <w:szCs w:val="21"/>
        </w:rPr>
        <w:t xml:space="preserve">Legislación</w:t>
      </w:r>
      <w:r>
        <w:rPr>
          <w:rFonts w:ascii="Calibri" w:cs="Calibri" w:eastAsia="Calibri" w:hAnsi="Calibri"/>
          <w:sz w:val="21"/>
          <w:szCs w:val="21"/>
        </w:rPr>
        <w:t xml:space="preserve"> (texto consolidado del Boletín Oficial del Estado):</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 arts. 20.1, 21.1.a) y b), 22.1.a) y b), 28.1, 29.2, 44, 46.4, 48, 50, 51, 52, 53, 56, 57, 58, 59, 62, 63, 64, 70, 101, 115, 116, 117, 118, 121.2, 122, 132.2 y 132.3, 146.2, 159.1.a) y b) y 159.6, 192, 193, 202.1, 203 a 205, 211.1.f).2.º, 336, DA 2.ª y DA 3.ª. → https://www.boe.es/buscar/act.php?id=BOE-A-2017-12902</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 arts. 121 y 127.1, y disposición adicional octava, letra e). → https://www.boe.es/buscar/act.php?id=BOE-A-1985-5392</w:t>
      </w:r>
    </w:p>
    <w:p>
      <w:pPr>
        <w:pStyle w:val="ListParagraph"/>
        <w:numPr>
          <w:ilvl w:val="0"/>
          <w:numId w:val="1"/>
        </w:numPr>
        <w:spacing w:after="70" w:line="268"/>
      </w:pPr>
      <w:r>
        <w:rPr>
          <w:rFonts w:ascii="Calibri" w:cs="Calibri" w:eastAsia="Calibri" w:hAnsi="Calibri"/>
          <w:sz w:val="21"/>
          <w:szCs w:val="21"/>
        </w:rPr>
        <w:t xml:space="preserve">Ley 40/2015, de 1 de octubre, de Régimen Jurídico del Sector Público — arts. 157 y 158. → https://www.boe.es/buscar/act.php?id=BOE-A-2015-10566</w:t>
      </w:r>
    </w:p>
    <w:p>
      <w:pPr>
        <w:pStyle w:val="ListParagraph"/>
        <w:numPr>
          <w:ilvl w:val="0"/>
          <w:numId w:val="1"/>
        </w:numPr>
        <w:spacing w:after="70" w:line="268"/>
      </w:pPr>
      <w:r>
        <w:rPr>
          <w:rFonts w:ascii="Calibri" w:cs="Calibri" w:eastAsia="Calibri" w:hAnsi="Calibri"/>
          <w:sz w:val="21"/>
          <w:szCs w:val="21"/>
        </w:rPr>
        <w:t xml:space="preserve">Real Decreto 311/2022, de 3 de mayo, por el que se regula el Esquema Nacional de Seguridad — arts. 2.3, 28, 38.1, 40 y 41, y anexo I. → https://www.boe.es/buscar/act.php?id=BOE-A-2022-7191</w:t>
      </w:r>
    </w:p>
    <w:p>
      <w:pPr>
        <w:pStyle w:val="ListParagraph"/>
        <w:numPr>
          <w:ilvl w:val="0"/>
          <w:numId w:val="1"/>
        </w:numPr>
        <w:spacing w:after="70" w:line="268"/>
      </w:pPr>
      <w:r>
        <w:rPr>
          <w:rFonts w:ascii="Calibri" w:cs="Calibri" w:eastAsia="Calibri" w:hAnsi="Calibri"/>
          <w:sz w:val="21"/>
          <w:szCs w:val="21"/>
        </w:rPr>
        <w:t xml:space="preserve">Real Decreto 424/2017, de 28 de abril, por el que se regula el régimen jurídico del control interno en las entidades del Sector Público Local — arts. 12, 13, 15 y 20. → https://www.boe.es/buscar/act.php?id=BOE-A-2017-5192</w:t>
      </w:r>
    </w:p>
    <w:p>
      <w:pPr>
        <w:pStyle w:val="ListParagraph"/>
        <w:numPr>
          <w:ilvl w:val="0"/>
          <w:numId w:val="1"/>
        </w:numPr>
        <w:spacing w:after="70" w:line="268"/>
      </w:pPr>
      <w:r>
        <w:rPr>
          <w:rFonts w:ascii="Calibri" w:cs="Calibri" w:eastAsia="Calibri" w:hAnsi="Calibri"/>
          <w:sz w:val="21"/>
          <w:szCs w:val="21"/>
        </w:rPr>
        <w:t xml:space="preserve">Real Decreto Legislativo 2/2004, de 5 de marzo, texto refundido de la Ley reguladora de las Haciendas Locales — arts. 174, 214, 216.2 y 218.3.</w:t>
      </w:r>
    </w:p>
    <w:p>
      <w:pPr>
        <w:pStyle w:val="ListParagraph"/>
        <w:numPr>
          <w:ilvl w:val="0"/>
          <w:numId w:val="1"/>
        </w:numPr>
        <w:spacing w:after="70" w:line="268"/>
      </w:pPr>
      <w:r>
        <w:rPr>
          <w:rFonts w:ascii="Calibri" w:cs="Calibri" w:eastAsia="Calibri" w:hAnsi="Calibri"/>
          <w:sz w:val="21"/>
          <w:szCs w:val="21"/>
        </w:rPr>
        <w:t xml:space="preserve">Ley Orgánica 2/2012, de 27 de abril, de Estabilidad Presupuestaria y Sostenibilidad Financiera — art. 7.</w:t>
      </w:r>
    </w:p>
    <w:p>
      <w:pPr>
        <w:pStyle w:val="ListParagraph"/>
        <w:numPr>
          <w:ilvl w:val="0"/>
          <w:numId w:val="1"/>
        </w:numPr>
        <w:spacing w:after="70" w:line="268"/>
      </w:pPr>
      <w:r>
        <w:rPr>
          <w:rFonts w:ascii="Calibri" w:cs="Calibri" w:eastAsia="Calibri" w:hAnsi="Calibri"/>
          <w:sz w:val="21"/>
          <w:szCs w:val="21"/>
        </w:rPr>
        <w:t xml:space="preserve">Orden HAC/1517/2025, de 18 de diciembre, por la que se publican los límites de los distintos tipos de contratos a efectos de la contratación del sector público a partir del 1 de enero de 2026 → BOE-A-2025-26605</w:t>
      </w:r>
    </w:p>
    <w:p>
      <w:pPr>
        <w:pStyle w:val="ListParagraph"/>
        <w:numPr>
          <w:ilvl w:val="0"/>
          <w:numId w:val="1"/>
        </w:numPr>
        <w:spacing w:after="70" w:line="268"/>
      </w:pPr>
      <w:r>
        <w:rPr>
          <w:rFonts w:ascii="Calibri" w:cs="Calibri" w:eastAsia="Calibri" w:hAnsi="Calibri"/>
          <w:sz w:val="21"/>
          <w:szCs w:val="21"/>
        </w:rPr>
        <w:t xml:space="preserve">Sentencia del Tribunal Constitucional 68/2021, de 18 de marzo, recurso de inconstitucionalidad n.º 4261-2018, en cuanto declara inconstitucional y nulo el párrafo segundo del art. 46.4 LCSP, declara no conformes con el orden constitucional de competencias determinados incisos del art. 52.3 [FJ 6 E) c)] y declara conforme el art. 58.2 en los términos interpretativos del FJ 6 E) d). Las tres declaraciones constan en las notas a esos artículos del texto consolidado de la Ley 9/2017. → https://www.boe.es/diario_boe/txt.php?id=BOE-A-2021-6614</w:t>
      </w:r>
    </w:p>
    <w:p>
      <w:pPr>
        <w:spacing w:after="140" w:line="276"/>
      </w:pPr>
      <w:r>
        <w:rPr>
          <w:rFonts w:ascii="Calibri" w:cs="Calibri" w:eastAsia="Calibri" w:hAnsi="Calibri"/>
          <w:b/>
          <w:bCs/>
          <w:sz w:val="21"/>
          <w:szCs w:val="21"/>
        </w:rPr>
        <w:t xml:space="preserve">Doctrina:</w:t>
      </w:r>
    </w:p>
    <w:p>
      <w:pPr>
        <w:pStyle w:val="ListParagraph"/>
        <w:numPr>
          <w:ilvl w:val="0"/>
          <w:numId w:val="1"/>
        </w:numPr>
        <w:spacing w:after="70" w:line="268"/>
      </w:pPr>
      <w:r>
        <w:rPr>
          <w:rFonts w:ascii="Calibri" w:cs="Calibri" w:eastAsia="Calibri" w:hAnsi="Calibri"/>
          <w:sz w:val="21"/>
          <w:szCs w:val="21"/>
        </w:rPr>
        <w:t xml:space="preserve">Tribunal Administrativo de Contratación Pública de la Comunidad de Madrid, </w:t>
      </w:r>
      <w:r>
        <w:rPr>
          <w:rFonts w:ascii="Calibri" w:cs="Calibri" w:eastAsia="Calibri" w:hAnsi="Calibri"/>
          <w:b/>
          <w:bCs/>
          <w:sz w:val="21"/>
          <w:szCs w:val="21"/>
        </w:rPr>
        <w:t xml:space="preserve">Resolución n.º 383/2024, de 3 de octubre de 2024, recurso y expediente n.º 383/2024</w:t>
      </w:r>
      <w:r>
        <w:rPr>
          <w:rFonts w:ascii="Calibri" w:cs="Calibri" w:eastAsia="Calibri" w:hAnsi="Calibri"/>
          <w:sz w:val="21"/>
          <w:szCs w:val="21"/>
        </w:rPr>
        <w:t xml:space="preserve"> (Tecnologías Viales Aplicadas TEVA, S.L. c. pliegos del Ayuntamiento de Parla). Estimatoria; la anulación de los pliegos por falta de justificación en la memoria de la exigencia de certificaciones de conformidad con el Esquema Nacional de Seguridad se declara en el fundamento de derecho Quinto. → </w:t>
      </w:r>
      <w:hyperlink w:history="1" r:id="rIdky8gdzvebt6mvuv3q389f">
        <w:r>
          <w:rPr>
            <w:rFonts w:ascii="Calibri" w:cs="Calibri" w:eastAsia="Calibri" w:hAnsi="Calibri"/>
            <w:color w:val="2F5496"/>
            <w:sz w:val="21"/>
            <w:szCs w:val="21"/>
            <w:u w:val="single"/>
          </w:rPr>
          <w:t xml:space="preserve">PDF</w:t>
        </w:r>
      </w:hyperlink>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 · APLICACIÓN PILOTO: EL CONTRATO DE CONTABILIDAD Y PATRIMONIO</w:t>
      </w:r>
    </w:p>
    <w:p>
      <w:pPr>
        <w:pStyle w:val="Heading2"/>
        <w:keepNext/>
        <w:spacing w:after="140" w:before="320"/>
      </w:pPr>
      <w:r>
        <w:rPr>
          <w:rFonts w:ascii="Georgia" w:cs="Georgia" w:eastAsia="Georgia" w:hAnsi="Georgia"/>
          <w:b/>
          <w:bCs/>
          <w:color w:val="1F3864"/>
          <w:sz w:val="26"/>
          <w:szCs w:val="26"/>
        </w:rPr>
        <w:t xml:space="preserve">VI.1 Qué es esta parte y por qué existe</w:t>
      </w:r>
    </w:p>
    <w:p>
      <w:pPr>
        <w:spacing w:after="140" w:line="276"/>
      </w:pPr>
      <w:r>
        <w:rPr>
          <w:rFonts w:ascii="Calibri" w:cs="Calibri" w:eastAsia="Calibri" w:hAnsi="Calibri"/>
          <w:sz w:val="21"/>
          <w:szCs w:val="21"/>
        </w:rPr>
        <w:t xml:space="preserve">El área de contratación del Ayuntamiento formuló, junto a la objeción principal sobre el origen de la necesidad, una petición concreta: </w:t>
      </w:r>
      <w:r>
        <w:rPr>
          <w:rFonts w:ascii="Calibri" w:cs="Calibri" w:eastAsia="Calibri" w:hAnsi="Calibri"/>
          <w:b/>
          <w:bCs/>
          <w:sz w:val="21"/>
          <w:szCs w:val="21"/>
        </w:rPr>
        <w:t xml:space="preserve">ponerlo a funcionar en un contrato municipal a modo de experimento piloto, por resultar demasiado elevado el grado de abstracción del documento</w:t>
      </w:r>
      <w:r>
        <w:rPr>
          <w:rFonts w:ascii="Calibri" w:cs="Calibri" w:eastAsia="Calibri" w:hAnsi="Calibri"/>
          <w:sz w:val="21"/>
          <w:szCs w:val="21"/>
        </w:rPr>
        <w:t xml:space="preserve">. La petición consta en un comentario interno del área de contratación, sin firma ni fecha de registro, que se reproduce íntegro y con identificación de su naturaleza en la Parte IV, M1.5, único lugar del documento donde se cita completo. Todo uso de ese comentario, aquí y en el resto del documento, se hace por remisión a esa cita.</w:t>
      </w:r>
    </w:p>
    <w:p>
      <w:pPr>
        <w:spacing w:after="140" w:line="276"/>
      </w:pPr>
      <w:r>
        <w:rPr>
          <w:rFonts w:ascii="Calibri" w:cs="Calibri" w:eastAsia="Calibri" w:hAnsi="Calibri"/>
          <w:sz w:val="21"/>
          <w:szCs w:val="21"/>
        </w:rPr>
        <w:t xml:space="preserve">Esta parte es la respuesta. No describe cómo se aplicaría el catálogo: lo aplica a un expediente real, con las casillas marcadas, las cláusulas descartadas con su motivo, la categoría de seguridad razonada, el baremo completo —con el precio dentro— y la lista de documentos que el expediente debe contener. Y termina con lo que ningún documento de este tipo suele incluir: la tabla de lo que hay que rectificar en unos pliegos que ya están escritos.</w:t>
      </w:r>
    </w:p>
    <w:p>
      <w:pPr>
        <w:spacing w:after="140" w:line="276"/>
      </w:pPr>
      <w:r>
        <w:rPr>
          <w:rFonts w:ascii="Calibri" w:cs="Calibri" w:eastAsia="Calibri" w:hAnsi="Calibri"/>
          <w:sz w:val="21"/>
          <w:szCs w:val="21"/>
        </w:rPr>
        <w:t xml:space="preserve">Regla de lectura para otra administración que reutilice el documento (R-5): lo que sigue es un caso, no una plantilla. Lo reutilizable es </w:t>
      </w:r>
      <w:r>
        <w:rPr>
          <w:rFonts w:ascii="Calibri" w:cs="Calibri" w:eastAsia="Calibri" w:hAnsi="Calibri"/>
          <w:b/>
          <w:bCs/>
          <w:sz w:val="21"/>
          <w:szCs w:val="21"/>
        </w:rPr>
        <w:t xml:space="preserve">el orden de las decisiones</w:t>
      </w:r>
      <w:r>
        <w:rPr>
          <w:rFonts w:ascii="Calibri" w:cs="Calibri" w:eastAsia="Calibri" w:hAnsi="Calibri"/>
          <w:sz w:val="21"/>
          <w:szCs w:val="21"/>
        </w:rPr>
        <w:t xml:space="preserve"> —origen de la necesidad, aplicabilidad, categoría de seguridad, instrumento, baremo, valor estimado, documentos—, no las conclusiones concretas de este contrato, que dependen de sus datos.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VI.2 Estado real del expediente a la fecha de corte (01/09/2026) y regla de tramitación</w:t>
      </w:r>
    </w:p>
    <w:p>
      <w:pPr>
        <w:spacing w:after="140" w:line="276"/>
      </w:pPr>
      <w:r>
        <w:rPr>
          <w:rFonts w:ascii="Calibri" w:cs="Calibri" w:eastAsia="Calibri" w:hAnsi="Calibri"/>
          <w:sz w:val="21"/>
          <w:szCs w:val="21"/>
        </w:rPr>
        <w:t xml:space="preserve">Hecho que condiciona todo lo demás: </w:t>
      </w:r>
      <w:r>
        <w:rPr>
          <w:rFonts w:ascii="Calibri" w:cs="Calibri" w:eastAsia="Calibri" w:hAnsi="Calibri"/>
          <w:b/>
          <w:bCs/>
          <w:sz w:val="21"/>
          <w:szCs w:val="21"/>
        </w:rPr>
        <w:t xml:space="preserve">las cláusulas de inteligencia artificial del PPT y del PCAP de este contrato se redactaron el 24 de agosto de 2026 con el texto de la versión 2</w:t>
      </w:r>
      <w:r>
        <w:rPr>
          <w:rFonts w:ascii="Calibri" w:cs="Calibri" w:eastAsia="Calibri" w:hAnsi="Calibri"/>
          <w:sz w:val="21"/>
          <w:szCs w:val="21"/>
        </w:rPr>
        <w:t xml:space="preserve">, es decir, con los defectos que la versión 3 corrige. Así consta en la documentación de preparación del proyecto.</w:t>
      </w:r>
    </w:p>
    <w:p>
      <w:pPr>
        <w:spacing w:after="140" w:line="276"/>
      </w:pPr>
      <w:r>
        <w:rPr>
          <w:rFonts w:ascii="Calibri" w:cs="Calibri" w:eastAsia="Calibri" w:hAnsi="Calibri"/>
          <w:b/>
          <w:bCs/>
          <w:sz w:val="21"/>
          <w:szCs w:val="21"/>
        </w:rPr>
        <w:t xml:space="preserve">Identificación del expediente.</w:t>
      </w:r>
      <w:r>
        <w:rPr>
          <w:rFonts w:ascii="Calibri" w:cs="Calibri" w:eastAsia="Calibri" w:hAnsi="Calibri"/>
          <w:sz w:val="21"/>
          <w:szCs w:val="21"/>
        </w:rPr>
        <w:t xml:space="preserve"> A la fecha de corte, el expediente </w:t>
      </w:r>
      <w:r>
        <w:rPr>
          <w:rFonts w:ascii="Calibri" w:cs="Calibri" w:eastAsia="Calibri" w:hAnsi="Calibri"/>
          <w:b/>
          <w:bCs/>
          <w:sz w:val="21"/>
          <w:szCs w:val="21"/>
        </w:rPr>
        <w:t xml:space="preserve">no ha sido publicado en el perfil de contratante</w:t>
      </w:r>
      <w:r>
        <w:rPr>
          <w:rFonts w:ascii="Calibri" w:cs="Calibri" w:eastAsia="Calibri" w:hAnsi="Calibri"/>
          <w:sz w:val="21"/>
          <w:szCs w:val="21"/>
        </w:rPr>
        <w:t xml:space="preserve"> y sus datos identificativos no son información pública. Este apartado se completará con el número de expediente, el objeto formal, el valor estimado real y la situación procedimental en el momento de su publicación, y </w:t>
      </w:r>
      <w:r>
        <w:rPr>
          <w:rFonts w:ascii="Calibri" w:cs="Calibri" w:eastAsia="Calibri" w:hAnsi="Calibri"/>
          <w:b/>
          <w:bCs/>
          <w:sz w:val="21"/>
          <w:szCs w:val="21"/>
        </w:rPr>
        <w:t xml:space="preserve">hasta entonces toda la Parte VI debe leerse como caso trabajado sobre datos hipotéticos</w:t>
      </w:r>
      <w:r>
        <w:rPr>
          <w:rFonts w:ascii="Calibri" w:cs="Calibri" w:eastAsia="Calibri" w:hAnsi="Calibri"/>
          <w:sz w:val="21"/>
          <w:szCs w:val="21"/>
        </w:rPr>
        <w:t xml:space="preserve">, no como la reproducción de un expediente en curso.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01/09/2026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publicación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Objeto formal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publicación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real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publicación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Situación procedimental (A, B o C de la tabla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consignar</w:t>
            </w:r>
          </w:p>
        </w:tc>
      </w:tr>
    </w:tbl>
    <w:p>
      <w:pPr>
        <w:spacing w:after="200"/>
      </w:pPr>
    </w:p>
    <w:p>
      <w:pPr>
        <w:spacing w:after="140" w:line="276"/>
      </w:pPr>
      <w:r>
        <w:rPr>
          <w:rFonts w:ascii="Calibri" w:cs="Calibri" w:eastAsia="Calibri" w:hAnsi="Calibri"/>
          <w:sz w:val="21"/>
          <w:szCs w:val="21"/>
        </w:rPr>
        <w:t xml:space="preserve">Antes de continuar, el órgano de contratación debe consignar en el expediente en cuál de estas tres situaciones se encuentra, porque de ella depende el cauce de la corrección: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es la revisión de VI.6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r>
              <w:rPr>
                <w:rFonts w:ascii="Calibri" w:cs="Calibri" w:eastAsia="Calibri" w:hAnsi="Calibri"/>
                <w:b w:val="false"/>
                <w:bCs w:val="false"/>
                <w:sz w:val="18"/>
                <w:szCs w:val="18"/>
              </w:rPr>
              <w:t xml:space="preserve"> Borrador de pliegos no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Corrección ordinaria del borrador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incorporan los cambios y se aprueba el expediente con el texto corregido. Sin trámite adicional.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r>
              <w:rPr>
                <w:rFonts w:ascii="Calibri" w:cs="Calibri" w:eastAsia="Calibri" w:hAnsi="Calibri"/>
                <w:b w:val="false"/>
                <w:bCs w:val="false"/>
                <w:sz w:val="18"/>
                <w:szCs w:val="18"/>
              </w:rPr>
              <w:t xml:space="preserve"> Expediente aprobado, licitación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anunciada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Rectificación previa a licitar</w:t>
            </w:r>
            <w:r>
              <w:rPr>
                <w:rFonts w:ascii="Calibri" w:cs="Calibri" w:eastAsia="Calibri" w:hAnsi="Calibri"/>
                <w:b w:val="false"/>
                <w:bCs w:val="false"/>
                <w:sz w:val="18"/>
                <w:szCs w:val="18"/>
              </w:rPr>
              <w:t xml:space="preserve">, no un retoque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acuerdo del órgano de contratación que apruebe los pliegos rectificados, con informe jurídico previo, antes de publicar el anuncio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w:t>
            </w:r>
            <w:r>
              <w:rPr>
                <w:rFonts w:ascii="Calibri" w:cs="Calibri" w:eastAsia="Calibri" w:hAnsi="Calibri"/>
                <w:b w:val="false"/>
                <w:bCs w:val="false"/>
                <w:sz w:val="18"/>
                <w:szCs w:val="18"/>
              </w:rPr>
              <w:t xml:space="preserve"> Licitación anunciada o en plazo de presentación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«corregir» los pliegos publicados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publicados son </w:t>
            </w:r>
            <w:r>
              <w:rPr>
                <w:rFonts w:ascii="Calibri" w:cs="Calibri" w:eastAsia="Calibri" w:hAnsi="Calibri"/>
                <w:b w:val="false"/>
                <w:bCs w:val="false"/>
                <w:i/>
                <w:iCs/>
                <w:sz w:val="18"/>
                <w:szCs w:val="18"/>
              </w:rPr>
              <w:t xml:space="preserve">lex contractus</w:t>
            </w:r>
            <w:r>
              <w:rPr>
                <w:rFonts w:ascii="Calibri" w:cs="Calibri" w:eastAsia="Calibri" w:hAnsi="Calibri"/>
                <w:b w:val="false"/>
                <w:bCs w:val="false"/>
                <w:sz w:val="18"/>
                <w:szCs w:val="18"/>
              </w:rPr>
              <w:t xml:space="preserve">. La corrección exige la nueva aprobación y publicación con reapertura íntegra del plazo o, si el defecto es no subsanable, el desistimiento del procedimiento (art. 152.4 LCSP). En ambos casos, decisión del órgano de contratación previo informe del órgano al que corresponda el informe jurídico preceptivo</w:t>
            </w:r>
          </w:p>
        </w:tc>
      </w:tr>
    </w:tbl>
    <w:p>
      <w:pPr>
        <w:spacing w:after="200"/>
      </w:pPr>
    </w:p>
    <w:p>
      <w:pPr>
        <w:spacing w:after="140" w:line="276"/>
      </w:pPr>
      <w:r>
        <w:rPr>
          <w:rFonts w:ascii="Calibri" w:cs="Calibri" w:eastAsia="Calibri" w:hAnsi="Calibri"/>
          <w:sz w:val="21"/>
          <w:szCs w:val="21"/>
        </w:rPr>
        <w:t xml:space="preserve">Advertencia expresa, porque es la que se olvida: en las situaciones B y C </w:t>
      </w:r>
      <w:r>
        <w:rPr>
          <w:rFonts w:ascii="Calibri" w:cs="Calibri" w:eastAsia="Calibri" w:hAnsi="Calibri"/>
          <w:b/>
          <w:bCs/>
          <w:sz w:val="21"/>
          <w:szCs w:val="21"/>
        </w:rPr>
        <w:t xml:space="preserve">esto no es un ajuste de redacción</w:t>
      </w:r>
      <w:r>
        <w:rPr>
          <w:rFonts w:ascii="Calibri" w:cs="Calibri" w:eastAsia="Calibri" w:hAnsi="Calibri"/>
          <w:sz w:val="21"/>
          <w:szCs w:val="21"/>
        </w:rPr>
        <w:t xml:space="preserve">. Es la rectificación de un pliego que ya ha pasado por el circuito de aprobación, y por eso vuelve a pasar entero por él. Un pliego rectificado por vía de fe de erratas es un pliego rectificado por el cauce equivocado.</w:t>
      </w:r>
    </w:p>
    <w:p>
      <w:pPr>
        <w:spacing w:after="140" w:line="276"/>
      </w:pPr>
      <w:r>
        <w:rPr>
          <w:rFonts w:ascii="Calibri" w:cs="Calibri" w:eastAsia="Calibri" w:hAnsi="Calibri"/>
          <w:sz w:val="21"/>
          <w:szCs w:val="21"/>
        </w:rPr>
        <w:t xml:space="preserve">Segunda advertencia, sobre el origen material del borrador: consta en la preparación del expediente que el pliego se elaboró tomando como referencia el de otro ayuntamiento que tiene implantada una solución determinada. Si eso se confirma, obliga a un barrido específico antes de aprobar: </w:t>
      </w:r>
      <w:r>
        <w:rPr>
          <w:rFonts w:ascii="Calibri" w:cs="Calibri" w:eastAsia="Calibri" w:hAnsi="Calibri"/>
          <w:b/>
          <w:bCs/>
          <w:sz w:val="21"/>
          <w:szCs w:val="21"/>
        </w:rPr>
        <w:t xml:space="preserve">un pliego heredado de un municipio con un producto ya implantado tiende a describir ese producto</w:t>
      </w:r>
      <w:r>
        <w:rPr>
          <w:rFonts w:ascii="Calibri" w:cs="Calibri" w:eastAsia="Calibri" w:hAnsi="Calibri"/>
          <w:sz w:val="21"/>
          <w:szCs w:val="21"/>
        </w:rPr>
        <w:t xml:space="preserve">, y esa descripción sobrevive a la traducción a «requisitos funcionales». El barrido consiste en localizar toda especificación que sólo pueda cumplir un fabricante concreto y reescribirla en términos de función, con la admisión de equivalentes y la prueba en la oferta (DT-0·v3).</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VI.3 Por qué este contrato es el piloto adecuado</w:t>
      </w:r>
    </w:p>
    <w:p>
      <w:pPr>
        <w:spacing w:after="140" w:line="276"/>
      </w:pPr>
      <w:r>
        <w:rPr>
          <w:rFonts w:ascii="Calibri" w:cs="Calibri" w:eastAsia="Calibri" w:hAnsi="Calibri"/>
          <w:sz w:val="21"/>
          <w:szCs w:val="21"/>
        </w:rPr>
        <w:t xml:space="preserve">Cuatro razones, y ninguna es que sea el contrato más grande:</w:t>
      </w:r>
    </w:p>
    <w:p>
      <w:pPr>
        <w:pStyle w:val="ListParagraph"/>
        <w:numPr>
          <w:ilvl w:val="0"/>
          <w:numId w:val="2"/>
        </w:numPr>
        <w:spacing w:after="70" w:line="268"/>
      </w:pPr>
      <w:r>
        <w:rPr>
          <w:rFonts w:ascii="Calibri" w:cs="Calibri" w:eastAsia="Calibri" w:hAnsi="Calibri"/>
          <w:b/>
          <w:bCs/>
          <w:sz w:val="21"/>
          <w:szCs w:val="21"/>
        </w:rPr>
        <w:t xml:space="preserve">La primera cláusula que se aplica es la del objetor.</w:t>
      </w:r>
      <w:r>
        <w:rPr>
          <w:rFonts w:ascii="Calibri" w:cs="Calibri" w:eastAsia="Calibri" w:hAnsi="Calibri"/>
          <w:sz w:val="21"/>
          <w:szCs w:val="21"/>
        </w:rPr>
        <w:t xml:space="preserve"> La necesidad de acceso de los órganos de control a los datos de ejecución (ADM-12·v3) es la única necesidad de todo este proyecto declarada por escrito por un órgano municipal, y la contabilidad y el patrimonio son exactamente la materia sobre la que ese órgano ejerce sus funciones de control (art. 214 TRLRHL; arts. 4.3, 6.3, 6.7, 20 y 30 del RD 424/2017). El piloto empieza dando, no pidiendo.</w:t>
      </w:r>
    </w:p>
    <w:p>
      <w:pPr>
        <w:pStyle w:val="ListParagraph"/>
        <w:numPr>
          <w:ilvl w:val="0"/>
          <w:numId w:val="2"/>
        </w:numPr>
        <w:spacing w:after="70" w:line="268"/>
      </w:pPr>
      <w:r>
        <w:rPr>
          <w:rFonts w:ascii="Calibri" w:cs="Calibri" w:eastAsia="Calibri" w:hAnsi="Calibri"/>
          <w:b/>
          <w:bCs/>
          <w:sz w:val="21"/>
          <w:szCs w:val="21"/>
        </w:rPr>
        <w:t xml:space="preserve">Es un contrato con dato estructurado y verificable.</w:t>
      </w:r>
      <w:r>
        <w:rPr>
          <w:rFonts w:ascii="Calibri" w:cs="Calibri" w:eastAsia="Calibri" w:hAnsi="Calibri"/>
          <w:sz w:val="21"/>
          <w:szCs w:val="21"/>
        </w:rPr>
        <w:t xml:space="preserve"> Todo lo que el catálogo exige —interfaz de consulta, registro de auditoría, exportación en formato abierto, diccionario de datos— se comprueba aquí con una prueba de aceptación, no con una opinión.</w:t>
      </w:r>
    </w:p>
    <w:p>
      <w:pPr>
        <w:pStyle w:val="ListParagraph"/>
        <w:numPr>
          <w:ilvl w:val="0"/>
          <w:numId w:val="2"/>
        </w:numPr>
        <w:spacing w:after="70" w:line="268"/>
      </w:pPr>
      <w:r>
        <w:rPr>
          <w:rFonts w:ascii="Calibri" w:cs="Calibri" w:eastAsia="Calibri" w:hAnsi="Calibri"/>
          <w:b/>
          <w:bCs/>
          <w:sz w:val="21"/>
          <w:szCs w:val="21"/>
        </w:rPr>
        <w:t xml:space="preserve">Tiene gestor identificado y usuario natural del dato distinto del gestor.</w:t>
      </w:r>
      <w:r>
        <w:rPr>
          <w:rFonts w:ascii="Calibri" w:cs="Calibri" w:eastAsia="Calibri" w:hAnsi="Calibri"/>
          <w:sz w:val="21"/>
          <w:szCs w:val="21"/>
        </w:rPr>
        <w:t xml:space="preserve"> Es el caso que obliga a usar las dos vías de firma de la ficha de aplicabilidad (Anexo II) y, por tanto, el que prueba si el circuito funciona.</w:t>
      </w:r>
    </w:p>
    <w:p>
      <w:pPr>
        <w:pStyle w:val="ListParagraph"/>
        <w:numPr>
          <w:ilvl w:val="0"/>
          <w:numId w:val="2"/>
        </w:numPr>
        <w:spacing w:after="70" w:line="268"/>
      </w:pPr>
      <w:r>
        <w:rPr>
          <w:rFonts w:ascii="Calibri" w:cs="Calibri" w:eastAsia="Calibri" w:hAnsi="Calibri"/>
          <w:b/>
          <w:bCs/>
          <w:sz w:val="21"/>
          <w:szCs w:val="21"/>
        </w:rPr>
        <w:t xml:space="preserve">Ya está escrito con la versión anterior.</w:t>
      </w:r>
      <w:r>
        <w:rPr>
          <w:rFonts w:ascii="Calibri" w:cs="Calibri" w:eastAsia="Calibri" w:hAnsi="Calibri"/>
          <w:sz w:val="21"/>
          <w:szCs w:val="21"/>
        </w:rPr>
        <w:t xml:space="preserve"> Es un piloto y a la vez un caso de rectificación: enseña las dos cosas que hay que saber hacer.</w:t>
      </w:r>
    </w:p>
    <w:p>
      <w:pPr>
        <w:spacing w:after="140" w:line="276"/>
      </w:pPr>
      <w:r>
        <w:rPr>
          <w:rFonts w:ascii="Calibri" w:cs="Calibri" w:eastAsia="Calibri" w:hAnsi="Calibri"/>
          <w:sz w:val="21"/>
          <w:szCs w:val="21"/>
        </w:rPr>
        <w:t xml:space="preserve">Lo que el piloto </w:t>
      </w:r>
      <w:r>
        <w:rPr>
          <w:rFonts w:ascii="Calibri" w:cs="Calibri" w:eastAsia="Calibri" w:hAnsi="Calibri"/>
          <w:b/>
          <w:bCs/>
          <w:sz w:val="21"/>
          <w:szCs w:val="21"/>
        </w:rPr>
        <w:t xml:space="preserve">no</w:t>
      </w:r>
      <w:r>
        <w:rPr>
          <w:rFonts w:ascii="Calibri" w:cs="Calibri" w:eastAsia="Calibri" w:hAnsi="Calibri"/>
          <w:sz w:val="21"/>
          <w:szCs w:val="21"/>
        </w:rPr>
        <w:t xml:space="preserve"> demuestra: no demuestra que el catálogo funcione en contratos menores, en contratos basados en acuerdo marco o en adhesiones a centrales de compra, ni en prórrogas de contratos vivos. Para esos tres supuestos rigen las reglas específicas de la Parte I y no hay experiencia todavía.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VI.4 El caso resuelto</w:t>
      </w:r>
    </w:p>
    <w:p>
      <w:pPr>
        <w:pStyle w:val="Heading3"/>
        <w:keepNext/>
        <w:spacing w:after="140" w:before="320"/>
      </w:pPr>
      <w:r>
        <w:rPr>
          <w:rFonts w:ascii="Georgia" w:cs="Georgia" w:eastAsia="Georgia" w:hAnsi="Georgia"/>
          <w:b/>
          <w:bCs/>
          <w:color w:val="2F5496"/>
          <w:sz w:val="22"/>
          <w:szCs w:val="22"/>
        </w:rPr>
        <w:t xml:space="preserve">VI.4.1 Objeto y calificación del contrato</w:t>
      </w:r>
    </w:p>
    <w:p>
      <w:pPr>
        <w:spacing w:after="140" w:line="276"/>
      </w:pPr>
      <w:r>
        <w:rPr>
          <w:rFonts w:ascii="Calibri" w:cs="Calibri" w:eastAsia="Calibri" w:hAnsi="Calibri"/>
          <w:sz w:val="21"/>
          <w:szCs w:val="21"/>
        </w:rPr>
        <w:t xml:space="preserve">Antes de aplicar ninguna cláusula hay que decidir qué contrato es, porque de la calificación dependen tres cosas del catálogo: la titularidad de la propiedad intelectual (ADM-8·v3), la posibilidad de usar la bolsa de servicios evolutivos (ADM-3·v3, bloque 2) y el régimen de criterios cualitativos (art. 145.4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 de la prestación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Calificación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Consecuencia en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o suscripción de una solución estándar de contabilidad y patrimonio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ampara exigencias de titularidad sobre el producto base: el art. 308.1 LCSP opera en el contrato de servicios. Sí opera la licencia mínima supletoria y la delimitación del código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Implantación, parametrización, migración de datos y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Aquí sí nace la titularidad municipal sobre desarrollos específicos, configuraciones, parametrizaciones y bases de conocimiento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Soporte y mantenimiento correctivo, adaptativo y evolutivo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de mantenimiento de aplicaciones informáticas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único supuesto en que cabe la bolsa de servicios evolutivos del art. 308.3 LCSP</w:t>
            </w:r>
          </w:p>
        </w:tc>
      </w:tr>
    </w:tbl>
    <w:p>
      <w:pPr>
        <w:spacing w:after="200"/>
      </w:pPr>
    </w:p>
    <w:p>
      <w:pPr>
        <w:spacing w:after="140" w:line="276"/>
      </w:pPr>
      <w:r>
        <w:rPr>
          <w:rFonts w:ascii="Calibri" w:cs="Calibri" w:eastAsia="Calibri" w:hAnsi="Calibri"/>
          <w:b/>
          <w:bCs/>
          <w:sz w:val="21"/>
          <w:szCs w:val="21"/>
        </w:rPr>
        <w:t xml:space="preserve">Decisión que debe adoptar el expediente:</w:t>
      </w:r>
      <w:r>
        <w:rPr>
          <w:rFonts w:ascii="Calibri" w:cs="Calibri" w:eastAsia="Calibri" w:hAnsi="Calibri"/>
          <w:sz w:val="21"/>
          <w:szCs w:val="21"/>
        </w:rPr>
        <w:t xml:space="preserve"> si el contrato es mixto, se determina la prestación principal y se motiva. Recomendación para este perfil: </w:t>
      </w:r>
      <w:r>
        <w:rPr>
          <w:rFonts w:ascii="Calibri" w:cs="Calibri" w:eastAsia="Calibri" w:hAnsi="Calibri"/>
          <w:b/>
          <w:bCs/>
          <w:sz w:val="21"/>
          <w:szCs w:val="21"/>
        </w:rPr>
        <w:t xml:space="preserve">contrato de servicios</w:t>
      </w:r>
      <w:r>
        <w:rPr>
          <w:rFonts w:ascii="Calibri" w:cs="Calibri" w:eastAsia="Calibri" w:hAnsi="Calibri"/>
          <w:sz w:val="21"/>
          <w:szCs w:val="21"/>
        </w:rPr>
        <w:t xml:space="preserve"> con suministro accesorio de licencias o suscripción, motivado en que el valor y la finalidad determinantes están en la implantación y el mantenimiento evolutivo, no en la licencia.</w:t>
      </w:r>
    </w:p>
    <w:p>
      <w:pPr>
        <w:spacing w:after="140" w:line="276"/>
      </w:pPr>
      <w:r>
        <w:rPr>
          <w:rFonts w:ascii="Calibri" w:cs="Calibri" w:eastAsia="Calibri" w:hAnsi="Calibri"/>
          <w:b/>
          <w:bCs/>
          <w:sz w:val="21"/>
          <w:szCs w:val="21"/>
        </w:rPr>
        <w:t xml:space="preserve">Segunda decisión:</w:t>
      </w:r>
      <w:r>
        <w:rPr>
          <w:rFonts w:ascii="Calibri" w:cs="Calibri" w:eastAsia="Calibri" w:hAnsi="Calibri"/>
          <w:sz w:val="21"/>
          <w:szCs w:val="21"/>
        </w:rPr>
        <w:t xml:space="preserve"> si el órgano de contratación motiva que la prestación tiene </w:t>
      </w:r>
      <w:r>
        <w:rPr>
          <w:rFonts w:ascii="Calibri" w:cs="Calibri" w:eastAsia="Calibri" w:hAnsi="Calibri"/>
          <w:b/>
          <w:bCs/>
          <w:sz w:val="21"/>
          <w:szCs w:val="21"/>
        </w:rPr>
        <w:t xml:space="preserve">carácter intelectual</w:t>
      </w:r>
      <w:r>
        <w:rPr>
          <w:rFonts w:ascii="Calibri" w:cs="Calibri" w:eastAsia="Calibri" w:hAnsi="Calibri"/>
          <w:sz w:val="21"/>
          <w:szCs w:val="21"/>
        </w:rPr>
        <w:t xml:space="preserve">, los criterios cualitativos deben representar al menos el 51 % de la puntuación (art. 145.4 LCSP) y queda excluido el procedimiento abreviado del art. 159.6. Esa motivación es una decisión del expediente, no un automatismo; el baremo de VI.4.6 cumple el 51 % en cualquiera de las dos hipótesis, precisamente para no depender de ella.</w:t>
      </w:r>
    </w:p>
    <w:p>
      <w:pPr>
        <w:pStyle w:val="Heading3"/>
        <w:keepNext/>
        <w:spacing w:after="140" w:before="320"/>
      </w:pPr>
      <w:r>
        <w:rPr>
          <w:rFonts w:ascii="Georgia" w:cs="Georgia" w:eastAsia="Georgia" w:hAnsi="Georgia"/>
          <w:b/>
          <w:bCs/>
          <w:color w:val="2F5496"/>
          <w:sz w:val="22"/>
          <w:szCs w:val="22"/>
        </w:rPr>
        <w:t xml:space="preserve">VI.4.2 Las necesidades del contrato y su origen</w:t>
      </w:r>
    </w:p>
    <w:p>
      <w:pPr>
        <w:spacing w:after="140" w:line="276"/>
      </w:pPr>
      <w:r>
        <w:rPr>
          <w:rFonts w:ascii="Calibri" w:cs="Calibri" w:eastAsia="Calibri" w:hAnsi="Calibri"/>
          <w:sz w:val="21"/>
          <w:szCs w:val="21"/>
        </w:rPr>
        <w:t xml:space="preserve">El catálogo distingue tres orígenes de necesidad. La distinción no es doctrinal: determina </w:t>
      </w:r>
      <w:r>
        <w:rPr>
          <w:rFonts w:ascii="Calibri" w:cs="Calibri" w:eastAsia="Calibri" w:hAnsi="Calibri"/>
          <w:b/>
          <w:bCs/>
          <w:sz w:val="21"/>
          <w:szCs w:val="21"/>
        </w:rPr>
        <w:t xml:space="preserve">quién firma</w:t>
      </w:r>
      <w:r>
        <w:rPr>
          <w:rFonts w:ascii="Calibri" w:cs="Calibri" w:eastAsia="Calibri" w:hAnsi="Calibri"/>
          <w:sz w:val="21"/>
          <w:szCs w:val="21"/>
        </w:rPr>
        <w:t xml:space="preserve"> la ficha del Anexo II y </w:t>
      </w:r>
      <w:r>
        <w:rPr>
          <w:rFonts w:ascii="Calibri" w:cs="Calibri" w:eastAsia="Calibri" w:hAnsi="Calibri"/>
          <w:b/>
          <w:bCs/>
          <w:sz w:val="21"/>
          <w:szCs w:val="21"/>
        </w:rPr>
        <w:t xml:space="preserve">qué documento</w:t>
      </w:r>
      <w:r>
        <w:rPr>
          <w:rFonts w:ascii="Calibri" w:cs="Calibri" w:eastAsia="Calibri" w:hAnsi="Calibri"/>
          <w:sz w:val="21"/>
          <w:szCs w:val="21"/>
        </w:rPr>
        <w:t xml:space="preserve"> la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Definición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acredita y con qué</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 —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norma en vigor impone al Ayuntamiento un deber que no puede cumplir sin la colaboración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por razón de la materia (informática y seguridad, Intervención, delegado de protección de datos, órgano del informe jurídico preceptivo), con cita del precepto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necesita la prestación para prestar su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 del gestor del contrato en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lo impone ninguna norma ni lo ha pedido el gestor: deriva de un plan o política municipal aprobados por 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del órgano de gobierno (modelo en el Anexo VIII), más informe del servicio promotor sobre su aplicación a este contrato</w:t>
            </w:r>
          </w:p>
        </w:tc>
      </w:tr>
    </w:tbl>
    <w:p>
      <w:pPr>
        <w:spacing w:after="200"/>
      </w:pPr>
    </w:p>
    <w:p>
      <w:pPr>
        <w:spacing w:after="140" w:line="276"/>
      </w:pPr>
      <w:r>
        <w:rPr>
          <w:rFonts w:ascii="Calibri" w:cs="Calibri" w:eastAsia="Calibri" w:hAnsi="Calibri"/>
          <w:b/>
          <w:bCs/>
          <w:sz w:val="21"/>
          <w:szCs w:val="21"/>
        </w:rPr>
        <w:t xml:space="preserve">Regla de cierre (Anexo II):</w:t>
      </w:r>
      <w:r>
        <w:rPr>
          <w:rFonts w:ascii="Calibri" w:cs="Calibri" w:eastAsia="Calibri" w:hAnsi="Calibri"/>
          <w:sz w:val="21"/>
          <w:szCs w:val="21"/>
        </w:rPr>
        <w:t xml:space="preserve"> la exigencia que no tenga origen marcado y firmado </w:t>
      </w:r>
      <w:r>
        <w:rPr>
          <w:rFonts w:ascii="Calibri" w:cs="Calibri" w:eastAsia="Calibri" w:hAnsi="Calibri"/>
          <w:b/>
          <w:bCs/>
          <w:sz w:val="21"/>
          <w:szCs w:val="21"/>
        </w:rPr>
        <w:t xml:space="preserve">va a NO APLICA</w:t>
      </w:r>
      <w:r>
        <w:rPr>
          <w:rFonts w:ascii="Calibri" w:cs="Calibri" w:eastAsia="Calibri" w:hAnsi="Calibri"/>
          <w:sz w:val="21"/>
          <w:szCs w:val="21"/>
        </w:rPr>
        <w:t xml:space="preserve">. No hay cuarta casilla.</w:t>
      </w:r>
    </w:p>
    <w:p>
      <w:pPr>
        <w:spacing w:after="140" w:line="276"/>
      </w:pPr>
      <w:r>
        <w:rPr>
          <w:rFonts w:ascii="Calibri" w:cs="Calibri" w:eastAsia="Calibri" w:hAnsi="Calibri"/>
          <w:sz w:val="21"/>
          <w:szCs w:val="21"/>
        </w:rPr>
        <w:t xml:space="preserve">Necesidades identificadas en este contrato: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la satisface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Llevanza de la contabilidad municipal y del inventario de bienes y derechos conforme a la normativa presupuestaria y contable local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del servicio gestor y del órgano contable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Prescripciones funcionales del PPT (fuera de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del sistema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RD 311/2022: los pliegos «contemplarán todos aquellos requisitos necesarios para asegurar la conformidad con el ENS», cautela que se extiende a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con los servicios comunes de obligada utilización y con el resto de sistemas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(ENI)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Tratamiento de datos personales por cuenta del Ayuntamiento (terceros, proveedores,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arts. 122.2 y 202.1 párr. 3.º LCSP cuando concurren sus supuestos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 cláusulas de protección de datos del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Explotación de los datos de ejecución por los órganos de control interno en el mismo alcance funcional que 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y arts. 4.3, 6.3, 6.7, 20 y 30 RD 424/2017; DA 3.ª.3 LCSP. </w:t>
            </w:r>
            <w:r>
              <w:rPr>
                <w:rFonts w:ascii="Calibri" w:cs="Calibri" w:eastAsia="Calibri" w:hAnsi="Calibri"/>
                <w:b/>
                <w:bCs/>
                <w:sz w:val="18"/>
                <w:szCs w:val="18"/>
              </w:rPr>
              <w:t xml:space="preserve">Necesidad declarada por escrito por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Recuperación ordenada del servicio y de los datos al término del contrato, sin dependencia injustificada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 para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del servicio ante cese o incumplimiento grave del proveedor sobre un sistema que sostiene la función contable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Análisis de riesgos del expediente; medida de medios alternativos del Anexo II del RD 311/2022 para servicios contratados a terceros, invocada 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municipal de los desarrollos específicos, la lógica de negocio y los datos, con licencia suficiente para cederlos a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 arts. 157 y 158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solución pueda ser operada, consultada y auditada por agentes y asistentes de IA bajo control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Ninguna norma lo impone y el gestor no lo ha pedido.</w:t>
            </w:r>
            <w:r>
              <w:rPr>
                <w:rFonts w:ascii="Calibri" w:cs="Calibri" w:eastAsia="Calibri" w:hAnsi="Calibri"/>
                <w:b w:val="false"/>
                <w:bCs w:val="false"/>
                <w:sz w:val="18"/>
                <w:szCs w:val="18"/>
              </w:rPr>
              <w:t xml:space="preserve"> Sólo puede fundarse en el acuerdo del órgano de gobierno que apruebe el plan y el catálogo anual (Anexo 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 (ET-1, ET-2, ET-3)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y deber de confidencialidad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determinada de la solución durante la vigencia, valorable por el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 necesidad del servicio de no quedar con una versión congelada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sobre el Anexo V</w:t>
            </w:r>
          </w:p>
        </w:tc>
      </w:tr>
    </w:tbl>
    <w:p>
      <w:pPr>
        <w:spacing w:after="200"/>
      </w:pPr>
    </w:p>
    <w:p>
      <w:pPr>
        <w:spacing w:after="140" w:line="276"/>
      </w:pPr>
      <w:r>
        <w:rPr>
          <w:rFonts w:ascii="Calibri" w:cs="Calibri" w:eastAsia="Calibri" w:hAnsi="Calibri"/>
          <w:b/>
          <w:bCs/>
          <w:sz w:val="21"/>
          <w:szCs w:val="21"/>
        </w:rPr>
        <w:t xml:space="preserve">Lo que hay que decir en voz alta sobre la fila 9</w:t>
      </w:r>
      <w:r>
        <w:rPr>
          <w:rFonts w:ascii="Calibri" w:cs="Calibri" w:eastAsia="Calibri" w:hAnsi="Calibri"/>
          <w:sz w:val="21"/>
          <w:szCs w:val="21"/>
        </w:rPr>
        <w:t xml:space="preserve">, porque es el punto que el área de contratación señaló y el que un recurrente atacará: la necesidad de agentización </w:t>
      </w:r>
      <w:r>
        <w:rPr>
          <w:rFonts w:ascii="Calibri" w:cs="Calibri" w:eastAsia="Calibri" w:hAnsi="Calibri"/>
          <w:b/>
          <w:bCs/>
          <w:sz w:val="21"/>
          <w:szCs w:val="21"/>
        </w:rPr>
        <w:t xml:space="preserve">no es normativa ni funcional</w:t>
      </w:r>
      <w:r>
        <w:rPr>
          <w:rFonts w:ascii="Calibri" w:cs="Calibri" w:eastAsia="Calibri" w:hAnsi="Calibri"/>
          <w:sz w:val="21"/>
          <w:szCs w:val="21"/>
        </w:rPr>
        <w:t xml:space="preserve">. Si el expediente la justifica con un párrafo general sobre la transformación digital, es justificación estereotipada y cae. Si la justifica por remisión a un acuerdo del órgano de gobierno que aprueba un plan con objetivos y calendario, y el informe de necesidad explica por qué </w:t>
      </w:r>
      <w:r>
        <w:rPr>
          <w:rFonts w:ascii="Calibri" w:cs="Calibri" w:eastAsia="Calibri" w:hAnsi="Calibri"/>
          <w:b/>
          <w:bCs/>
          <w:sz w:val="21"/>
          <w:szCs w:val="21"/>
        </w:rPr>
        <w:t xml:space="preserve">este</w:t>
      </w:r>
      <w:r>
        <w:rPr>
          <w:rFonts w:ascii="Calibri" w:cs="Calibri" w:eastAsia="Calibri" w:hAnsi="Calibri"/>
          <w:sz w:val="21"/>
          <w:szCs w:val="21"/>
        </w:rPr>
        <w:t xml:space="preserve"> contrato entra en ese plan, la relación con el objeto pasa a ser derivada de una política municipal aprobada. </w:t>
      </w:r>
      <w:r>
        <w:rPr>
          <w:rFonts w:ascii="Calibri" w:cs="Calibri" w:eastAsia="Calibri" w:hAnsi="Calibri"/>
          <w:b/>
          <w:bCs/>
          <w:sz w:val="21"/>
          <w:szCs w:val="21"/>
        </w:rPr>
        <w:t xml:space="preserve">Sin ese acuerdo previo, la recomendación de este documento es marcar la fila 9 como NO APLICA en este expediente</w:t>
      </w:r>
      <w:r>
        <w:rPr>
          <w:rFonts w:ascii="Calibri" w:cs="Calibri" w:eastAsia="Calibri" w:hAnsi="Calibri"/>
          <w:sz w:val="21"/>
          <w:szCs w:val="21"/>
        </w:rPr>
        <w:t xml:space="preserve"> y contratar la solución sin ella. Es preferible un piloto que aplique nueve cláusulas bien fundadas que uno que aplique once con una sostenida por una frase.</w:t>
      </w:r>
    </w:p>
    <w:p>
      <w:pPr>
        <w:pStyle w:val="Heading3"/>
        <w:keepNext/>
        <w:spacing w:after="140" w:before="320"/>
      </w:pPr>
      <w:r>
        <w:rPr>
          <w:rFonts w:ascii="Georgia" w:cs="Georgia" w:eastAsia="Georgia" w:hAnsi="Georgia"/>
          <w:b/>
          <w:bCs/>
          <w:color w:val="2F5496"/>
          <w:sz w:val="22"/>
          <w:szCs w:val="22"/>
        </w:rPr>
        <w:t xml:space="preserve">VI.4.3 Qué cláusulas aplican y cuáles no</w:t>
      </w:r>
    </w:p>
    <w:p>
      <w:pPr>
        <w:spacing w:after="140" w:line="276"/>
      </w:pPr>
      <w:r>
        <w:rPr>
          <w:rFonts w:ascii="Calibri" w:cs="Calibri" w:eastAsia="Calibri" w:hAnsi="Calibri"/>
          <w:sz w:val="21"/>
          <w:szCs w:val="21"/>
        </w:rPr>
        <w:t xml:space="preserve">Ficha de aplicabilidad cumplimentada. Instrumentos: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 </w:t>
      </w:r>
      <w:r>
        <w:rPr>
          <w:rFonts w:ascii="Calibri" w:cs="Calibri" w:eastAsia="Calibri" w:hAnsi="Calibri"/>
          <w:b/>
          <w:bCs/>
          <w:sz w:val="21"/>
          <w:szCs w:val="21"/>
        </w:rPr>
        <w:t xml:space="preserve">S</w:t>
      </w:r>
      <w:r>
        <w:rPr>
          <w:rFonts w:ascii="Calibri" w:cs="Calibri" w:eastAsia="Calibri" w:hAnsi="Calibri"/>
          <w:sz w:val="21"/>
          <w:szCs w:val="21"/>
        </w:rPr>
        <w:t xml:space="preserve"> solvencia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de carácter esencial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 </w:t>
      </w:r>
      <w:r>
        <w:rPr>
          <w:rFonts w:ascii="Calibri" w:cs="Calibri" w:eastAsia="Calibri" w:hAnsi="Calibri"/>
          <w:b/>
          <w:bCs/>
          <w:sz w:val="21"/>
          <w:szCs w:val="21"/>
        </w:rPr>
        <w:t xml:space="preserve">NA</w:t>
      </w:r>
      <w:r>
        <w:rPr>
          <w:rFonts w:ascii="Calibri" w:cs="Calibri" w:eastAsia="Calibri" w:hAnsi="Calibri"/>
          <w:sz w:val="21"/>
          <w:szCs w:val="21"/>
        </w:rPr>
        <w:t xml:space="preserve"> no aplica. Cada exigencia lleva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(Anexo 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Motivación de la decisión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Obligatoria siempre que el pliego cite cualquier producto, protocolo, norma o red. Nunca puede marcarse NA en un pliego tecnológico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en su bloque de reparto de papeles y decisiones automatizadas. La contabilidad no es hoy actuación administrativa automatizada, pero el sistema soportará propuestas asistidas: la cláusula fija que ninguna decisión con efecto jurídico o económico se ejecute sin validación humana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identidad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hay necesidad identificada: la integridad de los asientos y del inventario se resuelve con el registro de auditoría del sistema y con el ENS. Añadir anclaje distribuido sería exigencia sin necesidad. </w:t>
            </w:r>
            <w:r>
              <w:rPr>
                <w:rFonts w:ascii="Calibri" w:cs="Calibri" w:eastAsia="Calibri" w:hAnsi="Calibri"/>
                <w:b/>
                <w:bCs/>
                <w:sz w:val="18"/>
                <w:szCs w:val="18"/>
              </w:rPr>
              <w:t xml:space="preserve">Arrastra: se suprime el criterio de adjudicación que, en su caso, hubiera valorado esa capacidad, si el órgano de contratación lo hubiera añadido al baremo</w:t>
            </w:r>
            <w:r>
              <w:rPr>
                <w:rFonts w:ascii="Calibri" w:cs="Calibri" w:eastAsia="Calibri" w:hAnsi="Calibri"/>
                <w:b w:val="false"/>
                <w:bCs w:val="false"/>
                <w:sz w:val="18"/>
                <w:szCs w:val="18"/>
              </w:rPr>
              <w:t xml:space="preserve">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cláusula se activa en sistemas con datos de conservación prolongada o especialmente protegidos. Los datos contables tienen conservación larga, pero no son datos de categoría especial y su confidencialidad no es el riesgo dominante. Decisión: NA, con revisión en la licitación siguiente. Si el análisis de riesgos del expediente concluyera lo contrario, se activa sólo el inventario criptográfico y el plan de transición, nunca un algoritmo nominado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sobre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 (conciliación bancaria, contabilización de facturas de la plataforma de facturación electrónica, propuestas de amortización, cierre del ejercicio, altas y bajas de inventario, generación de rendiciones). Los procesos marcados como mínimos son prescripción y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el exceso sobre los mínimos anteriores, valorado por el criterio H del baremo (VI.4.6) sobre la misma lista cerrada y numerada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excepción expresa: a los servicios comunes de obligada utilización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les añade «o equivalente»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categoría es la resultante del anexo I del RD 311/2022 y </w:t>
            </w:r>
            <w:r>
              <w:rPr>
                <w:rFonts w:ascii="Calibri" w:cs="Calibri" w:eastAsia="Calibri" w:hAnsi="Calibri"/>
                <w:b/>
                <w:bCs/>
                <w:sz w:val="18"/>
                <w:szCs w:val="18"/>
              </w:rPr>
              <w:t xml:space="preserve">se consigna en el expediente antes de aprobar el pliego</w:t>
            </w:r>
            <w:r>
              <w:rPr>
                <w:rFonts w:ascii="Calibri" w:cs="Calibri" w:eastAsia="Calibri" w:hAnsi="Calibri"/>
                <w:b w:val="false"/>
                <w:bCs w:val="false"/>
                <w:sz w:val="18"/>
                <w:szCs w:val="18"/>
              </w:rPr>
              <w:t xml:space="preserve"> (VI.4.4)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sólo si existe el acuerdo del órgano de gobierno</w:t>
            </w:r>
            <w:r>
              <w:rPr>
                <w:rFonts w:ascii="Calibri" w:cs="Calibri" w:eastAsia="Calibri" w:hAnsi="Calibri"/>
                <w:b w:val="false"/>
                <w:bCs w:val="false"/>
                <w:sz w:val="18"/>
                <w:szCs w:val="18"/>
              </w:rPr>
              <w:t xml:space="preserve"> (fila 9 de VI.4.2). Ámbito modulado: los módulos que identifique el Anexo V, no «todas las aplicaciones municipales»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íntegra. Es la cláusula con más valor real en un sistema contable: el día que se cambia de proveedor, el problema no es el software, son veinte ejercicios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DT-7·v3 y con la misma condición. El Anexo V se </w:t>
            </w:r>
            <w:r>
              <w:rPr>
                <w:rFonts w:ascii="Calibri" w:cs="Calibri" w:eastAsia="Calibri" w:hAnsi="Calibri"/>
                <w:b/>
                <w:bCs/>
                <w:sz w:val="18"/>
                <w:szCs w:val="18"/>
              </w:rPr>
              <w:t xml:space="preserve">transcribe físicamente</w:t>
            </w:r>
            <w:r>
              <w:rPr>
                <w:rFonts w:ascii="Calibri" w:cs="Calibri" w:eastAsia="Calibri" w:hAnsi="Calibri"/>
                <w:b w:val="false"/>
                <w:bCs w:val="false"/>
                <w:sz w:val="18"/>
                <w:szCs w:val="18"/>
              </w:rPr>
              <w:t xml:space="preserve"> en el PPT, recortado a este objeto (VI.4.5)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ordinaria por experiencia y medios, en los términos de los arts. 90 y 93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Sistema de gestión de la IA (gobernanza)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(UNE-EN ISO/IEC 42001:2026 o equivalente) </w:t>
            </w:r>
            <w:r>
              <w:rPr>
                <w:rFonts w:ascii="Calibri" w:cs="Calibri" w:eastAsia="Calibri" w:hAnsi="Calibri"/>
                <w:b/>
                <w:bCs/>
                <w:sz w:val="18"/>
                <w:szCs w:val="18"/>
              </w:rPr>
              <w:t xml:space="preserve">no se exige como solvencia</w:t>
            </w:r>
            <w:r>
              <w:rPr>
                <w:rFonts w:ascii="Calibri" w:cs="Calibri" w:eastAsia="Calibri" w:hAnsi="Calibri"/>
                <w:b w:val="false"/>
                <w:bCs w:val="false"/>
                <w:sz w:val="18"/>
                <w:szCs w:val="18"/>
              </w:rPr>
              <w:t xml:space="preserve"> en este contrato. No porque el contrato no esté sujeto a regulación armonizada —lo está, según VI.4.7—, sino porque </w:t>
            </w:r>
            <w:r>
              <w:rPr>
                <w:rFonts w:ascii="Calibri" w:cs="Calibri" w:eastAsia="Calibri" w:hAnsi="Calibri"/>
                <w:b/>
                <w:bCs/>
                <w:sz w:val="18"/>
                <w:szCs w:val="18"/>
              </w:rPr>
              <w:t xml:space="preserve">falta el segundo requisito acumulativo de la modalidad A</w:t>
            </w:r>
            <w:r>
              <w:rPr>
                <w:rFonts w:ascii="Calibri" w:cs="Calibri" w:eastAsia="Calibri" w:hAnsi="Calibri"/>
                <w:b w:val="false"/>
                <w:bCs w:val="false"/>
                <w:sz w:val="18"/>
                <w:szCs w:val="18"/>
              </w:rPr>
              <w:t xml:space="preserve"> de ADM-1·v3: el sistema de inteligencia artificial no constituye elemento determinante de la prestación, que es la llevanza de la contabilidad y del inventario. Se configura, por tanto, como condición especial de ejecución (modalidad B), con compromiso de obtención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alcance cerrado al Anexo V. Si el Anexo V no se incorpora, esta cláusula decae entera. </w:t>
            </w:r>
            <w:r>
              <w:rPr>
                <w:rFonts w:ascii="Calibri" w:cs="Calibri" w:eastAsia="Calibri" w:hAnsi="Calibri"/>
                <w:b/>
                <w:bCs/>
                <w:sz w:val="18"/>
                <w:szCs w:val="18"/>
              </w:rPr>
              <w:t xml:space="preserve">No se califica de esencial en este expediente</w:t>
            </w:r>
            <w:r>
              <w:rPr>
                <w:rFonts w:ascii="Calibri" w:cs="Calibri" w:eastAsia="Calibri" w:hAnsi="Calibri"/>
                <w:b w:val="false"/>
                <w:bCs w:val="false"/>
                <w:sz w:val="18"/>
                <w:szCs w:val="18"/>
              </w:rPr>
              <w:t xml:space="preserve">: su esencialidad depende del bloque B.2 de ADM-6·v3, que aquí no se marca por no superarse el test de relevancia (párrafo siguiente a esta tabla). El incumplimiento queda en penalidad conforme a ADM-5·v3 (tipos G2, M1 y M2)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bolsa se incorpora al amparo del art. 308.3 LCSP, con precio por unidades de actividad del Cuadro de Precios Unitarios y </w:t>
            </w:r>
            <w:r>
              <w:rPr>
                <w:rFonts w:ascii="Calibri" w:cs="Calibri" w:eastAsia="Calibri" w:hAnsi="Calibri"/>
                <w:b/>
                <w:bCs/>
                <w:sz w:val="18"/>
                <w:szCs w:val="18"/>
              </w:rPr>
              <w:t xml:space="preserve">peticiones de servicio del responsable del contrato</w:t>
            </w:r>
            <w:r>
              <w:rPr>
                <w:rFonts w:ascii="Calibri" w:cs="Calibri" w:eastAsia="Calibri" w:hAnsi="Calibri"/>
                <w:b w:val="false"/>
                <w:bCs w:val="false"/>
                <w:sz w:val="18"/>
                <w:szCs w:val="18"/>
              </w:rPr>
              <w:t xml:space="preserve">, nunca dirección de personal (art. 308.2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periodicidad y carga dimensionadas (VI.4.8)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depurada de las penalidades cuyas cláusulas se han marcado NA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Bloque A condicionado</w:t>
            </w:r>
            <w:r>
              <w:rPr>
                <w:rFonts w:ascii="Calibri" w:cs="Calibri" w:eastAsia="Calibri" w:hAnsi="Calibri"/>
                <w:b w:val="false"/>
                <w:bCs w:val="false"/>
                <w:sz w:val="18"/>
                <w:szCs w:val="18"/>
              </w:rPr>
              <w:t xml:space="preserve">: sólo si el contrato implica cesión de datos por el Ayuntamiento al contratista (art. 202.1 párr. 3.º) o tratamiento de datos personales por cuenta del responsable (art. 122.2). En este contrato ambos supuestos concurren y deben declararse expresamente en el PCAP. </w:t>
            </w:r>
            <w:r>
              <w:rPr>
                <w:rFonts w:ascii="Calibri" w:cs="Calibri" w:eastAsia="Calibri" w:hAnsi="Calibri"/>
                <w:b/>
                <w:bCs/>
                <w:sz w:val="18"/>
                <w:szCs w:val="18"/>
              </w:rPr>
              <w:t xml:space="preserve">Bloque B.1</w:t>
            </w:r>
            <w:r>
              <w:rPr>
                <w:rFonts w:ascii="Calibri" w:cs="Calibri" w:eastAsia="Calibri" w:hAnsi="Calibri"/>
                <w:b w:val="false"/>
                <w:bCs w:val="false"/>
                <w:sz w:val="18"/>
                <w:szCs w:val="18"/>
              </w:rPr>
              <w:t xml:space="preserve">: se conservan las letras a) —reversibilidad, DT-8·v3—, c) —acceso de los órganos de control, ADM-12·v3— y d) —uso de sistemas de IA sobre información municipal, ADM-13·v3—, y </w:t>
            </w:r>
            <w:r>
              <w:rPr>
                <w:rFonts w:ascii="Calibri" w:cs="Calibri" w:eastAsia="Calibri" w:hAnsi="Calibri"/>
                <w:b/>
                <w:bCs/>
                <w:sz w:val="18"/>
                <w:szCs w:val="18"/>
              </w:rPr>
              <w:t xml:space="preserve">se borra la letra b)</w:t>
            </w:r>
            <w:r>
              <w:rPr>
                <w:rFonts w:ascii="Calibri" w:cs="Calibri" w:eastAsia="Calibri" w:hAnsi="Calibri"/>
                <w:b w:val="false"/>
                <w:bCs w:val="false"/>
                <w:sz w:val="18"/>
                <w:szCs w:val="18"/>
              </w:rPr>
              <w:t xml:space="preserve"> por estar ADM-11·v3 marcada NO APLICA (Anexo VI). </w:t>
            </w:r>
            <w:r>
              <w:rPr>
                <w:rFonts w:ascii="Calibri" w:cs="Calibri" w:eastAsia="Calibri" w:hAnsi="Calibri"/>
                <w:b/>
                <w:bCs/>
                <w:sz w:val="18"/>
                <w:szCs w:val="18"/>
              </w:rPr>
              <w:t xml:space="preserve">Bloque B.2: no se marca ninguna letra en el cuadro de características</w:t>
            </w:r>
            <w:r>
              <w:rPr>
                <w:rFonts w:ascii="Calibri" w:cs="Calibri" w:eastAsia="Calibri" w:hAnsi="Calibri"/>
                <w:b w:val="false"/>
                <w:bCs w:val="false"/>
                <w:sz w:val="18"/>
                <w:szCs w:val="18"/>
              </w:rPr>
              <w:t xml:space="preserve">, por el test de relevancia resuelto tras esta tabla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el baremo de VI.4.6, con precio y criterios funcionales dentro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la delimitación de VI.4.1: nada sobre el producto base salvo licencia y delimitación; todo sobre desarrollos específicos, parametrizaciones, lógica y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como medio de comprobación de la exactitud de lo declarado por escrito en el criterio D y, en lo que proceda, en los criterios C1, A y H, </w:t>
            </w:r>
            <w:r>
              <w:rPr>
                <w:rFonts w:ascii="Calibri" w:cs="Calibri" w:eastAsia="Calibri" w:hAnsi="Calibri"/>
                <w:b/>
                <w:bCs/>
                <w:sz w:val="18"/>
                <w:szCs w:val="18"/>
              </w:rPr>
              <w:t xml:space="preserve">sin atribuir puntuación alguna</w:t>
            </w:r>
            <w:r>
              <w:rPr>
                <w:rFonts w:ascii="Calibri" w:cs="Calibri" w:eastAsia="Calibri" w:hAnsi="Calibri"/>
                <w:b w:val="false"/>
                <w:bCs w:val="false"/>
                <w:sz w:val="18"/>
                <w:szCs w:val="18"/>
              </w:rPr>
              <w:t xml:space="preserve">. La demostración sólo confirma o retira puntos ya asignados a la memoria técnica. Momento procedimental fijado en el PCAP y relación cerrada de elementos verificables publicada (VI.5)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como instrumento de seguimiento, con el modelo del Anexo XIV. Sólo los hitos aprobados expresamente y con fecha cierta en acta son esenciales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 (condicionada)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en este expediente.</w:t>
            </w:r>
            <w:r>
              <w:rPr>
                <w:rFonts w:ascii="Calibri" w:cs="Calibri" w:eastAsia="Calibri" w:hAnsi="Calibri"/>
                <w:b w:val="false"/>
                <w:bCs w:val="false"/>
                <w:sz w:val="18"/>
                <w:szCs w:val="18"/>
              </w:rPr>
              <w:t xml:space="preserve"> ADM-11·v3.1 exige la concurrencia de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las circunstancias de su apartado 1, la primera de las cuales es la categoría ALTA en la dimensión de disponibilidad, y la categorización propuesta en VI.4.4 la sitúa en MEDIA. Sólo si el análisis de riesgos firmado situara la disponibilidad en ALTA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concurrieran además las otras tres circunstancias —valor estimado superior al umbral, servicio de la lista tasada y estudio de mercado que acredite la ausencia de alternativa sustituible en menos de seis meses— procedería su incorporación, con su coste consignado como partida independiente del presupuesto base. La ficha debe recoger esta motivación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Es la cláusula que estrena el piloto (VI.4.9)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declaración de sistemas se presenta con la oferta pero </w:t>
            </w:r>
            <w:r>
              <w:rPr>
                <w:rFonts w:ascii="Calibri" w:cs="Calibri" w:eastAsia="Calibri" w:hAnsi="Calibri"/>
                <w:b/>
                <w:bCs/>
                <w:sz w:val="18"/>
                <w:szCs w:val="18"/>
              </w:rPr>
              <w:t xml:space="preserve">no puntúa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y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r>
              <w:rPr>
                <w:rFonts w:ascii="Calibri" w:cs="Calibri" w:eastAsia="Calibri" w:hAnsi="Calibri"/>
                <w:b w:val="false"/>
                <w:bCs w:val="false"/>
                <w:sz w:val="18"/>
                <w:szCs w:val="18"/>
              </w:rPr>
              <w:t xml:space="preserve">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la evolución exigible está determinada en el Anexo V y retribuida con el precio, y cada euro de reserva sube el valor estimado (VI.4.7). Si el expediente decidiera incorporarla, se motiva y se recalcula el valor estimado antes de aprobar</w:t>
            </w:r>
          </w:p>
        </w:tc>
      </w:tr>
    </w:tbl>
    <w:p>
      <w:pPr>
        <w:spacing w:after="200"/>
      </w:pPr>
    </w:p>
    <w:p>
      <w:pPr>
        <w:spacing w:after="140" w:line="276"/>
      </w:pPr>
      <w:r>
        <w:rPr>
          <w:rFonts w:ascii="Calibri" w:cs="Calibri" w:eastAsia="Calibri" w:hAnsi="Calibri"/>
          <w:b/>
          <w:bCs/>
          <w:sz w:val="21"/>
          <w:szCs w:val="21"/>
        </w:rPr>
        <w:t xml:space="preserve">El test de relevancia del bloque B.2 de ADM-6·v3, resuelto para este contrato.</w:t>
      </w:r>
      <w:r>
        <w:rPr>
          <w:rFonts w:ascii="Calibri" w:cs="Calibri" w:eastAsia="Calibri" w:hAnsi="Calibri"/>
          <w:sz w:val="21"/>
          <w:szCs w:val="21"/>
        </w:rPr>
        <w:t xml:space="preserve"> ADM-6·v3 no permite marcar ninguna letra del bloque B.2 sin superar antes su test de relevancia, y obliga a que la conclusión conste en la memoria justificativa. Las únicas letras que este expediente podría marcar son la </w:t>
      </w:r>
      <w:r>
        <w:rPr>
          <w:rFonts w:ascii="Calibri" w:cs="Calibri" w:eastAsia="Calibri" w:hAnsi="Calibri"/>
          <w:b/>
          <w:bCs/>
          <w:sz w:val="21"/>
          <w:szCs w:val="21"/>
        </w:rPr>
        <w:t xml:space="preserve">e)</w:t>
      </w:r>
      <w:r>
        <w:rPr>
          <w:rFonts w:ascii="Calibri" w:cs="Calibri" w:eastAsia="Calibri" w:hAnsi="Calibri"/>
          <w:sz w:val="21"/>
          <w:szCs w:val="21"/>
        </w:rPr>
        <w:t xml:space="preserve"> —falta de implantación de una exigencia del Anexo V transcrito en el PPT— y la </w:t>
      </w:r>
      <w:r>
        <w:rPr>
          <w:rFonts w:ascii="Calibri" w:cs="Calibri" w:eastAsia="Calibri" w:hAnsi="Calibri"/>
          <w:b/>
          <w:bCs/>
          <w:sz w:val="21"/>
          <w:szCs w:val="21"/>
        </w:rPr>
        <w:t xml:space="preserve">g)</w:t>
      </w:r>
      <w:r>
        <w:rPr>
          <w:rFonts w:ascii="Calibri" w:cs="Calibri" w:eastAsia="Calibri" w:hAnsi="Calibri"/>
          <w:sz w:val="21"/>
          <w:szCs w:val="21"/>
        </w:rPr>
        <w:t xml:space="preserve"> —falta de entrega de la interfaz normalizada en el plazo máximo del PPT—. Resuelto sobre ellas:</w:t>
      </w:r>
    </w:p>
    <w:p>
      <w:pPr>
        <w:pStyle w:val="ListParagraph"/>
        <w:numPr>
          <w:ilvl w:val="0"/>
          <w:numId w:val="1"/>
        </w:numPr>
        <w:spacing w:after="70" w:line="268"/>
      </w:pPr>
      <w:r>
        <w:rPr>
          <w:rFonts w:ascii="Calibri" w:cs="Calibri" w:eastAsia="Calibri" w:hAnsi="Calibri"/>
          <w:b/>
          <w:bCs/>
          <w:sz w:val="21"/>
          <w:szCs w:val="21"/>
        </w:rPr>
        <w:t xml:space="preserve">(i) ¿Capacidad identificada en el Informe de Necesidad como determinante de la finalidad del contrato?</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La finalidad es la llevanza de la contabilidad municipal y del inventario de bienes y derechos: es la necesidad 1 de VI.4.2, de origen funcional. La capacidad de ser operada y auditada por agentes es la necesidad 9, de origen </w:t>
      </w:r>
      <w:r>
        <w:rPr>
          <w:rFonts w:ascii="Calibri" w:cs="Calibri" w:eastAsia="Calibri" w:hAnsi="Calibri"/>
          <w:b/>
          <w:bCs/>
          <w:sz w:val="21"/>
          <w:szCs w:val="21"/>
        </w:rPr>
        <w:t xml:space="preserve">institucional</w:t>
      </w:r>
      <w:r>
        <w:rPr>
          <w:rFonts w:ascii="Calibri" w:cs="Calibri" w:eastAsia="Calibri" w:hAnsi="Calibri"/>
          <w:sz w:val="21"/>
          <w:szCs w:val="21"/>
        </w:rPr>
        <w:t xml:space="preserve">, y su propia fila declara que «ninguna norma lo impone y el gestor no lo ha pedido». El informe de necesidad no puede calificarla de determinante de la finalidad sin contradecir esa ficha.</w:t>
      </w:r>
    </w:p>
    <w:p>
      <w:pPr>
        <w:pStyle w:val="ListParagraph"/>
        <w:numPr>
          <w:ilvl w:val="0"/>
          <w:numId w:val="1"/>
        </w:numPr>
        <w:spacing w:after="70" w:line="268"/>
      </w:pPr>
      <w:r>
        <w:rPr>
          <w:rFonts w:ascii="Calibri" w:cs="Calibri" w:eastAsia="Calibri" w:hAnsi="Calibri"/>
          <w:b/>
          <w:bCs/>
          <w:sz w:val="21"/>
          <w:szCs w:val="21"/>
        </w:rPr>
        <w:t xml:space="preserve">(ii) ¿Peso económico en la oferta igual o superior al [X; se recomienda 10] por ciento del precio del contrato?</w:t>
      </w:r>
      <w:r>
        <w:rPr>
          <w:rFonts w:ascii="Calibri" w:cs="Calibri" w:eastAsia="Calibri" w:hAnsi="Calibri"/>
          <w:sz w:val="21"/>
          <w:szCs w:val="21"/>
        </w:rPr>
        <w:t xml:space="preserve"> </w:t>
      </w:r>
      <w:r>
        <w:rPr>
          <w:rFonts w:ascii="Calibri" w:cs="Calibri" w:eastAsia="Calibri" w:hAnsi="Calibri"/>
          <w:b/>
          <w:bCs/>
          <w:sz w:val="21"/>
          <w:szCs w:val="21"/>
        </w:rPr>
        <w:t xml:space="preserve">No consta.</w:t>
      </w:r>
      <w:r>
        <w:rPr>
          <w:rFonts w:ascii="Calibri" w:cs="Calibri" w:eastAsia="Calibri" w:hAnsi="Calibri"/>
          <w:sz w:val="21"/>
          <w:szCs w:val="21"/>
        </w:rPr>
        <w:t xml:space="preserve"> El expediente no imputa a esta capacidad un coste de esa magnitud. Su peso en el baremo es de 13 puntos sobre 100 —criterios A (8) y B (5)—, que es medida de puntuación y no de precio. Si el estudio económico del expediente cifrara ese coste por encima del umbral, el test se rehace y se hace constar.</w:t>
      </w:r>
    </w:p>
    <w:p>
      <w:pPr>
        <w:pStyle w:val="ListParagraph"/>
        <w:numPr>
          <w:ilvl w:val="0"/>
          <w:numId w:val="1"/>
        </w:numPr>
        <w:spacing w:after="70" w:line="268"/>
      </w:pPr>
      <w:r>
        <w:rPr>
          <w:rFonts w:ascii="Calibri" w:cs="Calibri" w:eastAsia="Calibri" w:hAnsi="Calibri"/>
          <w:b/>
          <w:bCs/>
          <w:sz w:val="21"/>
          <w:szCs w:val="21"/>
        </w:rPr>
        <w:t xml:space="preserve">(iii) ¿Su falta impide el uso de la solución para la finalidad contratada, o impide al Ayuntamiento cumplir una obligación legal propia?</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Sin la interfaz normalizada el Ayuntamiento lleva su contabilidad, gestiona su inventario y rinde sus cuentas exactamente igual.</w:t>
      </w:r>
    </w:p>
    <w:p>
      <w:pPr>
        <w:spacing w:after="140" w:line="276"/>
      </w:pPr>
      <w:r>
        <w:rPr>
          <w:rFonts w:ascii="Calibri" w:cs="Calibri" w:eastAsia="Calibri" w:hAnsi="Calibri"/>
          <w:b/>
          <w:bCs/>
          <w:sz w:val="21"/>
          <w:szCs w:val="21"/>
        </w:rPr>
        <w:t xml:space="preserve">Conclusión: no concurre ninguno de los tres supuestos, la casilla no se marca y ADM-2·v3 no se califica de esencial en este contrato.</w:t>
      </w:r>
      <w:r>
        <w:rPr>
          <w:rFonts w:ascii="Calibri" w:cs="Calibri" w:eastAsia="Calibri" w:hAnsi="Calibri"/>
          <w:sz w:val="21"/>
          <w:szCs w:val="21"/>
        </w:rPr>
        <w:t xml:space="preserve"> Es la conclusión que la nota al redactor de ADM-6·v3 anticipa con este mismo ejemplo: resolver un contrato de contabilidad y patrimonio municipal porque el contratista no entregó en plazo una interfaz para agentes de inteligencia artificial es desproporcionado en grado manifiesto. La consecuencia del incumplimiento queda en penalidad grave o muy grave —tipos G2 y M1 de ADM-5·v3 para las exigencias del Anexo V, y G19 y M15 para la interfaz normalizada—, con los límites del art. 192.1 LCSP; no es consecuencia simbólica. </w:t>
      </w:r>
      <w:r>
        <w:rPr>
          <w:rFonts w:ascii="Calibri" w:cs="Calibri" w:eastAsia="Calibri" w:hAnsi="Calibri"/>
          <w:b/>
          <w:bCs/>
          <w:sz w:val="21"/>
          <w:szCs w:val="21"/>
        </w:rPr>
        <w:t xml:space="preserve">Esta conclusión se transcribe en la memoria justificativa del expediente</w:t>
      </w:r>
      <w:r>
        <w:rPr>
          <w:rFonts w:ascii="Calibri" w:cs="Calibri" w:eastAsia="Calibri" w:hAnsi="Calibri"/>
          <w:sz w:val="21"/>
          <w:szCs w:val="21"/>
        </w:rPr>
        <w:t xml:space="preserve">, que es donde ADM-6·v3 exige que conste.</w:t>
      </w:r>
    </w:p>
    <w:p>
      <w:pPr>
        <w:spacing w:after="140" w:line="276"/>
      </w:pPr>
      <w:r>
        <w:rPr>
          <w:rFonts w:ascii="Calibri" w:cs="Calibri" w:eastAsia="Calibri" w:hAnsi="Calibri"/>
          <w:b/>
          <w:bCs/>
          <w:sz w:val="21"/>
          <w:szCs w:val="21"/>
        </w:rPr>
        <w:t xml:space="preserve">Nota sobre las filas desdobladas.</w:t>
      </w:r>
      <w:r>
        <w:rPr>
          <w:rFonts w:ascii="Calibri" w:cs="Calibri" w:eastAsia="Calibri" w:hAnsi="Calibri"/>
          <w:sz w:val="21"/>
          <w:szCs w:val="21"/>
        </w:rPr>
        <w:t xml:space="preserve">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de la ficha, nunca una con dos instrumentos. Es lo que hace el Anexo I con DT-4·v3 (filas 13 y 14) y con ADM-1·v3 (filas 16 y 18), y lo que esta ficha reproduce. Una fila con dos instrumentos no supera la primera comprobación de cierre del Anexo II.</w:t>
      </w:r>
    </w:p>
    <w:p>
      <w:pPr>
        <w:spacing w:after="140" w:line="276"/>
      </w:pPr>
      <w:r>
        <w:rPr>
          <w:rFonts w:ascii="Calibri" w:cs="Calibri" w:eastAsia="Calibri" w:hAnsi="Calibri"/>
          <w:b/>
          <w:bCs/>
          <w:sz w:val="21"/>
          <w:szCs w:val="21"/>
        </w:rPr>
        <w:t xml:space="preserve">Recuento del piloto: 24 cláusulas · 17 aplicadas sin condición · 3 condicionadas</w:t>
      </w:r>
      <w:r>
        <w:rPr>
          <w:rFonts w:ascii="Calibri" w:cs="Calibri" w:eastAsia="Calibri" w:hAnsi="Calibri"/>
          <w:sz w:val="21"/>
          <w:szCs w:val="21"/>
        </w:rPr>
        <w:t xml:space="preserve"> al acuerdo del órgano de gobierno (DT-7·v3, DT-9·v3 y, con ellas, ADM-2·v3) </w:t>
      </w:r>
      <w:r>
        <w:rPr>
          <w:rFonts w:ascii="Calibri" w:cs="Calibri" w:eastAsia="Calibri" w:hAnsi="Calibri"/>
          <w:b/>
          <w:bCs/>
          <w:sz w:val="21"/>
          <w:szCs w:val="21"/>
        </w:rPr>
        <w:t xml:space="preserve">· 4 marcadas NO APLICA</w:t>
      </w:r>
      <w:r>
        <w:rPr>
          <w:rFonts w:ascii="Calibri" w:cs="Calibri" w:eastAsia="Calibri" w:hAnsi="Calibri"/>
          <w:sz w:val="21"/>
          <w:szCs w:val="21"/>
        </w:rPr>
        <w:t xml:space="preserve"> (DT-2·v3, DT-3·v3, ADM-11·v3 y ADM-14·v3). La ficha firmada, con esta motivación, es documento público desde su incorporación al expediente (arts. 63.3.a) y 116.1 LCSP): se redacta sabiendo que la lee el recurrente.</w:t>
      </w:r>
    </w:p>
    <w:p>
      <w:pPr>
        <w:pStyle w:val="Heading3"/>
        <w:keepNext/>
        <w:spacing w:after="140" w:before="320"/>
      </w:pPr>
      <w:r>
        <w:rPr>
          <w:rFonts w:ascii="Georgia" w:cs="Georgia" w:eastAsia="Georgia" w:hAnsi="Georgia"/>
          <w:b/>
          <w:bCs/>
          <w:color w:val="2F5496"/>
          <w:sz w:val="22"/>
          <w:szCs w:val="22"/>
        </w:rPr>
        <w:t xml:space="preserve">VI.4.4 Categoría del Esquema Nacional de Seguridad</w:t>
      </w:r>
    </w:p>
    <w:p>
      <w:pPr>
        <w:spacing w:after="140" w:line="276"/>
      </w:pPr>
      <w:r>
        <w:rPr>
          <w:rFonts w:ascii="Calibri" w:cs="Calibri" w:eastAsia="Calibri" w:hAnsi="Calibri"/>
          <w:sz w:val="21"/>
          <w:szCs w:val="21"/>
        </w:rPr>
        <w:t xml:space="preserve">La categoría </w:t>
      </w:r>
      <w:r>
        <w:rPr>
          <w:rFonts w:ascii="Calibri" w:cs="Calibri" w:eastAsia="Calibri" w:hAnsi="Calibri"/>
          <w:b/>
          <w:bCs/>
          <w:sz w:val="21"/>
          <w:szCs w:val="21"/>
        </w:rPr>
        <w:t xml:space="preserve">no se elige</w:t>
      </w:r>
      <w:r>
        <w:rPr>
          <w:rFonts w:ascii="Calibri" w:cs="Calibri" w:eastAsia="Calibri" w:hAnsi="Calibri"/>
          <w:sz w:val="21"/>
          <w:szCs w:val="21"/>
        </w:rPr>
        <w:t xml:space="preserve">: resulta de valorar el nivel de cada dimensión de seguridad conforme al anexo I del RD 311/2022, y la categoría del sistema es la de la dimensión más alta. Escribir «ENS Nivel Alto» en la rúbrica de una cláusula, como hacía la versión 2, es fijar el resultado antes de hacer el análisis.</w:t>
      </w:r>
    </w:p>
    <w:p>
      <w:pPr>
        <w:spacing w:after="140" w:line="276"/>
      </w:pPr>
      <w:r>
        <w:rPr>
          <w:rFonts w:ascii="Calibri" w:cs="Calibri" w:eastAsia="Calibri" w:hAnsi="Calibri"/>
          <w:sz w:val="21"/>
          <w:szCs w:val="21"/>
        </w:rPr>
        <w:t xml:space="preserve">Esto no es una cautela teórica: es el supuesto exacto de la </w:t>
      </w:r>
      <w:r>
        <w:rPr>
          <w:rFonts w:ascii="Calibri" w:cs="Calibri" w:eastAsia="Calibri" w:hAnsi="Calibri"/>
          <w:b/>
          <w:bCs/>
          <w:sz w:val="21"/>
          <w:szCs w:val="21"/>
        </w:rPr>
        <w:t xml:space="preserve">Resolución 383/2024 del Tribunal Administrativo de Contratación Pública de la Comunidad de Madrid</w:t>
      </w:r>
      <w:r>
        <w:rPr>
          <w:rFonts w:ascii="Calibri" w:cs="Calibri" w:eastAsia="Calibri" w:hAnsi="Calibri"/>
          <w:sz w:val="21"/>
          <w:szCs w:val="21"/>
        </w:rPr>
        <w:t xml:space="preserve"> (Parla), tratada íntegramente, con su literal y con el sentido de su fallo, en la Parte IV, IV.0, y en la Parte V, V.5.6. Su consecuencia operativa es la que aquí importa: </w:t>
      </w:r>
      <w:r>
        <w:rPr>
          <w:rFonts w:ascii="Calibri" w:cs="Calibri" w:eastAsia="Calibri" w:hAnsi="Calibri"/>
          <w:b/>
          <w:bCs/>
          <w:sz w:val="21"/>
          <w:szCs w:val="21"/>
        </w:rPr>
        <w:t xml:space="preserve">la justificación va en la memoria del expediente, y lo que no esté ahí no se puede arreglar después.</w:t>
      </w:r>
      <w:r>
        <w:rPr>
          <w:rFonts w:ascii="Calibri" w:cs="Calibri" w:eastAsia="Calibri" w:hAnsi="Calibri"/>
          <w:sz w:val="21"/>
          <w:szCs w:val="21"/>
        </w:rPr>
        <w:t xml:space="preserve"> Ni este catálogo, ni sus anexos, ni la ficha de aplicabilidad son la memoria justificativa del expediente.</w:t>
      </w:r>
    </w:p>
    <w:p>
      <w:pPr>
        <w:spacing w:after="140" w:line="276"/>
      </w:pPr>
      <w:r>
        <w:rPr>
          <w:rFonts w:ascii="Calibri" w:cs="Calibri" w:eastAsia="Calibri" w:hAnsi="Calibri"/>
          <w:sz w:val="21"/>
          <w:szCs w:val="21"/>
        </w:rPr>
        <w:t xml:space="preserve">Análisis para este contrato, que el expediente debe recoger firmado por el responsable de la información y el responsable del servicio en cuanto a la valoración de cada dimensión (art. 41.1 del RD 311/2022) y </w:t>
      </w:r>
      <w:r>
        <w:rPr>
          <w:rFonts w:ascii="Calibri" w:cs="Calibri" w:eastAsia="Calibri" w:hAnsi="Calibri"/>
          <w:b/>
          <w:bCs/>
          <w:sz w:val="21"/>
          <w:szCs w:val="21"/>
        </w:rPr>
        <w:t xml:space="preserve">por el responsable de la seguridad en cuanto a la determinación de la categoría del sistema</w:t>
      </w:r>
      <w:r>
        <w:rPr>
          <w:rFonts w:ascii="Calibri" w:cs="Calibri" w:eastAsia="Calibri" w:hAnsi="Calibri"/>
          <w:sz w:val="21"/>
          <w:szCs w:val="21"/>
        </w:rPr>
        <w:t xml:space="preserve"> (art. 41.2 del mismo real decreto), a quien corresponde asimismo la Declaración de Aplicabilidad (art. 28.2):</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Dimensión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Razonamiento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 propuesto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interrupción del sistema paraliza el reconocimiento de obligaciones y el pago, pero admite continuidad manual acotada y no afecta a servicios esenciales para la ciudadanía en el corto plazo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alteración no detectada de asientos o del inventario produce cuentas incorrectas, con efectos en la rendición de cuentas y en el control externo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 según el análisis de riesgos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Confidencialidad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económicos de terceros y datos personales de proveedores y personal; no hay categorías especiales del art. 9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Autenticidad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imputación de un asiento a un usuario determinado es determinante de responsabilidad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Sostiene la función interventora y la auditoría posterior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w:t>
            </w:r>
          </w:p>
        </w:tc>
      </w:tr>
    </w:tbl>
    <w:p>
      <w:pPr>
        <w:spacing w:after="200"/>
      </w:pPr>
    </w:p>
    <w:p>
      <w:pPr>
        <w:spacing w:after="140" w:line="276"/>
      </w:pPr>
      <w:r>
        <w:rPr>
          <w:rFonts w:ascii="Calibri" w:cs="Calibri" w:eastAsia="Calibri" w:hAnsi="Calibri"/>
          <w:b/>
          <w:bCs/>
          <w:sz w:val="21"/>
          <w:szCs w:val="21"/>
        </w:rPr>
        <w:t xml:space="preserve">Categoría propuesta: [MEDIA; elévese a ALTA sólo si el análisis de riesgos sitúa integridad o trazabilidad en nivel alto].</w:t>
      </w:r>
      <w:r>
        <w:rPr>
          <w:rFonts w:ascii="Calibri" w:cs="Calibri" w:eastAsia="Calibri" w:hAnsi="Calibri"/>
          <w:sz w:val="21"/>
          <w:szCs w:val="21"/>
        </w:rPr>
        <w:t xml:space="preserve"> Consecuencias directas: en categoría MEDIA o ALTA la conformidad se acredita mediante </w:t>
      </w:r>
      <w:r>
        <w:rPr>
          <w:rFonts w:ascii="Calibri" w:cs="Calibri" w:eastAsia="Calibri" w:hAnsi="Calibri"/>
          <w:b/>
          <w:bCs/>
          <w:sz w:val="21"/>
          <w:szCs w:val="21"/>
        </w:rPr>
        <w:t xml:space="preserve">certificación</w:t>
      </w:r>
      <w:r>
        <w:rPr>
          <w:rFonts w:ascii="Calibri" w:cs="Calibri" w:eastAsia="Calibri" w:hAnsi="Calibri"/>
          <w:sz w:val="21"/>
          <w:szCs w:val="21"/>
        </w:rPr>
        <w:t xml:space="preserve">; en BÁSICA, mediante declaración de conformidad basada en autoevaluación (art. 38.1 RD 311/2022). Y el umbral de activación del depósito de código de ADM-11·v3 está anudado a la </w:t>
      </w:r>
      <w:r>
        <w:rPr>
          <w:rFonts w:ascii="Calibri" w:cs="Calibri" w:eastAsia="Calibri" w:hAnsi="Calibri"/>
          <w:b/>
          <w:bCs/>
          <w:sz w:val="21"/>
          <w:szCs w:val="21"/>
        </w:rPr>
        <w:t xml:space="preserve">concurrencia acumulativa de las cuatro circunstancias de su apartado 1</w:t>
      </w:r>
      <w:r>
        <w:rPr>
          <w:rFonts w:ascii="Calibri" w:cs="Calibri" w:eastAsia="Calibri" w:hAnsi="Calibri"/>
          <w:sz w:val="21"/>
          <w:szCs w:val="21"/>
        </w:rPr>
        <w:t xml:space="preserve">, entre ellas la categoría ALTA en la dimensión de disponibilidad. Con la categorización propuesta (MEDIA), </w:t>
      </w:r>
      <w:r>
        <w:rPr>
          <w:rFonts w:ascii="Calibri" w:cs="Calibri" w:eastAsia="Calibri" w:hAnsi="Calibri"/>
          <w:b/>
          <w:bCs/>
          <w:sz w:val="21"/>
          <w:szCs w:val="21"/>
        </w:rPr>
        <w:t xml:space="preserve">ADM-11·v3 se marca NO APLICA en este expediente</w:t>
      </w:r>
      <w:r>
        <w:rPr>
          <w:rFonts w:ascii="Calibri" w:cs="Calibri" w:eastAsia="Calibri" w:hAnsi="Calibri"/>
          <w:sz w:val="21"/>
          <w:szCs w:val="21"/>
        </w:rPr>
        <w:t xml:space="preserve"> y así debe decirlo la ficha. Que la contabilidad figure en la lista tasada de servicios no basta: la lista es una de las cuatro circunstancias, no una vía alternativa. Sólo si el análisis de riesgos firmado sitúa la disponibilidad en ALTA, y concurren además las otras tres, procede su incorporación, con su coste consignado como partida independiente del presupuesto base de licitación.</w:t>
      </w:r>
    </w:p>
    <w:p>
      <w:pPr>
        <w:pStyle w:val="Heading3"/>
        <w:keepNext/>
        <w:spacing w:after="140" w:before="320"/>
      </w:pPr>
      <w:r>
        <w:rPr>
          <w:rFonts w:ascii="Georgia" w:cs="Georgia" w:eastAsia="Georgia" w:hAnsi="Georgia"/>
          <w:b/>
          <w:bCs/>
          <w:color w:val="2F5496"/>
          <w:sz w:val="22"/>
          <w:szCs w:val="22"/>
        </w:rPr>
        <w:t xml:space="preserve">VI.4.5 El Anexo V recortado a este objeto</w:t>
      </w:r>
    </w:p>
    <w:p>
      <w:pPr>
        <w:spacing w:after="140" w:line="276"/>
      </w:pPr>
      <w:r>
        <w:rPr>
          <w:rFonts w:ascii="Calibri" w:cs="Calibri" w:eastAsia="Calibri" w:hAnsi="Calibri"/>
          <w:sz w:val="21"/>
          <w:szCs w:val="21"/>
        </w:rPr>
        <w:t xml:space="preserve">El Anexo V del ejercicio (Anexo V de este documento, apartado V.A.2) se </w:t>
      </w:r>
      <w:r>
        <w:rPr>
          <w:rFonts w:ascii="Calibri" w:cs="Calibri" w:eastAsia="Calibri" w:hAnsi="Calibri"/>
          <w:b/>
          <w:bCs/>
          <w:sz w:val="21"/>
          <w:szCs w:val="21"/>
        </w:rPr>
        <w:t xml:space="preserve">transcribe físicamente en el PPT</w:t>
      </w:r>
      <w:r>
        <w:rPr>
          <w:rFonts w:ascii="Calibri" w:cs="Calibri" w:eastAsia="Calibri" w:hAnsi="Calibri"/>
          <w:sz w:val="21"/>
          <w:szCs w:val="21"/>
        </w:rPr>
        <w:t xml:space="preserve">, recortado a los módulos de este contrato. No se incorpora por remisión: un pliego que remita a un documento municipal revisable cada año es un pliego con obligación indeterminada.</w:t>
      </w:r>
    </w:p>
    <w:p>
      <w:pPr>
        <w:spacing w:after="140" w:line="276"/>
      </w:pPr>
      <w:r>
        <w:rPr>
          <w:rFonts w:ascii="Calibri" w:cs="Calibri" w:eastAsia="Calibri" w:hAnsi="Calibri"/>
          <w:sz w:val="21"/>
          <w:szCs w:val="21"/>
        </w:rPr>
        <w:t xml:space="preserve">El apéndice que lo contiene es 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(Anexo XXV), y lleva delante, en su apartado 1, la relación cerrada y numerada de módulos y funciones de la interfaz. </w:t>
      </w:r>
      <w:r>
        <w:rPr>
          <w:rFonts w:ascii="Calibri" w:cs="Calibri" w:eastAsia="Calibri" w:hAnsi="Calibri"/>
          <w:b/>
          <w:bCs/>
          <w:sz w:val="21"/>
          <w:szCs w:val="21"/>
        </w:rPr>
        <w:t xml:space="preserve">Es la sede única de esa relación</w:t>
      </w:r>
      <w:r>
        <w:rPr>
          <w:rFonts w:ascii="Calibri" w:cs="Calibri" w:eastAsia="Calibri" w:hAnsi="Calibri"/>
          <w:sz w:val="21"/>
          <w:szCs w:val="21"/>
        </w:rPr>
        <w:t xml:space="preserve">: este pliego no abre un apéndice separado para DT-7·v3, porque dos listas cerradas sobre la misma interfaz dejarían sin término de comparación al criterio A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2 · EXIGENCIAS TECNOLÓGICAS DETERMINADAS APLICABLES A ESTE CONTRATO</w:t>
            </w:r>
          </w:p>
          <w:p>
            <w:pPr>
              <w:spacing w:after="100" w:line="264"/>
            </w:pPr>
            <w:r>
              <w:rPr>
                <w:rFonts w:ascii="Georgia" w:cs="Georgia" w:eastAsia="Georgia" w:hAnsi="Georgia"/>
                <w:b/>
                <w:bCs/>
                <w:sz w:val="20"/>
                <w:szCs w:val="20"/>
              </w:rPr>
              <w:t xml:space="preserve">1. Módulos y funciones de la interfaz normalizada.</w:t>
            </w:r>
            <w:r>
              <w:rPr>
                <w:rFonts w:ascii="Georgia" w:cs="Georgia" w:eastAsia="Georgia" w:hAnsi="Georgia"/>
                <w:sz w:val="20"/>
                <w:szCs w:val="20"/>
              </w:rPr>
              <w:t xml:space="preserve"> Este apartado es la </w:t>
            </w:r>
            <w:r>
              <w:rPr>
                <w:rFonts w:ascii="Georgia" w:cs="Georgia" w:eastAsia="Georgia" w:hAnsi="Georgia"/>
                <w:b/>
                <w:bCs/>
                <w:sz w:val="20"/>
                <w:szCs w:val="20"/>
              </w:rPr>
              <w:t xml:space="preserve">única</w:t>
            </w:r>
            <w:r>
              <w:rPr>
                <w:rFonts w:ascii="Georgia" w:cs="Georgia" w:eastAsia="Georgia" w:hAnsi="Georgia"/>
                <w:sz w:val="20"/>
                <w:szCs w:val="20"/>
              </w:rPr>
              <w:t xml:space="preserve"> relación de este pliego sobre los módulos y las funciones de la interfaz normalizada. Ningún otro documento del pliego contiene una relación distinta sobre la misma interfaz, y el exceso que valora el criterio A del pliego de cláusulas administrativas particulares se mide exclusivamente sobre el bloque B.</w:t>
            </w:r>
          </w:p>
          <w:p>
            <w:pPr>
              <w:spacing w:after="100" w:line="264"/>
            </w:pPr>
            <w:r>
              <w:rPr>
                <w:rFonts w:ascii="Georgia" w:cs="Georgia" w:eastAsia="Georgia" w:hAnsi="Georgia"/>
                <w:sz w:val="20"/>
                <w:szCs w:val="20"/>
              </w:rPr>
              <w:t xml:space="preserve">Módulos alcanzados por la exigencia ET-1: (i) contabilidad presupuestaria y financiera; (ii) gestión patrimonial e inventario de bienes y derechos; (iii) terceros y endosos. Quedan excluidos los módulos [relación de módulos excluidos].</w:t>
            </w:r>
          </w:p>
          <w:p>
            <w:pPr>
              <w:spacing w:after="100" w:line="264"/>
            </w:pPr>
            <w:r>
              <w:rPr>
                <w:rFonts w:ascii="Georgia" w:cs="Georgia" w:eastAsia="Georgia" w:hAnsi="Georgia"/>
                <w:b/>
                <w:bCs/>
                <w:sz w:val="20"/>
                <w:szCs w:val="20"/>
              </w:rPr>
              <w:t xml:space="preserve">Bloque A · Funciones mínimas</w:t>
            </w:r>
            <w:r>
              <w:rPr>
                <w:rFonts w:ascii="Georgia" w:cs="Georgia" w:eastAsia="Georgia" w:hAnsi="Georgia"/>
                <w:sz w:val="20"/>
                <w:szCs w:val="20"/>
              </w:rPr>
              <w:t xml:space="preserve"> que la interfaz debe exponer sobre los módulos anteriores,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Son prescripción técnica obligatoria y </w:t>
            </w:r>
            <w:r>
              <w:rPr>
                <w:rFonts w:ascii="Georgia" w:cs="Georgia" w:eastAsia="Georgia" w:hAnsi="Georgia"/>
                <w:b/>
                <w:bCs/>
                <w:sz w:val="20"/>
                <w:szCs w:val="20"/>
              </w:rPr>
              <w:t xml:space="preserve">no puntúan</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a) Consulta de saldos y movimientos por aplicación presupuestaria, ejercicio y fecha.</w:t>
            </w:r>
          </w:p>
          <w:p>
            <w:pPr>
              <w:spacing w:after="100" w:line="264"/>
            </w:pPr>
            <w:r>
              <w:rPr>
                <w:rFonts w:ascii="Georgia" w:cs="Georgia" w:eastAsia="Georgia" w:hAnsi="Georgia"/>
                <w:sz w:val="20"/>
                <w:szCs w:val="20"/>
              </w:rPr>
              <w:t xml:space="preserve">b) Consulta del estado de tramitación de un documento contable identificado.</w:t>
            </w:r>
          </w:p>
          <w:p>
            <w:pPr>
              <w:spacing w:after="100" w:line="264"/>
            </w:pPr>
            <w:r>
              <w:rPr>
                <w:rFonts w:ascii="Georgia" w:cs="Georgia" w:eastAsia="Georgia" w:hAnsi="Georgia"/>
                <w:sz w:val="20"/>
                <w:szCs w:val="20"/>
              </w:rPr>
              <w:t xml:space="preserve">c) Consulta de obligaciones reconocidas y pagos por tercero y por período.</w:t>
            </w:r>
          </w:p>
          <w:p>
            <w:pPr>
              <w:spacing w:after="100" w:line="264"/>
            </w:pPr>
            <w:r>
              <w:rPr>
                <w:rFonts w:ascii="Georgia" w:cs="Georgia" w:eastAsia="Georgia" w:hAnsi="Georgia"/>
                <w:sz w:val="20"/>
                <w:szCs w:val="20"/>
              </w:rPr>
              <w:t xml:space="preserve">d) Consulta de la ficha de un bien del inventario y de su histórico de movimientos.</w:t>
            </w:r>
          </w:p>
          <w:p>
            <w:pPr>
              <w:spacing w:after="100" w:line="264"/>
            </w:pPr>
            <w:r>
              <w:rPr>
                <w:rFonts w:ascii="Georgia" w:cs="Georgia" w:eastAsia="Georgia" w:hAnsi="Georgia"/>
                <w:sz w:val="20"/>
                <w:szCs w:val="20"/>
              </w:rPr>
              <w:t xml:space="preserve">e) Consulta del diccionario de datos y del catálogo de funciones expuestas.</w:t>
            </w:r>
          </w:p>
          <w:p>
            <w:pPr>
              <w:spacing w:after="100" w:line="264"/>
            </w:pPr>
            <w:r>
              <w:rPr>
                <w:rFonts w:ascii="Georgia" w:cs="Georgia" w:eastAsia="Georgia" w:hAnsi="Georgia"/>
                <w:b/>
                <w:bCs/>
                <w:sz w:val="20"/>
                <w:szCs w:val="20"/>
              </w:rPr>
              <w:t xml:space="preserve">Bloque B · Funciones adicionales ofertables</w:t>
            </w:r>
            <w:r>
              <w:rPr>
                <w:rFonts w:ascii="Georgia" w:cs="Georgia" w:eastAsia="Georgia" w:hAnsi="Georgia"/>
                <w:sz w:val="20"/>
                <w:szCs w:val="20"/>
              </w:rPr>
              <w:t xml:space="preserve"> sobre esos mismos módulos,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Relación cerrada y numerada: es la única base del criterio A del pliego de cláusulas administrativas particulares, que cuenta las funciones de este bloque que el licitador se compromete a exponer por encima de las cinco del bloque A. </w:t>
            </w:r>
            <w:r>
              <w:rPr>
                <w:rFonts w:ascii="Georgia" w:cs="Georgia" w:eastAsia="Georgia" w:hAnsi="Georgia"/>
                <w:b/>
                <w:bCs/>
                <w:sz w:val="20"/>
                <w:szCs w:val="20"/>
              </w:rPr>
              <w:t xml:space="preserve">Se valora el compromiso</w:t>
            </w:r>
            <w:r>
              <w:rPr>
                <w:rFonts w:ascii="Georgia" w:cs="Georgia" w:eastAsia="Georgia" w:hAnsi="Georgia"/>
                <w:sz w:val="20"/>
                <w:szCs w:val="20"/>
              </w:rPr>
              <w:t xml:space="preserve">, con independencia de que la función se entregue desde la puesta en producción inicial o mediante desarrollo dentro del plazo de entrega fijado más abajo:</w:t>
            </w:r>
          </w:p>
          <w:p>
            <w:pPr>
              <w:spacing w:after="100" w:line="264"/>
            </w:pPr>
            <w:r>
              <w:rPr>
                <w:rFonts w:ascii="Georgia" w:cs="Georgia" w:eastAsia="Georgia" w:hAnsi="Georgia"/>
                <w:sz w:val="20"/>
                <w:szCs w:val="20"/>
              </w:rPr>
              <w:t xml:space="preserve">B.1) Consulta de la ejecución del presupuesto de gastos y de ingresos por programa y por clasificación orgánica, con detalle por fases del gasto.</w:t>
            </w:r>
          </w:p>
          <w:p>
            <w:pPr>
              <w:spacing w:after="100" w:line="264"/>
            </w:pPr>
            <w:r>
              <w:rPr>
                <w:rFonts w:ascii="Georgia" w:cs="Georgia" w:eastAsia="Georgia" w:hAnsi="Georgia"/>
                <w:sz w:val="20"/>
                <w:szCs w:val="20"/>
              </w:rPr>
              <w:t xml:space="preserve">B.2) Consulta de las obligaciones pendientes de pago y del período medio de pago a proveedores.</w:t>
            </w:r>
          </w:p>
          <w:p>
            <w:pPr>
              <w:spacing w:after="100" w:line="264"/>
            </w:pPr>
            <w:r>
              <w:rPr>
                <w:rFonts w:ascii="Georgia" w:cs="Georgia" w:eastAsia="Georgia" w:hAnsi="Georgia"/>
                <w:sz w:val="20"/>
                <w:szCs w:val="20"/>
              </w:rPr>
              <w:t xml:space="preserve">B.3) Consulta de las facturas registradas y de su estado de tramitación, por proveedor y por período.</w:t>
            </w:r>
          </w:p>
          <w:p>
            <w:pPr>
              <w:spacing w:after="100" w:line="264"/>
            </w:pPr>
            <w:r>
              <w:rPr>
                <w:rFonts w:ascii="Georgia" w:cs="Georgia" w:eastAsia="Georgia" w:hAnsi="Georgia"/>
                <w:sz w:val="20"/>
                <w:szCs w:val="20"/>
              </w:rPr>
              <w:t xml:space="preserve">B.4) Consulta de proyectos de gasto con financiación afectada y de sus desviaciones.</w:t>
            </w:r>
          </w:p>
          <w:p>
            <w:pPr>
              <w:spacing w:after="100" w:line="264"/>
            </w:pPr>
            <w:r>
              <w:rPr>
                <w:rFonts w:ascii="Georgia" w:cs="Georgia" w:eastAsia="Georgia" w:hAnsi="Georgia"/>
                <w:sz w:val="20"/>
                <w:szCs w:val="20"/>
              </w:rPr>
              <w:t xml:space="preserve">B.5) Consulta de los movimientos del inventario por tipo de bien, epígrafe y período, con la amortización acumulada.</w:t>
            </w:r>
          </w:p>
          <w:p>
            <w:pPr>
              <w:spacing w:after="100" w:line="264"/>
            </w:pPr>
            <w:r>
              <w:rPr>
                <w:rFonts w:ascii="Georgia" w:cs="Georgia" w:eastAsia="Georgia" w:hAnsi="Georgia"/>
                <w:sz w:val="20"/>
                <w:szCs w:val="20"/>
              </w:rPr>
              <w:t xml:space="preserve">B.6) Consulta de los datos de terceros y de los endosos asociados a una obligación reconocida.</w:t>
            </w:r>
          </w:p>
          <w:p>
            <w:pPr>
              <w:spacing w:after="100" w:line="264"/>
            </w:pPr>
            <w:r>
              <w:rPr>
                <w:rFonts w:ascii="Georgia" w:cs="Georgia" w:eastAsia="Georgia" w:hAnsi="Georgia"/>
                <w:sz w:val="20"/>
                <w:szCs w:val="20"/>
              </w:rPr>
              <w:t xml:space="preserve">B.7) Consulta de los asientos del registro de auditoría por persona usuaria, agente, fecha y módulo, con exportación en formato abierto.</w:t>
            </w:r>
          </w:p>
          <w:p>
            <w:pPr>
              <w:spacing w:after="100" w:line="264"/>
            </w:pPr>
            <w:r>
              <w:rPr>
                <w:rFonts w:ascii="Georgia" w:cs="Georgia" w:eastAsia="Georgia" w:hAnsi="Georgia"/>
                <w:sz w:val="20"/>
                <w:szCs w:val="20"/>
              </w:rPr>
              <w:t xml:space="preserve">B.8) Suscripción a avisos de cambio de estado sobre un documento contable identificado.</w:t>
            </w:r>
          </w:p>
          <w:p>
            <w:pPr>
              <w:spacing w:after="100" w:line="264"/>
            </w:pPr>
            <w:r>
              <w:rPr>
                <w:rFonts w:ascii="Georgia" w:cs="Georgia" w:eastAsia="Georgia" w:hAnsi="Georgia"/>
                <w:b/>
                <w:bCs/>
                <w:sz w:val="20"/>
                <w:szCs w:val="20"/>
              </w:rPr>
              <w:t xml:space="preserve">2. Transcripción del Catálogo de Exigencias Tecnológicas Determinadas.</w:t>
            </w:r>
            <w:r>
              <w:rPr>
                <w:rFonts w:ascii="Georgia" w:cs="Georgia" w:eastAsia="Georgia" w:hAnsi="Georgia"/>
                <w:sz w:val="20"/>
                <w:szCs w:val="20"/>
              </w:rPr>
              <w:t xml:space="preserve"> Se transcriben a continuación las exigencias tecnológicas ET-1, ET-2 y ET-3 del Catálogo de Exigencias Tecnológicas Determinadas del ejercicio 2026-2027, versión [1.0], aprobado por [órgano competente] con fecha [fecha], en su redacción vigente en la fecha de aprobación del presente pliego. Las revisiones posteriores del Catálogo </w:t>
            </w:r>
            <w:r>
              <w:rPr>
                <w:rFonts w:ascii="Georgia" w:cs="Georgia" w:eastAsia="Georgia" w:hAnsi="Georgia"/>
                <w:b/>
                <w:bCs/>
                <w:sz w:val="20"/>
                <w:szCs w:val="20"/>
              </w:rPr>
              <w:t xml:space="preserve">no</w:t>
            </w:r>
            <w:r>
              <w:rPr>
                <w:rFonts w:ascii="Georgia" w:cs="Georgia" w:eastAsia="Georgia" w:hAnsi="Georgia"/>
                <w:sz w:val="20"/>
                <w:szCs w:val="20"/>
              </w:rPr>
              <w:t xml:space="preserve"> afectan a este contrato.</w:t>
            </w:r>
          </w:p>
          <w:p>
            <w:pPr>
              <w:spacing w:after="100" w:line="264"/>
            </w:pPr>
            <w:r>
              <w:rPr>
                <w:rFonts w:ascii="Georgia" w:cs="Georgia" w:eastAsia="Georgia" w:hAnsi="Georgia"/>
                <w:sz w:val="20"/>
                <w:szCs w:val="20"/>
              </w:rPr>
              <w:t xml:space="preserve">Operaciones de escritura habilitables al amparo de la exigencia ET-2 en este contrato: </w:t>
            </w:r>
            <w:r>
              <w:rPr>
                <w:rFonts w:ascii="Georgia" w:cs="Georgia" w:eastAsia="Georgia" w:hAnsi="Georgia"/>
                <w:b/>
                <w:bCs/>
                <w:sz w:val="20"/>
                <w:szCs w:val="20"/>
              </w:rPr>
              <w:t xml:space="preserve">ninguna con efecto contable</w:t>
            </w:r>
            <w:r>
              <w:rPr>
                <w:rFonts w:ascii="Georgia" w:cs="Georgia" w:eastAsia="Georgia" w:hAnsi="Georgia"/>
                <w:sz w:val="20"/>
                <w:szCs w:val="20"/>
              </w:rPr>
              <w:t xml:space="preserve">. Se habilitan exclusivamente operaciones sin efecto jurídico ni económico: creación de borradores de documento contable no contabilizado y generación de informes. Toda operación con efecto jurídico o económico requiere validación expresa de la persona competente, sin posibilidad de configuración en sentido contrario.</w:t>
            </w:r>
          </w:p>
          <w:p>
            <w:pPr>
              <w:spacing w:after="100" w:line="264"/>
            </w:pPr>
            <w:r>
              <w:rPr>
                <w:rFonts w:ascii="Georgia" w:cs="Georgia" w:eastAsia="Georgia" w:hAnsi="Georgia"/>
                <w:sz w:val="20"/>
                <w:szCs w:val="20"/>
              </w:rPr>
              <w:t xml:space="preserve">Alcance de la exigencia ET-3 en este contrato: el registro de trazabilidad y auditoría comprende la totalidad de las consultas, propuestas y acciones realizadas sobre los módulos alcanzados por ET-1 y sobre las operaciones habilitadas conforme a ET-2, con los cinco criterios de aceptación del Catálogo, sin recorte alguno. La periodicidad de la copia exportada con resumen criptográfico es [X; se recomienda DIARIA] y el registro se conserva por un período no inferior a [VEINTICUATRO (24)] meses, por sostener el sistema funciones de control interno y actos susceptibles de impugnación.</w:t>
            </w:r>
          </w:p>
          <w:p>
            <w:pPr>
              <w:spacing w:after="100" w:line="264"/>
            </w:pPr>
            <w:r>
              <w:rPr>
                <w:rFonts w:ascii="Georgia" w:cs="Georgia" w:eastAsia="Georgia" w:hAnsi="Georgia"/>
                <w:sz w:val="20"/>
                <w:szCs w:val="20"/>
              </w:rPr>
              <w:t xml:space="preserve">Plazo de entrega: [X; se recomienda DOCE (12)] meses desde la formalización del contrato o, si fuera posterior, desde la puesta en producción del módulo correspondiente.</w:t>
            </w:r>
          </w:p>
          <w:p>
            <w:pPr>
              <w:spacing w:after="100" w:line="264"/>
            </w:pPr>
            <w:r>
              <w:rPr>
                <w:rFonts w:ascii="Georgia" w:cs="Georgia" w:eastAsia="Georgia" w:hAnsi="Georgia"/>
                <w:sz w:val="20"/>
                <w:szCs w:val="20"/>
              </w:rPr>
              <w:t xml:space="preserve">Verificación: prueba de aceptación ejecutada por los servicios municipales sobre el entorno de pruebas, documentada en acta suscrita por el responsable del contrato.</w:t>
            </w:r>
          </w:p>
        </w:tc>
      </w:tr>
    </w:tbl>
    <w:p>
      <w:pPr>
        <w:spacing w:after="220"/>
      </w:pPr>
    </w:p>
    <w:p>
      <w:pPr>
        <w:spacing w:after="140" w:line="276"/>
      </w:pPr>
      <w:r>
        <w:rPr>
          <w:rFonts w:ascii="Calibri" w:cs="Calibri" w:eastAsia="Calibri" w:hAnsi="Calibri"/>
          <w:sz w:val="21"/>
          <w:szCs w:val="21"/>
        </w:rPr>
        <w:t xml:space="preserve">Por qué se recorta así: la operación autónoma sobre un sistema contable es donde el catálogo puede hacer daño de verdad. Limitar ET-2 a operaciones sin efecto contable convierte una exigencia discutible en una exigencia que un interventor puede firmar, y no impide la evolución: cuando el Ayuntamiento quiera habilitar escritura contable, lo hará en la licitación siguiente con el Anexo V actualizado y con el circuito de autorización resuelto.</w:t>
      </w:r>
    </w:p>
    <w:p>
      <w:pPr>
        <w:pStyle w:val="Heading3"/>
        <w:keepNext/>
        <w:spacing w:after="140" w:before="320"/>
      </w:pPr>
      <w:r>
        <w:rPr>
          <w:rFonts w:ascii="Georgia" w:cs="Georgia" w:eastAsia="Georgia" w:hAnsi="Georgia"/>
          <w:b/>
          <w:bCs/>
          <w:color w:val="2F5496"/>
          <w:sz w:val="22"/>
          <w:szCs w:val="22"/>
        </w:rPr>
        <w:t xml:space="preserve">VI.4.6 El baremo completo, con el precio dentro</w:t>
      </w:r>
    </w:p>
    <w:p>
      <w:pPr>
        <w:spacing w:after="140" w:line="276"/>
      </w:pPr>
      <w:r>
        <w:rPr>
          <w:rFonts w:ascii="Calibri" w:cs="Calibri" w:eastAsia="Calibri" w:hAnsi="Calibri"/>
          <w:sz w:val="21"/>
          <w:szCs w:val="21"/>
        </w:rPr>
        <w:t xml:space="preserve">Tres advertencias antes de la tabla, porque son las tres formas de tumbar un baremo:</w:t>
      </w:r>
    </w:p>
    <w:p>
      <w:pPr>
        <w:pStyle w:val="ListParagraph"/>
        <w:numPr>
          <w:ilvl w:val="0"/>
          <w:numId w:val="2"/>
        </w:numPr>
        <w:spacing w:after="70" w:line="268"/>
      </w:pPr>
      <w:r>
        <w:rPr>
          <w:rFonts w:ascii="Calibri" w:cs="Calibri" w:eastAsia="Calibri" w:hAnsi="Calibri"/>
          <w:b/>
          <w:bCs/>
          <w:sz w:val="21"/>
          <w:szCs w:val="21"/>
        </w:rPr>
        <w:t xml:space="preserve">Un baremo de 100 puntos en el que ningún punto valora la prestación es indefendible.</w:t>
      </w:r>
      <w:r>
        <w:rPr>
          <w:rFonts w:ascii="Calibri" w:cs="Calibri" w:eastAsia="Calibri" w:hAnsi="Calibri"/>
          <w:sz w:val="21"/>
          <w:szCs w:val="21"/>
        </w:rPr>
        <w:t xml:space="preserve"> El bloque de innovación es un bloque </w:t>
      </w:r>
      <w:r>
        <w:rPr>
          <w:rFonts w:ascii="Calibri" w:cs="Calibri" w:eastAsia="Calibri" w:hAnsi="Calibri"/>
          <w:b/>
          <w:bCs/>
          <w:sz w:val="21"/>
          <w:szCs w:val="21"/>
        </w:rPr>
        <w:t xml:space="preserve">dentro</w:t>
      </w:r>
      <w:r>
        <w:rPr>
          <w:rFonts w:ascii="Calibri" w:cs="Calibri" w:eastAsia="Calibri" w:hAnsi="Calibri"/>
          <w:sz w:val="21"/>
          <w:szCs w:val="21"/>
        </w:rPr>
        <w:t xml:space="preserve"> del baremo del contrato, no el baremo.</w:t>
      </w:r>
    </w:p>
    <w:p>
      <w:pPr>
        <w:pStyle w:val="ListParagraph"/>
        <w:numPr>
          <w:ilvl w:val="0"/>
          <w:numId w:val="2"/>
        </w:numPr>
        <w:spacing w:after="70" w:line="268"/>
      </w:pPr>
      <w:r>
        <w:rPr>
          <w:rFonts w:ascii="Calibri" w:cs="Calibri" w:eastAsia="Calibri" w:hAnsi="Calibri"/>
          <w:b/>
          <w:bCs/>
          <w:sz w:val="21"/>
          <w:szCs w:val="21"/>
        </w:rPr>
        <w:t xml:space="preserve">No se puntúa el cumplimiento de lo que el pliego ya impone como obligación.</w:t>
      </w:r>
      <w:r>
        <w:rPr>
          <w:rFonts w:ascii="Calibri" w:cs="Calibri" w:eastAsia="Calibri" w:hAnsi="Calibri"/>
          <w:sz w:val="21"/>
          <w:szCs w:val="21"/>
        </w:rPr>
        <w:t xml:space="preserve"> Cada criterio de abajo lleva escrito qué valora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y ese mínimo está en el PPT.</w:t>
      </w:r>
    </w:p>
    <w:p>
      <w:pPr>
        <w:pStyle w:val="ListParagraph"/>
        <w:numPr>
          <w:ilvl w:val="0"/>
          <w:numId w:val="2"/>
        </w:numPr>
        <w:spacing w:after="70" w:line="268"/>
      </w:pPr>
      <w:r>
        <w:rPr>
          <w:rFonts w:ascii="Calibri" w:cs="Calibri" w:eastAsia="Calibri" w:hAnsi="Calibri"/>
          <w:b/>
          <w:bCs/>
          <w:sz w:val="21"/>
          <w:szCs w:val="21"/>
        </w:rPr>
        <w:t xml:space="preserve">El encaje procedimental manda sobre el diseño.</w:t>
      </w:r>
      <w:r>
        <w:rPr>
          <w:rFonts w:ascii="Calibri" w:cs="Calibri" w:eastAsia="Calibri" w:hAnsi="Calibri"/>
          <w:sz w:val="21"/>
          <w:szCs w:val="21"/>
        </w:rPr>
        <w:t xml:space="preserve"> El porcentaje de juicio de valor decide el procedimiento utilizable y la necesidad de comité de expertos, no al revés.</w:t>
      </w:r>
    </w:p>
    <w:p>
      <w:pPr>
        <w:spacing w:after="140" w:line="276"/>
      </w:pPr>
      <w:r>
        <w:rPr>
          <w:rFonts w:ascii="Calibri" w:cs="Calibri" w:eastAsia="Calibri" w:hAnsi="Calibri"/>
          <w:b/>
          <w:bCs/>
          <w:sz w:val="21"/>
          <w:szCs w:val="21"/>
        </w:rPr>
        <w:t xml:space="preserve">Variante A — procedimiento abierto ordinario (recomendada para este contrato)</w:t>
      </w:r>
    </w:p>
    <w:p>
      <w:pPr>
        <w:spacing w:after="140" w:line="276"/>
      </w:pPr>
      <w:r>
        <w:rPr>
          <w:rFonts w:ascii="Calibri" w:cs="Calibri" w:eastAsia="Calibri" w:hAnsi="Calibri"/>
          <w:sz w:val="21"/>
          <w:szCs w:val="21"/>
        </w:rPr>
        <w:t xml:space="preserve">Es el baremo modelo de ADM-7·v3, apartado 2, aplicado a este expediente: mismos criterios, mismos códigos y mismas cifras del contrato de ejemplo. No hay dos baremos modelo en este documento.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valora exactamente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Mínimo obligatorio de referencia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 sobre el presupuesto base de licitación, con la fórmula del Anexo XVII y el tratamiento de ofertas anormalmente bajas allí previsto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requisitos funcionales de la lista cerrada «deseables» del PPT que el licitador </w:t>
            </w:r>
            <w:r>
              <w:rPr>
                <w:rFonts w:ascii="Calibri" w:cs="Calibri" w:eastAsia="Calibri" w:hAnsi="Calibri"/>
                <w:b/>
                <w:bCs/>
                <w:sz w:val="18"/>
                <w:szCs w:val="18"/>
              </w:rPr>
              <w:t xml:space="preserve">se compromete</w:t>
            </w:r>
            <w:r>
              <w:rPr>
                <w:rFonts w:ascii="Calibri" w:cs="Calibri" w:eastAsia="Calibri" w:hAnsi="Calibri"/>
                <w:b w:val="false"/>
                <w:bCs w:val="false"/>
                <w:sz w:val="18"/>
                <w:szCs w:val="18"/>
              </w:rPr>
              <w:t xml:space="preserve"> a tener operativos en el plazo del PPT, sea porque la solución los cubre desde su entrega inicial, sea porque los desarrolla dentro de ese plazo. La disponibilidad a la fecha de la oferta no se valora ni se exige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requisitos «obligatorios» del PPT, que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 Plan de implantación y migración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del plan de migración de los ejercicios históricos, plan de pruebas y plan de vuelta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plan, exigida por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Tiempos de respuesta y resolución ofertados </w:t>
            </w:r>
            <w:r>
              <w:rPr>
                <w:rFonts w:ascii="Calibri" w:cs="Calibri" w:eastAsia="Calibri" w:hAnsi="Calibri"/>
                <w:b/>
                <w:bCs/>
                <w:sz w:val="18"/>
                <w:szCs w:val="18"/>
              </w:rPr>
              <w:t xml:space="preserve">por debajo</w:t>
            </w:r>
            <w:r>
              <w:rPr>
                <w:rFonts w:ascii="Calibri" w:cs="Calibri" w:eastAsia="Calibri" w:hAnsi="Calibri"/>
                <w:b w:val="false"/>
                <w:bCs w:val="false"/>
                <w:sz w:val="18"/>
                <w:szCs w:val="18"/>
              </w:rPr>
              <w:t xml:space="preserve"> de los máximos del PPT, en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niveles de servicio máximos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 Plan de formación y acompañamiento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Adecuación a los perfiles municipales reales (gestor contable, patrimonio,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mínimas de formación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Alcance funcional adicional de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funciones del </w:t>
            </w:r>
            <w:r>
              <w:rPr>
                <w:rFonts w:ascii="Calibri" w:cs="Calibri" w:eastAsia="Calibri" w:hAnsi="Calibri"/>
                <w:b/>
                <w:bCs/>
                <w:sz w:val="18"/>
                <w:szCs w:val="18"/>
              </w:rPr>
              <w:t xml:space="preserve">bloque B · Funciones adicionales ofertables</w:t>
            </w:r>
            <w:r>
              <w:rPr>
                <w:rFonts w:ascii="Calibri" w:cs="Calibri" w:eastAsia="Calibri" w:hAnsi="Calibri"/>
                <w:b w:val="false"/>
                <w:bCs w:val="false"/>
                <w:sz w:val="18"/>
                <w:szCs w:val="18"/>
              </w:rPr>
              <w:t xml:space="preserve"> del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(ocho funciones) que el licitador se compromete a exponer </w:t>
            </w:r>
            <w:r>
              <w:rPr>
                <w:rFonts w:ascii="Calibri" w:cs="Calibri" w:eastAsia="Calibri" w:hAnsi="Calibri"/>
                <w:b/>
                <w:bCs/>
                <w:sz w:val="18"/>
                <w:szCs w:val="18"/>
              </w:rPr>
              <w:t xml:space="preserve">por encima</w:t>
            </w:r>
            <w:r>
              <w:rPr>
                <w:rFonts w:ascii="Calibri" w:cs="Calibri" w:eastAsia="Calibri" w:hAnsi="Calibri"/>
                <w:b w:val="false"/>
                <w:bCs w:val="false"/>
                <w:sz w:val="18"/>
                <w:szCs w:val="18"/>
              </w:rPr>
              <w:t xml:space="preserve"> de las cinco del bloque A. Es indiferente que se entreguen de origen o mediante desarrollo dentro del plazo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funciones mínimas del bloque A del mismo apartado (ET-1)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Plazo ofertado de puesta en producción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Meses ofertados por debajo del máximo de 12, con puntuación proporcional y suelo en [X; se recomienda 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 Tratamiento del caso de uso municipal publicado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con rúbrica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Descripción, en la memoria técnica presentada en plazo</w:t>
            </w:r>
            <w:r>
              <w:rPr>
                <w:rFonts w:ascii="Calibri" w:cs="Calibri" w:eastAsia="Calibri" w:hAnsi="Calibri"/>
                <w:b w:val="false"/>
                <w:bCs w:val="false"/>
                <w:sz w:val="18"/>
                <w:szCs w:val="18"/>
              </w:rPr>
              <w:t xml:space="preserve">, de cómo la solución ofertada resuelve las cinco tareas del caso de uso publicado en el PCAP, valorada conforme a la rúbrica de VI.5. La demostración funcional de ADM-9·v3 </w:t>
            </w:r>
            <w:r>
              <w:rPr>
                <w:rFonts w:ascii="Calibri" w:cs="Calibri" w:eastAsia="Calibri" w:hAnsi="Calibri"/>
                <w:b/>
                <w:bCs/>
                <w:sz w:val="18"/>
                <w:szCs w:val="18"/>
              </w:rPr>
              <w:t xml:space="preserve">confirma o retira</w:t>
            </w:r>
            <w:r>
              <w:rPr>
                <w:rFonts w:ascii="Calibri" w:cs="Calibri" w:eastAsia="Calibri" w:hAnsi="Calibri"/>
                <w:b w:val="false"/>
                <w:bCs w:val="false"/>
                <w:sz w:val="18"/>
                <w:szCs w:val="18"/>
              </w:rPr>
              <w:t xml:space="preserve">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 Plan de gobernanza de IA 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Supervisión humana, registro y trazabilidad de decisiones, gestión de sesgos y plan de retirada, </w:t>
            </w:r>
            <w:r>
              <w:rPr>
                <w:rFonts w:ascii="Calibri" w:cs="Calibri" w:eastAsia="Calibri" w:hAnsi="Calibri"/>
                <w:b/>
                <w:bCs/>
                <w:sz w:val="18"/>
                <w:szCs w:val="18"/>
              </w:rPr>
              <w:t xml:space="preserve">referidos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procesos de la lista cerrada y numerada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PPT que el licitador se compromete a automatizar por encima de los mínimos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procesos mínimos de DT-4·v3, relacionados en el mismo apéndice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Precio/hora ponderado de los perfiles de la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Comprobaciones obligatorias sobre este baremo, que son las que la hoja del Anexo IV automatiza:</w:t>
      </w:r>
    </w:p>
    <w:p>
      <w:pPr>
        <w:pStyle w:val="ListParagraph"/>
        <w:numPr>
          <w:ilvl w:val="0"/>
          <w:numId w:val="1"/>
        </w:numPr>
        <w:spacing w:after="70" w:line="268"/>
      </w:pPr>
      <w:r>
        <w:rPr>
          <w:rFonts w:ascii="Calibri" w:cs="Calibri" w:eastAsia="Calibri" w:hAnsi="Calibri"/>
          <w:b/>
          <w:bCs/>
          <w:sz w:val="21"/>
          <w:szCs w:val="21"/>
        </w:rPr>
        <w:t xml:space="preserve">Juicio de valor: 24 puntos (24 %)</w:t>
      </w:r>
      <w:r>
        <w:rPr>
          <w:rFonts w:ascii="Calibri" w:cs="Calibri" w:eastAsia="Calibri" w:hAnsi="Calibri"/>
          <w:sz w:val="21"/>
          <w:szCs w:val="21"/>
        </w:rPr>
        <w:t xml:space="preserve"> —C2, C4, D y E—. Criterios evaluables por fórmula: 76 %. Hay preponderancia clara de los criterios automáticos, luego </w:t>
      </w:r>
      <w:r>
        <w:rPr>
          <w:rFonts w:ascii="Calibri" w:cs="Calibri" w:eastAsia="Calibri" w:hAnsi="Calibri"/>
          <w:b/>
          <w:bCs/>
          <w:sz w:val="21"/>
          <w:szCs w:val="21"/>
        </w:rPr>
        <w:t xml:space="preserve">no procede el comité de expertos</w:t>
      </w:r>
      <w:r>
        <w:rPr>
          <w:rFonts w:ascii="Calibri" w:cs="Calibri" w:eastAsia="Calibri" w:hAnsi="Calibri"/>
          <w:sz w:val="21"/>
          <w:szCs w:val="21"/>
        </w:rPr>
        <w:t xml:space="preserve"> del art. 146.2.a) LCSP.</w:t>
      </w:r>
    </w:p>
    <w:p>
      <w:pPr>
        <w:pStyle w:val="ListParagraph"/>
        <w:numPr>
          <w:ilvl w:val="0"/>
          <w:numId w:val="1"/>
        </w:numPr>
        <w:spacing w:after="70" w:line="268"/>
      </w:pPr>
      <w:r>
        <w:rPr>
          <w:rFonts w:ascii="Calibri" w:cs="Calibri" w:eastAsia="Calibri" w:hAnsi="Calibri"/>
          <w:b/>
          <w:bCs/>
          <w:sz w:val="21"/>
          <w:szCs w:val="21"/>
        </w:rPr>
        <w:t xml:space="preserve">Criterios relacionados con la calidad: 55 puntos (55 %)</w:t>
      </w:r>
      <w:r>
        <w:rPr>
          <w:rFonts w:ascii="Calibri" w:cs="Calibri" w:eastAsia="Calibri" w:hAnsi="Calibri"/>
          <w:sz w:val="21"/>
          <w:szCs w:val="21"/>
        </w:rPr>
        <w:t xml:space="preserve">,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Se cumple el 51 % del art. 145.4 LCSP tanto si el contrato se califica de prestación intelectual como si no.</w:t>
      </w:r>
    </w:p>
    <w:p>
      <w:pPr>
        <w:pStyle w:val="ListParagraph"/>
        <w:numPr>
          <w:ilvl w:val="0"/>
          <w:numId w:val="1"/>
        </w:numPr>
        <w:spacing w:after="70" w:line="268"/>
      </w:pPr>
      <w:r>
        <w:rPr>
          <w:rFonts w:ascii="Calibri" w:cs="Calibri" w:eastAsia="Calibri" w:hAnsi="Calibri"/>
          <w:b/>
          <w:bCs/>
          <w:sz w:val="21"/>
          <w:szCs w:val="21"/>
        </w:rPr>
        <w:t xml:space="preserve">Mejoras:</w:t>
      </w:r>
      <w:r>
        <w:rPr>
          <w:rFonts w:ascii="Calibri" w:cs="Calibri" w:eastAsia="Calibri" w:hAnsi="Calibri"/>
          <w:sz w:val="21"/>
          <w:szCs w:val="21"/>
        </w:rPr>
        <w:t xml:space="preserve"> los criterios A y H de la lista cerrada son prestaciones adicionales a las definidas en el PPT y, por tanto, mejoras en el sentido del art. 145.7 LCSP. Por eso el PPT publica la lista cerrada, sus límites y su vinculación al objeto,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valorarlas por juicio de valor, les sería aplicable el tope del 2,5 %.</w:t>
      </w:r>
    </w:p>
    <w:p>
      <w:pPr>
        <w:pStyle w:val="ListParagraph"/>
        <w:numPr>
          <w:ilvl w:val="0"/>
          <w:numId w:val="1"/>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ningún criterio retribuye una obligación del PPT. A valora funciones adicionales; H, procesos adicionales de la misma lista cerrada; B, plazo inferior al máximo; C3, niveles de servicio mejores que los exigidos; E, un plan que el PPT no exige. Si el PPT llegara a exigir el plan de gobernanza del contrato, </w:t>
      </w:r>
      <w:r>
        <w:rPr>
          <w:rFonts w:ascii="Calibri" w:cs="Calibri" w:eastAsia="Calibri" w:hAnsi="Calibri"/>
          <w:b/>
          <w:bCs/>
          <w:sz w:val="21"/>
          <w:szCs w:val="21"/>
        </w:rPr>
        <w:t xml:space="preserve">el criterio E decae</w:t>
      </w:r>
      <w:r>
        <w:rPr>
          <w:rFonts w:ascii="Calibri" w:cs="Calibri" w:eastAsia="Calibri" w:hAnsi="Calibri"/>
          <w:sz w:val="21"/>
          <w:szCs w:val="21"/>
        </w:rPr>
        <w:t xml:space="preserve"> (Anexo I). Y ninguna capacidad valorada por el baremo figura además entre las obligaciones esenciales del bloque B.2 de ADM-6·v3, </w:t>
      </w:r>
      <w:r>
        <w:rPr>
          <w:rFonts w:ascii="Calibri" w:cs="Calibri" w:eastAsia="Calibri" w:hAnsi="Calibri"/>
          <w:b/>
          <w:bCs/>
          <w:sz w:val="21"/>
          <w:szCs w:val="21"/>
        </w:rPr>
        <w:t xml:space="preserve">porque en este expediente no se marca ninguna letra de ese bloque</w:t>
      </w:r>
      <w:r>
        <w:rPr>
          <w:rFonts w:ascii="Calibri" w:cs="Calibri" w:eastAsia="Calibri" w:hAnsi="Calibri"/>
          <w:sz w:val="21"/>
          <w:szCs w:val="21"/>
        </w:rPr>
        <w:t xml:space="preserve">: el test de relevancia se resuelve en VI.4.3 y su conclusión es negativa. La regla que hay que respetar el día que se marque alguna letra es la del Anexo IV: </w:t>
      </w:r>
      <w:r>
        <w:rPr>
          <w:rFonts w:ascii="Calibri" w:cs="Calibri" w:eastAsia="Calibri" w:hAnsi="Calibri"/>
          <w:b/>
          <w:bCs/>
          <w:sz w:val="21"/>
          <w:szCs w:val="21"/>
        </w:rPr>
        <w:t xml:space="preserve">ninguna capacidad puede figurar a la vez como criterio del baremo y como obligación esencial sobre el mismo nivel de exigencia</w:t>
      </w:r>
      <w:r>
        <w:rPr>
          <w:rFonts w:ascii="Calibri" w:cs="Calibri" w:eastAsia="Calibri" w:hAnsi="Calibri"/>
          <w:sz w:val="21"/>
          <w:szCs w:val="21"/>
        </w:rPr>
        <w:t xml:space="preserve">. Si un expediente marcara las letras e) o g), la esencialidad quedaría acotada al mínimo del PPT —nunca al alcance ofertado por encima de él, como la propia letra e) advierte— y los criterios A y B seguirían valorando exclusivamente el exceso. Acumular sobre el mismo elemento, y sobre el mismo nivel de exigencia, un premio y una pena de máxima intensidad está prohibido.</w:t>
      </w:r>
    </w:p>
    <w:p>
      <w:pPr>
        <w:pStyle w:val="ListParagraph"/>
        <w:numPr>
          <w:ilvl w:val="0"/>
          <w:numId w:val="1"/>
        </w:numPr>
        <w:spacing w:after="70" w:line="268"/>
      </w:pPr>
      <w:r>
        <w:rPr>
          <w:rFonts w:ascii="Calibri" w:cs="Calibri" w:eastAsia="Calibri" w:hAnsi="Calibri"/>
          <w:b/>
          <w:bCs/>
          <w:sz w:val="21"/>
          <w:szCs w:val="21"/>
        </w:rPr>
        <w:t xml:space="preserve">Criterio suprimido:</w:t>
      </w:r>
      <w:r>
        <w:rPr>
          <w:rFonts w:ascii="Calibri" w:cs="Calibri" w:eastAsia="Calibri" w:hAnsi="Calibri"/>
          <w:sz w:val="21"/>
          <w:szCs w:val="21"/>
        </w:rPr>
        <w:t xml:space="preserve"> no figura ningún criterio sobre capacidades de infraestructuras de servicios de confianza, porque DT-2·v3 está marcada NO APLICA. Puntuar una capacidad cuya cláusula técnica se ha declarado innecesaria no se motiva: se suprime el criterio y </w:t>
      </w:r>
      <w:r>
        <w:rPr>
          <w:rFonts w:ascii="Calibri" w:cs="Calibri" w:eastAsia="Calibri" w:hAnsi="Calibri"/>
          <w:b/>
          <w:bCs/>
          <w:sz w:val="21"/>
          <w:szCs w:val="21"/>
        </w:rPr>
        <w:t xml:space="preserve">se recompone el baremo antes de publicar el anuncio</w:t>
      </w:r>
      <w:r>
        <w:rPr>
          <w:rFonts w:ascii="Calibri" w:cs="Calibri" w:eastAsia="Calibri" w:hAnsi="Calibri"/>
          <w:sz w:val="21"/>
          <w:szCs w:val="21"/>
        </w:rPr>
        <w:t xml:space="preserve"> (Anexo VI).</w:t>
      </w:r>
    </w:p>
    <w:p>
      <w:pPr>
        <w:pStyle w:val="ListParagraph"/>
        <w:numPr>
          <w:ilvl w:val="0"/>
          <w:numId w:val="1"/>
        </w:numPr>
        <w:spacing w:after="70" w:line="268"/>
      </w:pPr>
      <w:r>
        <w:rPr>
          <w:rFonts w:ascii="Calibri" w:cs="Calibri" w:eastAsia="Calibri" w:hAnsi="Calibri"/>
          <w:b/>
          <w:bCs/>
          <w:sz w:val="21"/>
          <w:szCs w:val="21"/>
        </w:rPr>
        <w:t xml:space="preserve">Nada puntúa la tenencia previa:</w:t>
      </w:r>
      <w:r>
        <w:rPr>
          <w:rFonts w:ascii="Calibri" w:cs="Calibri" w:eastAsia="Calibri" w:hAnsi="Calibri"/>
          <w:sz w:val="21"/>
          <w:szCs w:val="21"/>
        </w:rPr>
        <w:t xml:space="preserve"> ni certificaciones (ENS, 27001, 27701, 42001), ni experiencia, ni medios, instalaciones o desarrollos ajenos al objeto ya disponibles a fecha de licitación. Lo que sí se valora es la </w:t>
      </w:r>
      <w:r>
        <w:rPr>
          <w:rFonts w:ascii="Calibri" w:cs="Calibri" w:eastAsia="Calibri" w:hAnsi="Calibri"/>
          <w:b/>
          <w:bCs/>
          <w:sz w:val="21"/>
          <w:szCs w:val="21"/>
        </w:rPr>
        <w:t xml:space="preserve">prestación comprometida</w:t>
      </w:r>
      <w:r>
        <w:rPr>
          <w:rFonts w:ascii="Calibri" w:cs="Calibri" w:eastAsia="Calibri" w:hAnsi="Calibri"/>
          <w:sz w:val="21"/>
          <w:szCs w:val="21"/>
        </w:rPr>
        <w:t xml:space="preserve">, que es cosa distinta: los criterios C1 y A cuentan lo que el licitador se obliga a entregar dentro del plazo del contrato, </w:t>
      </w:r>
      <w:r>
        <w:rPr>
          <w:rFonts w:ascii="Calibri" w:cs="Calibri" w:eastAsia="Calibri" w:hAnsi="Calibri"/>
          <w:b/>
          <w:bCs/>
          <w:sz w:val="21"/>
          <w:szCs w:val="21"/>
        </w:rPr>
        <w:t xml:space="preserve">sin exigir que esté disponible el día de ofertar y sin penalizar a quien lo desarrolle</w:t>
      </w:r>
      <w:r>
        <w:rPr>
          <w:rFonts w:ascii="Calibri" w:cs="Calibri" w:eastAsia="Calibri" w:hAnsi="Calibri"/>
          <w:sz w:val="21"/>
          <w:szCs w:val="21"/>
        </w:rPr>
        <w:t xml:space="preserve">, de modo que el licitador que se compromete a desarrollar la funcionalidad puntúa igual que el que ya la trae hecha (ADM-7·v3.1.2). </w:t>
      </w:r>
      <w:r>
        <w:rPr>
          <w:rFonts w:ascii="Calibri" w:cs="Calibri" w:eastAsia="Calibri" w:hAnsi="Calibri"/>
          <w:b/>
          <w:bCs/>
          <w:sz w:val="21"/>
          <w:szCs w:val="21"/>
        </w:rPr>
        <w:t xml:space="preserve">Una precisión que conviene hacer antes de que la haga otro:</w:t>
      </w:r>
      <w:r>
        <w:rPr>
          <w:rFonts w:ascii="Calibri" w:cs="Calibri" w:eastAsia="Calibri" w:hAnsi="Calibri"/>
          <w:sz w:val="21"/>
          <w:szCs w:val="21"/>
        </w:rPr>
        <w:t xml:space="preserve"> el criterio B puntúa un plazo, y un plazo refleja de forma indirecta la disponibilidad previa, porque quien ya tiene la capacidad puede ofertar el mínimo. Por eso el criterio B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esa ventaja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C1 y en A la acotación es distinta y opera en el propio enunciado del criterio: se valora compromiso, no tenencia. En los tres casos lo valorado es una cualidad de la prestación —qué hará el sistema y cuándo estará disponible para el Ayuntamiento—, no una característica de la empresa.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Ofertas anormalmente bajas, que con 45 puntos de precio entre P y F son la principal defensa de este contrato y no un trámite.</w:t>
      </w:r>
      <w:r>
        <w:rPr>
          <w:rFonts w:ascii="Calibri" w:cs="Calibri" w:eastAsia="Calibri" w:hAnsi="Calibri"/>
          <w:sz w:val="21"/>
          <w:szCs w:val="21"/>
        </w:rPr>
        <w:t xml:space="preserve"> El PCAP de este expediente hace tres cosas, que son las tres reglas del </w:t>
      </w:r>
      <w:r>
        <w:rPr>
          <w:rFonts w:ascii="Calibri" w:cs="Calibri" w:eastAsia="Calibri" w:hAnsi="Calibri"/>
          <w:b/>
          <w:bCs/>
          <w:sz w:val="21"/>
          <w:szCs w:val="21"/>
        </w:rPr>
        <w:t xml:space="preserve">Anexo XVII, apartado 5</w:t>
      </w:r>
      <w:r>
        <w:rPr>
          <w:rFonts w:ascii="Calibri" w:cs="Calibri" w:eastAsia="Calibri" w:hAnsi="Calibri"/>
          <w:sz w:val="21"/>
          <w:szCs w:val="21"/>
        </w:rPr>
        <w:t xml:space="preserve">, y se copian de allí: (1) </w:t>
      </w:r>
      <w:r>
        <w:rPr>
          <w:rFonts w:ascii="Calibri" w:cs="Calibri" w:eastAsia="Calibri" w:hAnsi="Calibri"/>
          <w:b/>
          <w:bCs/>
          <w:sz w:val="21"/>
          <w:szCs w:val="21"/>
        </w:rPr>
        <w:t xml:space="preserve">publica antes de licitar los parámetros objetivos</w:t>
      </w:r>
      <w:r>
        <w:rPr>
          <w:rFonts w:ascii="Calibri" w:cs="Calibri" w:eastAsia="Calibri" w:hAnsi="Calibri"/>
          <w:sz w:val="21"/>
          <w:szCs w:val="21"/>
        </w:rPr>
        <w:t xml:space="preserve"> de identificación de la oferta presuntamente anormal, referidos a la oferta en su conjunto o al criterio de precio, según decida el expediente; (2) tramita el requerimiento de justificación al licitador, el informe técnico y la resolución motivada del </w:t>
      </w:r>
      <w:r>
        <w:rPr>
          <w:rFonts w:ascii="Calibri" w:cs="Calibri" w:eastAsia="Calibri" w:hAnsi="Calibri"/>
          <w:b/>
          <w:bCs/>
          <w:sz w:val="21"/>
          <w:szCs w:val="21"/>
        </w:rPr>
        <w:t xml:space="preserve">art. 149 LCSP antes de puntuar</w:t>
      </w:r>
      <w:r>
        <w:rPr>
          <w:rFonts w:ascii="Calibri" w:cs="Calibri" w:eastAsia="Calibri" w:hAnsi="Calibri"/>
          <w:sz w:val="21"/>
          <w:szCs w:val="21"/>
        </w:rPr>
        <w:t xml:space="preserve">, no después; y (3) hace constar expresamente que </w:t>
      </w:r>
      <w:r>
        <w:rPr>
          <w:rFonts w:ascii="Calibri" w:cs="Calibri" w:eastAsia="Calibri" w:hAnsi="Calibri"/>
          <w:b/>
          <w:bCs/>
          <w:sz w:val="21"/>
          <w:szCs w:val="21"/>
        </w:rPr>
        <w:t xml:space="preserve">la oferta excluida no forma parte de la referencia de cálculo de ninguna fórmula</w:t>
      </w:r>
      <w:r>
        <w:rPr>
          <w:rFonts w:ascii="Calibri" w:cs="Calibri" w:eastAsia="Calibri" w:hAnsi="Calibri"/>
          <w:sz w:val="21"/>
          <w:szCs w:val="21"/>
        </w:rPr>
        <w:t xml:space="preserve">. Este expediente </w:t>
      </w:r>
      <w:r>
        <w:rPr>
          <w:rFonts w:ascii="Calibri" w:cs="Calibri" w:eastAsia="Calibri" w:hAnsi="Calibri"/>
          <w:b/>
          <w:bCs/>
          <w:sz w:val="21"/>
          <w:szCs w:val="21"/>
        </w:rPr>
        <w:t xml:space="preserve">no se remite a parámetros supletorios</w:t>
      </w:r>
      <w:r>
        <w:rPr>
          <w:rFonts w:ascii="Calibri" w:cs="Calibri" w:eastAsia="Calibri" w:hAnsi="Calibri"/>
          <w:sz w:val="21"/>
          <w:szCs w:val="21"/>
        </w:rPr>
        <w:t xml:space="preserve"> de ninguna norma de desarrollo: publica los suyos, que es la recomendación del propio Anexo XVII.</w:t>
      </w:r>
    </w:p>
    <w:p>
      <w:pPr>
        <w:spacing w:after="140" w:line="276"/>
      </w:pPr>
      <w:r>
        <w:rPr>
          <w:rFonts w:ascii="Calibri" w:cs="Calibri" w:eastAsia="Calibri" w:hAnsi="Calibri"/>
          <w:b/>
          <w:bCs/>
          <w:sz w:val="21"/>
          <w:szCs w:val="21"/>
        </w:rPr>
        <w:t xml:space="preserve">Variante B — procedimiento abierto simplificado (art. 159 LCSP)</w:t>
      </w:r>
    </w:p>
    <w:p>
      <w:pPr>
        <w:spacing w:after="140" w:line="276"/>
      </w:pPr>
      <w:r>
        <w:rPr>
          <w:rFonts w:ascii="Calibri" w:cs="Calibri" w:eastAsia="Calibri" w:hAnsi="Calibri"/>
          <w:sz w:val="21"/>
          <w:szCs w:val="21"/>
        </w:rPr>
        <w:t xml:space="preserve">Sólo utilizable si el valor estimado no supera el umbral del art. 159.1.a) para servicios y suministros. El límite que aquí manda es el del art. 159.1.b): el juicio de valor no puede superar el </w:t>
      </w:r>
      <w:r>
        <w:rPr>
          <w:rFonts w:ascii="Calibri" w:cs="Calibri" w:eastAsia="Calibri" w:hAnsi="Calibri"/>
          <w:b/>
          <w:bCs/>
          <w:sz w:val="21"/>
          <w:szCs w:val="21"/>
        </w:rPr>
        <w:t xml:space="preserve">25 %</w:t>
      </w:r>
      <w:r>
        <w:rPr>
          <w:rFonts w:ascii="Calibri" w:cs="Calibri" w:eastAsia="Calibri" w:hAnsi="Calibri"/>
          <w:sz w:val="21"/>
          <w:szCs w:val="21"/>
        </w:rPr>
        <w:t xml:space="preserve"> (45 % en prestaciones de carácter intelectual). La variante A, con 24 %, </w:t>
      </w:r>
      <w:r>
        <w:rPr>
          <w:rFonts w:ascii="Calibri" w:cs="Calibri" w:eastAsia="Calibri" w:hAnsi="Calibri"/>
          <w:b/>
          <w:bCs/>
          <w:sz w:val="21"/>
          <w:szCs w:val="21"/>
        </w:rPr>
        <w:t xml:space="preserve">cabe tal cual</w:t>
      </w:r>
      <w:r>
        <w:rPr>
          <w:rFonts w:ascii="Calibri" w:cs="Calibri" w:eastAsia="Calibri" w:hAnsi="Calibri"/>
          <w:sz w:val="21"/>
          <w:szCs w:val="21"/>
        </w:rPr>
        <w:t xml:space="preserve">. Es deliberado: el baremo se ha diseñado para no expulsar al contrato del procedimiento más ágil. </w:t>
      </w:r>
      <w:r>
        <w:rPr>
          <w:rFonts w:ascii="Calibri" w:cs="Calibri" w:eastAsia="Calibri" w:hAnsi="Calibri"/>
          <w:b/>
          <w:bCs/>
          <w:sz w:val="21"/>
          <w:szCs w:val="21"/>
        </w:rPr>
        <w:t xml:space="preserve">Con las cifras de este expediente (valor estimado 504.000 €) esta variante no es utilizable</w:t>
      </w:r>
      <w:r>
        <w:rPr>
          <w:rFonts w:ascii="Calibri" w:cs="Calibri" w:eastAsia="Calibri" w:hAnsi="Calibri"/>
          <w:sz w:val="21"/>
          <w:szCs w:val="21"/>
        </w:rPr>
        <w:t xml:space="preserve">; se ofrece como ejemplo reutilizable para contratos por debajo del umbral del art. 159.1.a).</w:t>
      </w:r>
    </w:p>
    <w:p>
      <w:pPr>
        <w:spacing w:after="140" w:line="276"/>
      </w:pPr>
      <w:r>
        <w:rPr>
          <w:rFonts w:ascii="Calibri" w:cs="Calibri" w:eastAsia="Calibri" w:hAnsi="Calibri"/>
          <w:b/>
          <w:bCs/>
          <w:sz w:val="21"/>
          <w:szCs w:val="21"/>
        </w:rPr>
        <w:t xml:space="preserve">Variante C — procedimiento abreviado (art. 159.6 LCSP)</w:t>
      </w:r>
    </w:p>
    <w:p>
      <w:pPr>
        <w:spacing w:after="140" w:line="276"/>
      </w:pPr>
      <w:r>
        <w:rPr>
          <w:rFonts w:ascii="Calibri" w:cs="Calibri" w:eastAsia="Calibri" w:hAnsi="Calibri"/>
          <w:b/>
          <w:bCs/>
          <w:sz w:val="21"/>
          <w:szCs w:val="21"/>
        </w:rPr>
        <w:t xml:space="preserve">Con las cifras de este expediente esta variante tampoco es utilizable</w:t>
      </w:r>
      <w:r>
        <w:rPr>
          <w:rFonts w:ascii="Calibri" w:cs="Calibri" w:eastAsia="Calibri" w:hAnsi="Calibri"/>
          <w:sz w:val="21"/>
          <w:szCs w:val="21"/>
        </w:rPr>
        <w:t xml:space="preserve">: el valor estimado supera con mucho el umbral del art. 159.6 y, si el expediente motiva el carácter intelectual de la prestación, el procedimiento queda además excluido por razón del objeto. Se ofrece igualmente como </w:t>
      </w:r>
      <w:r>
        <w:rPr>
          <w:rFonts w:ascii="Calibri" w:cs="Calibri" w:eastAsia="Calibri" w:hAnsi="Calibri"/>
          <w:b/>
          <w:bCs/>
          <w:sz w:val="21"/>
          <w:szCs w:val="21"/>
        </w:rPr>
        <w:t xml:space="preserve">ejemplo reutilizable</w:t>
      </w:r>
      <w:r>
        <w:rPr>
          <w:rFonts w:ascii="Calibri" w:cs="Calibri" w:eastAsia="Calibri" w:hAnsi="Calibri"/>
          <w:sz w:val="21"/>
          <w:szCs w:val="21"/>
        </w:rPr>
        <w:t xml:space="preserve"> para contratos de menor cuantía.</w:t>
      </w:r>
    </w:p>
    <w:p>
      <w:pPr>
        <w:spacing w:after="140" w:line="276"/>
      </w:pPr>
      <w:r>
        <w:rPr>
          <w:rFonts w:ascii="Calibri" w:cs="Calibri" w:eastAsia="Calibri" w:hAnsi="Calibri"/>
          <w:sz w:val="21"/>
          <w:szCs w:val="21"/>
        </w:rPr>
        <w:t xml:space="preserve">Sin criterios de juicio de valor y sin demostración funcional. Se suprimen C2, C4, D y E (24 puntos) y se redistribuyen: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Alcance funcional adicional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Plazo ofertado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 Precio unitario ponderado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Comprobación previa: el procedimiento abreviado no está disponible para prestaciones de carácter intelectual. Si el expediente ha motivado ese carácter para invocar el 51 % del art. 145.4, no puede después acudir a esta variante. </w:t>
      </w:r>
      <w:r>
        <w:rPr>
          <w:rFonts w:ascii="Calibri" w:cs="Calibri" w:eastAsia="Calibri" w:hAnsi="Calibri"/>
          <w:b/>
          <w:bCs/>
          <w:sz w:val="21"/>
          <w:szCs w:val="21"/>
        </w:rPr>
        <w:t xml:space="preserve">Criterios de calidad en esta variante: 50 %</w:t>
      </w:r>
      <w:r>
        <w:rPr>
          <w:rFonts w:ascii="Calibri" w:cs="Calibri" w:eastAsia="Calibri" w:hAnsi="Calibri"/>
          <w:sz w:val="21"/>
          <w:szCs w:val="21"/>
        </w:rPr>
        <w:t xml:space="preserve"> —todos salvo P (45) y F (5)—. Por debajo del 51 %, la variante </w:t>
      </w:r>
      <w:r>
        <w:rPr>
          <w:rFonts w:ascii="Calibri" w:cs="Calibri" w:eastAsia="Calibri" w:hAnsi="Calibri"/>
          <w:b/>
          <w:bCs/>
          <w:sz w:val="21"/>
          <w:szCs w:val="21"/>
        </w:rPr>
        <w:t xml:space="preserve">no es utilizable</w:t>
      </w:r>
      <w:r>
        <w:rPr>
          <w:rFonts w:ascii="Calibri" w:cs="Calibri" w:eastAsia="Calibri" w:hAnsi="Calibri"/>
          <w:sz w:val="21"/>
          <w:szCs w:val="21"/>
        </w:rPr>
        <w:t xml:space="preserve"> si el expediente ha motivado el carácter intelectual de la prestación, lo que además la excluye por el art. 159.6 LCSP. Con la calificación ordinaria, el 50 % es admisible, pero el margen es nulo: cualquier ajuste al alza del peso del precio la invalida.</w:t>
      </w:r>
    </w:p>
    <w:p>
      <w:pPr>
        <w:spacing w:after="140" w:line="276"/>
      </w:pPr>
      <w:r>
        <w:rPr>
          <w:rFonts w:ascii="Calibri" w:cs="Calibri" w:eastAsia="Calibri" w:hAnsi="Calibri"/>
          <w:b/>
          <w:bCs/>
          <w:sz w:val="21"/>
          <w:szCs w:val="21"/>
        </w:rPr>
        <w:t xml:space="preserve">Regla común a las tres variantes:</w:t>
      </w:r>
      <w:r>
        <w:rPr>
          <w:rFonts w:ascii="Calibri" w:cs="Calibri" w:eastAsia="Calibri" w:hAnsi="Calibri"/>
          <w:sz w:val="21"/>
          <w:szCs w:val="21"/>
        </w:rPr>
        <w:t xml:space="preserve"> el baremo se publica con la ponderación exacta de cada criterio y </w:t>
      </w:r>
      <w:r>
        <w:rPr>
          <w:rFonts w:ascii="Calibri" w:cs="Calibri" w:eastAsia="Calibri" w:hAnsi="Calibri"/>
          <w:b/>
          <w:bCs/>
          <w:sz w:val="21"/>
          <w:szCs w:val="21"/>
        </w:rPr>
        <w:t xml:space="preserve">no se reescala en ningún caso una vez publicado el anuncio de licitación</w:t>
      </w:r>
      <w:r>
        <w:rPr>
          <w:rFonts w:ascii="Calibri" w:cs="Calibri" w:eastAsia="Calibri" w:hAnsi="Calibri"/>
          <w:sz w:val="21"/>
          <w:szCs w:val="21"/>
        </w:rPr>
        <w:t xml:space="preserve"> (Parte I, §7.8.b). La cláusula de separabilidad de la Parte I opera sobre cláusulas y obligaciones; sobre las ponderaciones, la única operación admisible es la </w:t>
      </w:r>
      <w:r>
        <w:rPr>
          <w:rFonts w:ascii="Calibri" w:cs="Calibri" w:eastAsia="Calibri" w:hAnsi="Calibri"/>
          <w:b/>
          <w:bCs/>
          <w:sz w:val="21"/>
          <w:szCs w:val="21"/>
        </w:rPr>
        <w:t xml:space="preserve">recomposición del baremo antes de publicar</w:t>
      </w:r>
      <w:r>
        <w:rPr>
          <w:rFonts w:ascii="Calibri" w:cs="Calibri" w:eastAsia="Calibri" w:hAnsi="Calibri"/>
          <w:sz w:val="21"/>
          <w:szCs w:val="21"/>
        </w:rPr>
        <w:t xml:space="preserve">, y requiere informe del órgano al que corresponda el informe jurídico preceptivo.</w:t>
      </w:r>
    </w:p>
    <w:p>
      <w:pPr>
        <w:pStyle w:val="Heading3"/>
        <w:keepNext/>
        <w:spacing w:after="140" w:before="320"/>
      </w:pPr>
      <w:r>
        <w:rPr>
          <w:rFonts w:ascii="Georgia" w:cs="Georgia" w:eastAsia="Georgia" w:hAnsi="Georgia"/>
          <w:b/>
          <w:bCs/>
          <w:color w:val="2F5496"/>
          <w:sz w:val="22"/>
          <w:szCs w:val="22"/>
        </w:rPr>
        <w:t xml:space="preserve">VI.4.7 Valor estimado, umbrales y decisión sobre la modificación prevista</w:t>
      </w:r>
    </w:p>
    <w:p>
      <w:pPr>
        <w:spacing w:after="140" w:line="276"/>
      </w:pPr>
      <w:r>
        <w:rPr>
          <w:rFonts w:ascii="Calibri" w:cs="Calibri" w:eastAsia="Calibri" w:hAnsi="Calibri"/>
          <w:sz w:val="21"/>
          <w:szCs w:val="21"/>
        </w:rPr>
        <w:t xml:space="preserve">Método de cálculo, que debe figurar en el PCAP (art. 101.5 LCSP):</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VE = (presupuesto base de licitación anual del servicio, sin IVA × años de duración inicial)</w:t>
      </w:r>
    </w:p>
    <w:p>
      <w:pPr>
        <w:spacing w:after="140" w:line="276"/>
      </w:pPr>
      <w:r>
        <w:rPr>
          <w:rFonts w:ascii="Calibri" w:cs="Calibri" w:eastAsia="Calibri" w:hAnsi="Calibri"/>
          <w:sz w:val="21"/>
          <w:szCs w:val="21"/>
        </w:rPr>
        <w:t xml:space="preserve">+ (presupuesto base de licitación anual del servicio, sin IVA × años de prórrogas previstas)</w:t>
      </w:r>
    </w:p>
    <w:p>
      <w:pPr>
        <w:spacing w:after="140" w:line="276"/>
      </w:pPr>
      <w:r>
        <w:rPr>
          <w:rFonts w:ascii="Calibri" w:cs="Calibri" w:eastAsia="Calibri" w:hAnsi="Calibri"/>
          <w:sz w:val="21"/>
          <w:szCs w:val="21"/>
        </w:rPr>
        <w:t xml:space="preserve">+ importe máximo de la bolsa de servicios evolutivos de todas esas anualidades</w:t>
      </w:r>
    </w:p>
    <w:p>
      <w:pPr>
        <w:spacing w:after="140" w:line="276"/>
      </w:pPr>
      <w:r>
        <w:rPr>
          <w:rFonts w:ascii="Calibri" w:cs="Calibri" w:eastAsia="Calibri" w:hAnsi="Calibri"/>
          <w:sz w:val="21"/>
          <w:szCs w:val="21"/>
        </w:rPr>
        <w:t xml:space="preserve">+ importe máximo de las modificaciones al alza previstas (art. 101.2.c)</w:t>
      </w:r>
    </w:p>
    <w:p>
      <w:pPr>
        <w:spacing w:after="140" w:line="276"/>
      </w:pPr>
      <w:r>
        <w:rPr>
          <w:rFonts w:ascii="Calibri" w:cs="Calibri" w:eastAsia="Calibri" w:hAnsi="Calibri"/>
          <w:sz w:val="21"/>
          <w:szCs w:val="21"/>
        </w:rPr>
        <w:t xml:space="preserve">+ primas o pagos a los licitadores, si los hubiera</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tres primeros sumandos no se solapan: los dos primeros recogen el servicio y el tercero la bolsa. La bolsa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por eso se separa aquí sólo a efectos de cálculo, nunca para dejarla fuera de él.</w:t>
      </w:r>
    </w:p>
    <w:p>
      <w:pPr>
        <w:spacing w:after="140" w:line="276"/>
      </w:pPr>
      <w:r>
        <w:rPr>
          <w:rFonts w:ascii="Calibri" w:cs="Calibri" w:eastAsia="Calibri" w:hAnsi="Calibri"/>
          <w:sz w:val="21"/>
          <w:szCs w:val="21"/>
        </w:rPr>
        <w:t xml:space="preserve">Tres reglas que se olvidan y cuestan el expediente:</w:t>
      </w:r>
    </w:p>
    <w:p>
      <w:pPr>
        <w:pStyle w:val="ListParagraph"/>
        <w:numPr>
          <w:ilvl w:val="0"/>
          <w:numId w:val="2"/>
        </w:numPr>
        <w:spacing w:after="70" w:line="268"/>
      </w:pPr>
      <w:r>
        <w:rPr>
          <w:rFonts w:ascii="Calibri" w:cs="Calibri" w:eastAsia="Calibri" w:hAnsi="Calibri"/>
          <w:b/>
          <w:bCs/>
          <w:sz w:val="21"/>
          <w:szCs w:val="21"/>
        </w:rPr>
        <w:t xml:space="preserve">Las prórrogas previstas computan aunque no se ejerzan.</w:t>
      </w:r>
    </w:p>
    <w:p>
      <w:pPr>
        <w:pStyle w:val="ListParagraph"/>
        <w:numPr>
          <w:ilvl w:val="0"/>
          <w:numId w:val="2"/>
        </w:numPr>
        <w:spacing w:after="70" w:line="268"/>
      </w:pPr>
      <w:r>
        <w:rPr>
          <w:rFonts w:ascii="Calibri" w:cs="Calibri" w:eastAsia="Calibri" w:hAnsi="Calibri"/>
          <w:b/>
          <w:bCs/>
          <w:sz w:val="21"/>
          <w:szCs w:val="21"/>
        </w:rPr>
        <w:t xml:space="preserve">La bolsa de servicios evolutivos computa, y su base de cálculo se escribe.</w:t>
      </w:r>
      <w:r>
        <w:rPr>
          <w:rFonts w:ascii="Calibri" w:cs="Calibri" w:eastAsia="Calibri" w:hAnsi="Calibri"/>
          <w:sz w:val="21"/>
          <w:szCs w:val="21"/>
        </w:rPr>
        <w:t xml:space="preserve"> Está dentro del presupuesto base de licitación, luego está en el valor estimado. Escribir que no lo infla es un error de cálculo del valor estimado, y el valor estimado determina la publicidad armonizada y el acceso al recurso especial. El porcentaje de la bolsa se aplica sobre el </w:t>
      </w:r>
      <w:r>
        <w:rPr>
          <w:rFonts w:ascii="Calibri" w:cs="Calibri" w:eastAsia="Calibri" w:hAnsi="Calibri"/>
          <w:b/>
          <w:bCs/>
          <w:sz w:val="21"/>
          <w:szCs w:val="21"/>
        </w:rPr>
        <w:t xml:space="preserve">presupuesto base de licitación del servicio correspondiente a la duración inicial, sin IVA</w:t>
      </w:r>
      <w:r>
        <w:rPr>
          <w:rFonts w:ascii="Calibri" w:cs="Calibri" w:eastAsia="Calibri" w:hAnsi="Calibri"/>
          <w:sz w:val="21"/>
          <w:szCs w:val="21"/>
        </w:rPr>
        <w:t xml:space="preserve"> (ADM-3·v3, bloque 2, apartado 5), y el pliego dice expresamente si la bolsa se dota además en las anualidades de prórroga y por qué importe. «Importe del contrato» no es término de la Ley 9/2017 y no se emplea como base.</w:t>
      </w:r>
    </w:p>
    <w:p>
      <w:pPr>
        <w:pStyle w:val="ListParagraph"/>
        <w:numPr>
          <w:ilvl w:val="0"/>
          <w:numId w:val="2"/>
        </w:numPr>
        <w:spacing w:after="70" w:line="268"/>
      </w:pPr>
      <w:r>
        <w:rPr>
          <w:rFonts w:ascii="Calibri" w:cs="Calibri" w:eastAsia="Calibri" w:hAnsi="Calibri"/>
          <w:b/>
          <w:bCs/>
          <w:sz w:val="21"/>
          <w:szCs w:val="21"/>
        </w:rPr>
        <w:t xml:space="preserve">El porcentaje de la modificación prevista se calcula sobre el presupuesto base de licitación a efectos del valor estimado, y sobre el precio de adjudicación a efectos de ejecución.</w:t>
      </w:r>
      <w:r>
        <w:rPr>
          <w:rFonts w:ascii="Calibri" w:cs="Calibri" w:eastAsia="Calibri" w:hAnsi="Calibri"/>
          <w:sz w:val="21"/>
          <w:szCs w:val="21"/>
        </w:rPr>
        <w:t xml:space="preserve"> Una baja del 15 % en la licitación se lleva por delante el 15 % de la reserva.</w:t>
      </w:r>
    </w:p>
    <w:p>
      <w:pPr>
        <w:spacing w:after="140" w:line="276"/>
      </w:pPr>
      <w:r>
        <w:rPr>
          <w:rFonts w:ascii="Calibri" w:cs="Calibri" w:eastAsia="Calibri" w:hAnsi="Calibri"/>
          <w:sz w:val="21"/>
          <w:szCs w:val="21"/>
        </w:rPr>
        <w:t xml:space="preserve">Ilustración numérica —</w:t>
      </w:r>
      <w:r>
        <w:rPr>
          <w:rFonts w:ascii="Calibri" w:cs="Calibri" w:eastAsia="Calibri" w:hAnsi="Calibri"/>
          <w:b/>
          <w:bCs/>
          <w:sz w:val="21"/>
          <w:szCs w:val="21"/>
        </w:rPr>
        <w:t xml:space="preserve">cifras hipotéticas</w:t>
      </w:r>
      <w:r>
        <w:rPr>
          <w:rFonts w:ascii="Calibri" w:cs="Calibri" w:eastAsia="Calibri" w:hAnsi="Calibri"/>
          <w:sz w:val="21"/>
          <w:szCs w:val="21"/>
        </w:rPr>
        <w:t xml:space="preserve">, sustitúyanse por las del expediente; mientras el expediente no se publique, ninguna cifra de este apartado debe citarse como dato real—.</w:t>
      </w:r>
    </w:p>
    <w:p>
      <w:pPr>
        <w:spacing w:after="140" w:line="276"/>
      </w:pPr>
      <w:r>
        <w:rPr>
          <w:rFonts w:ascii="Calibri" w:cs="Calibri" w:eastAsia="Calibri" w:hAnsi="Calibri"/>
          <w:b/>
          <w:bCs/>
          <w:sz w:val="21"/>
          <w:szCs w:val="21"/>
        </w:rPr>
        <w:t xml:space="preserve">Presupuesto base de licitación y su desglose (art. 100.2 LCSP).</w:t>
      </w:r>
      <w:r>
        <w:rPr>
          <w:rFonts w:ascii="Calibri" w:cs="Calibri" w:eastAsia="Calibri" w:hAnsi="Calibri"/>
          <w:sz w:val="21"/>
          <w:szCs w:val="21"/>
        </w:rPr>
        <w:t xml:space="preserve"> Es lo primero que comprueba la fiscalización previa, y sin él la tabla del valor estimado no se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Costes directos de personal, conforme al convenio colectivo de referencia [identifíquese el convenio sectorial aplicable y el grupo profesional de cada perfil]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costes directos (licencias, suscripción, entorno de pruebas, migración)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Gastos generales de 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Beneficio industrial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imputada a la anualidad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IVA (21 %)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anual del servicio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anual: [X; se recomienda 5] % del presupuesto base de licitación del servicio de la duración inicial (240.000 €), imputado por anualidades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Duración inicial: 2 años — presupuesto base de licitación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252.000 €</w:t>
            </w:r>
            <w:r>
              <w:rPr>
                <w:rFonts w:ascii="Calibri" w:cs="Calibri" w:eastAsia="Calibri" w:hAnsi="Calibri"/>
                <w:b w:val="false"/>
                <w:bCs w:val="false"/>
                <w:sz w:val="18"/>
                <w:szCs w:val="18"/>
              </w:rPr>
              <w:t xml:space="preserve">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 2 años, con la bolsa dotada en la misma proporción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252.000 €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(ADM-14·v3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504.000 €</w:t>
            </w:r>
          </w:p>
        </w:tc>
      </w:tr>
    </w:tbl>
    <w:p>
      <w:pPr>
        <w:spacing w:after="200"/>
      </w:pPr>
    </w:p>
    <w:p>
      <w:pPr>
        <w:spacing w:after="140" w:line="276"/>
      </w:pPr>
      <w:r>
        <w:rPr>
          <w:rFonts w:ascii="Calibri" w:cs="Calibri" w:eastAsia="Calibri" w:hAnsi="Calibri"/>
          <w:b/>
          <w:bCs/>
          <w:sz w:val="21"/>
          <w:szCs w:val="21"/>
        </w:rPr>
        <w:t xml:space="preserve">Base de cálculo de la bolsa y crédito que hay que autorizar.</w:t>
      </w:r>
      <w:r>
        <w:rPr>
          <w:rFonts w:ascii="Calibri" w:cs="Calibri" w:eastAsia="Calibri" w:hAnsi="Calibri"/>
          <w:sz w:val="21"/>
          <w:szCs w:val="21"/>
        </w:rPr>
        <w:t xml:space="preserve"> El 5 % se aplica sobre el presupuesto base de licitación del servicio de la </w:t>
      </w:r>
      <w:r>
        <w:rPr>
          <w:rFonts w:ascii="Calibri" w:cs="Calibri" w:eastAsia="Calibri" w:hAnsi="Calibri"/>
          <w:b/>
          <w:bCs/>
          <w:sz w:val="21"/>
          <w:szCs w:val="21"/>
        </w:rPr>
        <w:t xml:space="preserve">duración inicial</w:t>
      </w:r>
      <w:r>
        <w:rPr>
          <w:rFonts w:ascii="Calibri" w:cs="Calibri" w:eastAsia="Calibri" w:hAnsi="Calibri"/>
          <w:sz w:val="21"/>
          <w:szCs w:val="21"/>
        </w:rPr>
        <w:t xml:space="preserve">, sin IVA —240.000 €—, y arroja </w:t>
      </w:r>
      <w:r>
        <w:rPr>
          <w:rFonts w:ascii="Calibri" w:cs="Calibri" w:eastAsia="Calibri" w:hAnsi="Calibri"/>
          <w:b/>
          <w:bCs/>
          <w:sz w:val="21"/>
          <w:szCs w:val="21"/>
        </w:rPr>
        <w:t xml:space="preserve">12.000 €</w:t>
      </w:r>
      <w:r>
        <w:rPr>
          <w:rFonts w:ascii="Calibri" w:cs="Calibri" w:eastAsia="Calibri" w:hAnsi="Calibri"/>
          <w:sz w:val="21"/>
          <w:szCs w:val="21"/>
        </w:rPr>
        <w:t xml:space="preserve"> para los dos años iniciales, la mitad del techo del 10 % que ADM-3·v3 se impone. La bolsa se dota </w:t>
      </w:r>
      <w:r>
        <w:rPr>
          <w:rFonts w:ascii="Calibri" w:cs="Calibri" w:eastAsia="Calibri" w:hAnsi="Calibri"/>
          <w:b/>
          <w:bCs/>
          <w:sz w:val="21"/>
          <w:szCs w:val="21"/>
        </w:rPr>
        <w:t xml:space="preserve">también</w:t>
      </w:r>
      <w:r>
        <w:rPr>
          <w:rFonts w:ascii="Calibri" w:cs="Calibri" w:eastAsia="Calibri" w:hAnsi="Calibri"/>
          <w:sz w:val="21"/>
          <w:szCs w:val="21"/>
        </w:rPr>
        <w:t xml:space="preserve"> en las dos anualidades de prórroga, en la misma proporción y por otros 12.000 €, que sólo se autorizan si la prórroga se acuerda. De ahí la consecuencia que el expediente debe escribir y no deducir: el presupuesto base de licitación de la duración inicial es </w:t>
      </w:r>
      <w:r>
        <w:rPr>
          <w:rFonts w:ascii="Calibri" w:cs="Calibri" w:eastAsia="Calibri" w:hAnsi="Calibri"/>
          <w:b/>
          <w:bCs/>
          <w:sz w:val="21"/>
          <w:szCs w:val="21"/>
        </w:rPr>
        <w:t xml:space="preserve">252.000 €</w:t>
      </w:r>
      <w:r>
        <w:rPr>
          <w:rFonts w:ascii="Calibri" w:cs="Calibri" w:eastAsia="Calibri" w:hAnsi="Calibri"/>
          <w:sz w:val="21"/>
          <w:szCs w:val="21"/>
        </w:rPr>
        <w:t xml:space="preserve"> (IVA excluido), y ése —no 240.000 €— es el importe del desglose del art. 100.2 LCSP, del certificado de existencia de crédito del art. 116.3 LCSP y del compromiso de gasto plurianual del art. 174 TRLRHL. El valor estimado no varía por escribirlo bien: 252.000 + 252.000 = </w:t>
      </w:r>
      <w:r>
        <w:rPr>
          <w:rFonts w:ascii="Calibri" w:cs="Calibri" w:eastAsia="Calibri" w:hAnsi="Calibri"/>
          <w:b/>
          <w:bCs/>
          <w:sz w:val="21"/>
          <w:szCs w:val="21"/>
        </w:rPr>
        <w:t xml:space="preserve">504.000 €</w:t>
      </w:r>
      <w:r>
        <w:rPr>
          <w:rFonts w:ascii="Calibri" w:cs="Calibri" w:eastAsia="Calibri" w:hAnsi="Calibri"/>
          <w:sz w:val="21"/>
          <w:szCs w:val="21"/>
        </w:rPr>
        <w:t xml:space="preserve">, exactamente lo que resultaba de sumar la bolsa como línea aparte. Una precisión que el PCAP debe recoger para que la bolsa dentro del presupuesto base no confunda al licitador: </w:t>
      </w:r>
      <w:r>
        <w:rPr>
          <w:rFonts w:ascii="Calibri" w:cs="Calibri" w:eastAsia="Calibri" w:hAnsi="Calibri"/>
          <w:b/>
          <w:bCs/>
          <w:sz w:val="21"/>
          <w:szCs w:val="21"/>
        </w:rPr>
        <w:t xml:space="preserve">la baja del criterio P se oferta sobre el presupuesto base de licitación del servicio —240.000 €—</w:t>
      </w:r>
      <w:r>
        <w:rPr>
          <w:rFonts w:ascii="Calibri" w:cs="Calibri" w:eastAsia="Calibri" w:hAnsi="Calibri"/>
          <w:sz w:val="21"/>
          <w:szCs w:val="21"/>
        </w:rPr>
        <w:t xml:space="preserve">, porque la bolsa no se retribuye a tanto alzado, sino a los precios unitarios que el criterio F valora y sólo por las horas efectivamente ejecutadas y recibidas de conformidad (ADM-3·v3, bloque 2, apartado 3).</w:t>
      </w:r>
    </w:p>
    <w:p>
      <w:pPr>
        <w:spacing w:after="140" w:line="276"/>
      </w:pPr>
      <w:r>
        <w:rPr>
          <w:rFonts w:ascii="Calibri" w:cs="Calibri" w:eastAsia="Calibri" w:hAnsi="Calibri"/>
          <w:b/>
          <w:bCs/>
          <w:sz w:val="21"/>
          <w:szCs w:val="21"/>
        </w:rPr>
        <w:t xml:space="preserve">Coste de las cláusulas del catálogo efectivamente activadas</w:t>
      </w:r>
      <w:r>
        <w:rPr>
          <w:rFonts w:ascii="Calibri" w:cs="Calibri" w:eastAsia="Calibri" w:hAnsi="Calibri"/>
          <w:sz w:val="21"/>
          <w:szCs w:val="21"/>
        </w:rPr>
        <w:t xml:space="preserve">, cumplimentando la tabla de la Parte V, V.4.16. Un expediente que incorpora estas cláusulas y no cifra su coste no se fiscaliza de conformidad.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activada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Coste imputado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consigna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12.000 € en la duración inicial (24.000 € si se ejercen las dos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Dentro del presupuesto base de licitación; computada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 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dentro de otros costes directos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 depósito de código y su verificación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adicional: incluidos en el precio ofertado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cláusula de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 × [coste hora del 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no presupuesto del contrato</w:t>
            </w:r>
          </w:p>
        </w:tc>
      </w:tr>
    </w:tbl>
    <w:p>
      <w:pPr>
        <w:spacing w:after="200"/>
      </w:pPr>
    </w:p>
    <w:p>
      <w:pPr>
        <w:spacing w:after="140" w:line="276"/>
      </w:pPr>
      <w:r>
        <w:rPr>
          <w:rFonts w:ascii="Calibri" w:cs="Calibri" w:eastAsia="Calibri" w:hAnsi="Calibri"/>
          <w:sz w:val="21"/>
          <w:szCs w:val="21"/>
        </w:rPr>
        <w:t xml:space="preserve">Comprobación de los </w:t>
      </w:r>
      <w:r>
        <w:rPr>
          <w:rFonts w:ascii="Calibri" w:cs="Calibri" w:eastAsia="Calibri" w:hAnsi="Calibri"/>
          <w:b/>
          <w:bCs/>
          <w:sz w:val="21"/>
          <w:szCs w:val="21"/>
        </w:rPr>
        <w:t xml:space="preserve">cuatro umbrales</w:t>
      </w:r>
      <w:r>
        <w:rPr>
          <w:rFonts w:ascii="Calibri" w:cs="Calibri" w:eastAsia="Calibri" w:hAnsi="Calibri"/>
          <w:sz w:val="21"/>
          <w:szCs w:val="21"/>
        </w:rPr>
        <w:t xml:space="preserve"> de la Parte V, V.4.10, con ese resultado. Se añade, por su efecto sobre la variante B del baremo, el tope del procedimiento abierto simplificado, que no es umbral autónomo: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Efecto en este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LCSP: valor estimado superior a 100.000 €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Los pliegos son directamente recurribles (art. 44.2.a). La defensa se juega en las dos primeras semanas desde su publicación y con lo que en ese momento conste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 216.000 €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Publicidad en el DOUE y plazos armonizados. Compruébese la vigencia del importe antes de publicar: se revisa cada dos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procede</w:t>
            </w:r>
            <w:r>
              <w:rPr>
                <w:rFonts w:ascii="Calibri" w:cs="Calibri" w:eastAsia="Calibri" w:hAnsi="Calibri"/>
                <w:b w:val="false"/>
                <w:bCs w:val="false"/>
                <w:sz w:val="18"/>
                <w:szCs w:val="18"/>
              </w:rPr>
              <w:t xml:space="preserve">: el valor estimado supera el umbral de servicios y suministros. La variante B del baremo no es utilizable en este expediente</w:t>
            </w:r>
          </w:p>
        </w:tc>
      </w:tr>
    </w:tbl>
    <w:p>
      <w:pPr>
        <w:spacing w:after="200"/>
      </w:pPr>
    </w:p>
    <w:p>
      <w:pPr>
        <w:spacing w:after="140" w:line="276"/>
      </w:pPr>
      <w:r>
        <w:rPr>
          <w:rFonts w:ascii="Calibri" w:cs="Calibri" w:eastAsia="Calibri" w:hAnsi="Calibri"/>
          <w:b/>
          <w:bCs/>
          <w:sz w:val="21"/>
          <w:szCs w:val="21"/>
        </w:rPr>
        <w:t xml:space="preserve">Decisión sobre ADM-14·v3 (modificación prevista): NO se incorpora.</w:t>
      </w:r>
      <w:r>
        <w:rPr>
          <w:rFonts w:ascii="Calibri" w:cs="Calibri" w:eastAsia="Calibri" w:hAnsi="Calibri"/>
          <w:sz w:val="21"/>
          <w:szCs w:val="21"/>
        </w:rPr>
        <w:t xml:space="preserve"> Motivos, en este orden: la evolución exigible está determinada en el Anexo V y retribuida con el precio ofertado; la bolsa de servicios evolutivos del art. 308.3 LCSP cubre las peticiones de servicio no previstas dentro del objeto; y toda reserva adicional sube el valor estimado sin contrapartida. El ejemplo numérico de por qué una reserva pequeña puede abrir el recurso especial en un contrato que estaba por debajo del umbral está en ADM-14·v3 y en la Parte 0, §0.2, y no se repite aquí.</w:t>
      </w:r>
    </w:p>
    <w:p>
      <w:pPr>
        <w:pStyle w:val="Heading3"/>
        <w:keepNext/>
        <w:spacing w:after="140" w:before="320"/>
      </w:pPr>
      <w:r>
        <w:rPr>
          <w:rFonts w:ascii="Georgia" w:cs="Georgia" w:eastAsia="Georgia" w:hAnsi="Georgia"/>
          <w:b/>
          <w:bCs/>
          <w:color w:val="2F5496"/>
          <w:sz w:val="22"/>
          <w:szCs w:val="22"/>
        </w:rPr>
        <w:t xml:space="preserve">VI.4.8 Quién verifica, cuándo y cuánto cuesta</w:t>
      </w:r>
    </w:p>
    <w:p>
      <w:pPr>
        <w:spacing w:after="140" w:line="276"/>
      </w:pPr>
      <w:r>
        <w:rPr>
          <w:rFonts w:ascii="Calibri" w:cs="Calibri" w:eastAsia="Calibri" w:hAnsi="Calibri"/>
          <w:sz w:val="21"/>
          <w:szCs w:val="21"/>
        </w:rPr>
        <w:t xml:space="preserve">El área de contratación advirtió, en el comentario interno que se reproduce íntegro en la Parte IV, M1.5, que el seguimiento real de los contratos es escaso y se limita al control del gasto. La respuesta no es prometer más seguimiento: es dimensionarlo y decir quién lo hace. </w:t>
      </w:r>
      <w:r>
        <w:rPr>
          <w:rFonts w:ascii="Calibri" w:cs="Calibri" w:eastAsia="Calibri" w:hAnsi="Calibri"/>
          <w:b/>
          <w:bCs/>
          <w:sz w:val="21"/>
          <w:szCs w:val="21"/>
        </w:rPr>
        <w:t xml:space="preserve">Ninguna cláusula se incorpora si su verificación no tiene actor municipal designado y periodicidad</w:t>
      </w:r>
      <w:r>
        <w:rPr>
          <w:rFonts w:ascii="Calibri" w:cs="Calibri" w:eastAsia="Calibri" w:hAnsi="Calibri"/>
          <w:sz w:val="21"/>
          <w:szCs w:val="21"/>
        </w:rPr>
        <w:t xml:space="preserve">, conforme a la regla de verificabilidad municipal enunciada en la Parte I, §7.9.</w:t>
      </w:r>
    </w:p>
    <w:p>
      <w:pPr>
        <w:spacing w:after="140" w:line="276"/>
      </w:pPr>
      <w:r>
        <w:rPr>
          <w:rFonts w:ascii="Calibri" w:cs="Calibri" w:eastAsia="Calibri" w:hAnsi="Calibri"/>
          <w:b/>
          <w:bCs/>
          <w:sz w:val="21"/>
          <w:szCs w:val="21"/>
        </w:rPr>
        <w:t xml:space="preserve">Fuente única de la cuantificación: la tabla de ADM-4·v3, epígrafe 5.</w:t>
      </w:r>
      <w:r>
        <w:rPr>
          <w:rFonts w:ascii="Calibri" w:cs="Calibri" w:eastAsia="Calibri" w:hAnsi="Calibri"/>
          <w:sz w:val="21"/>
          <w:szCs w:val="21"/>
        </w:rPr>
        <w:t xml:space="preserve"> Este apartado no estima por su cuenta y no añade ninguna fila a aquélla: </w:t>
      </w:r>
      <w:r>
        <w:rPr>
          <w:rFonts w:ascii="Calibri" w:cs="Calibri" w:eastAsia="Calibri" w:hAnsi="Calibri"/>
          <w:b/>
          <w:bCs/>
          <w:sz w:val="21"/>
          <w:szCs w:val="21"/>
        </w:rPr>
        <w:t xml:space="preserve">reproduce sus filas literalmente</w:t>
      </w:r>
      <w:r>
        <w:rPr>
          <w:rFonts w:ascii="Calibri" w:cs="Calibri" w:eastAsia="Calibri" w:hAnsi="Calibri"/>
          <w:sz w:val="21"/>
          <w:szCs w:val="21"/>
        </w:rPr>
        <w:t xml:space="preserve">, con su misma numeración, y se limita a suprimir las que VI.4.3 marca NO APLICA en este expediente. Si una cifra de aquí divergiera de la de allí, prevalece aquélla y ésta se corrige.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 en ADM-4·v3.5</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verifica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revisión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comprobación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12 meses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Cotejo con cada versión en producción; ensayo cada [X; se recomienda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del contrato; acta de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cada exigencia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Sesiones de la Comisión de Seguimiento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gestor + informática (+ control interno como invitado)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 modalidad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de Evolución Tecnológica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 descontada 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59,5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ejecución de este expediente (B +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117,5–141,5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177,5–217,5 h</w:t>
            </w:r>
          </w:p>
        </w:tc>
      </w:tr>
    </w:tbl>
    <w:p>
      <w:pPr>
        <w:spacing w:after="200"/>
      </w:pPr>
    </w:p>
    <w:p>
      <w:pPr>
        <w:spacing w:after="140" w:line="276"/>
      </w:pPr>
      <w:r>
        <w:rPr>
          <w:rFonts w:ascii="Calibri" w:cs="Calibri" w:eastAsia="Calibri" w:hAnsi="Calibri"/>
          <w:b/>
          <w:bCs/>
          <w:sz w:val="21"/>
          <w:szCs w:val="21"/>
        </w:rPr>
        <w:t xml:space="preserve">Aritmética de los subtotales, para que pueda rehacerse.</w:t>
      </w:r>
      <w:r>
        <w:rPr>
          <w:rFonts w:ascii="Calibri" w:cs="Calibri" w:eastAsia="Calibri" w:hAnsi="Calibri"/>
          <w:sz w:val="21"/>
          <w:szCs w:val="21"/>
        </w:rPr>
        <w:t xml:space="preserve"> El subtotal técnico es el de ADM-4·v3.5 sin variación, porque las siete cláusulas técnicas aplican y DT-2·v3 y DT-3·v3 ya estaban excluidas de aquella tabla. El subtotal administrativo es el de ADM-4·v3.5 —62,5 y 64,5 horas— menos las 3 horas de C8, que aquí es cero por estar ADM-11·v3 marcada NO APLICA: 59,5 y 61,5. Total de la duración ordinaria, 58 + 59,5 = 117,5 y 82 + 59,5 = 141,5; total del primer año, 116 + 61,5 = 177,5 y 156 + 61,5 = 217,5.</w:t>
      </w:r>
    </w:p>
    <w:p>
      <w:pPr>
        <w:spacing w:after="140" w:line="276"/>
      </w:pPr>
      <w:r>
        <w:rPr>
          <w:rFonts w:ascii="Calibri" w:cs="Calibri" w:eastAsia="Calibri" w:hAnsi="Calibri"/>
          <w:b/>
          <w:bCs/>
          <w:sz w:val="21"/>
          <w:szCs w:val="21"/>
        </w:rPr>
        <w:t xml:space="preserve">Carga de licitación, que no es anual y no se suma a la anterior</w:t>
      </w:r>
      <w:r>
        <w:rPr>
          <w:rFonts w:ascii="Calibri" w:cs="Calibri" w:eastAsia="Calibri" w:hAnsi="Calibri"/>
          <w:sz w:val="21"/>
          <w:szCs w:val="21"/>
        </w:rPr>
        <w:t xml:space="preserve"> (filas A1 a A3 de ADM-4·v3.5): apreciación de las equivalencias invocadas por los licitadores (DT-0·v3), </w:t>
      </w:r>
      <w:r>
        <w:rPr>
          <w:rFonts w:ascii="Calibri" w:cs="Calibri" w:eastAsia="Calibri" w:hAnsi="Calibri"/>
          <w:b/>
          <w:bCs/>
          <w:sz w:val="21"/>
          <w:szCs w:val="21"/>
        </w:rPr>
        <w:t xml:space="preserve">6–18 h</w:t>
      </w:r>
      <w:r>
        <w:rPr>
          <w:rFonts w:ascii="Calibri" w:cs="Calibri" w:eastAsia="Calibri" w:hAnsi="Calibri"/>
          <w:sz w:val="21"/>
          <w:szCs w:val="21"/>
        </w:rPr>
        <w:t xml:space="preserve">; ficha por criterio y hoja de comprobación del baremo (ADM-7·v3), </w:t>
      </w:r>
      <w:r>
        <w:rPr>
          <w:rFonts w:ascii="Calibri" w:cs="Calibri" w:eastAsia="Calibri" w:hAnsi="Calibri"/>
          <w:b/>
          <w:bCs/>
          <w:sz w:val="21"/>
          <w:szCs w:val="21"/>
        </w:rPr>
        <w:t xml:space="preserve">3–6 h</w:t>
      </w:r>
      <w:r>
        <w:rPr>
          <w:rFonts w:ascii="Calibri" w:cs="Calibri" w:eastAsia="Calibri" w:hAnsi="Calibri"/>
          <w:sz w:val="21"/>
          <w:szCs w:val="21"/>
        </w:rPr>
        <w:t xml:space="preserve">; y demostración funcional de ADM-9·v3 con cinco licitadores, </w:t>
      </w:r>
      <w:r>
        <w:rPr>
          <w:rFonts w:ascii="Calibri" w:cs="Calibri" w:eastAsia="Calibri" w:hAnsi="Calibri"/>
          <w:b/>
          <w:bCs/>
          <w:sz w:val="21"/>
          <w:szCs w:val="21"/>
        </w:rPr>
        <w:t xml:space="preserve">19–24 h</w:t>
      </w:r>
      <w:r>
        <w:rPr>
          <w:rFonts w:ascii="Calibri" w:cs="Calibri" w:eastAsia="Calibri" w:hAnsi="Calibri"/>
          <w:sz w:val="21"/>
          <w:szCs w:val="21"/>
        </w:rPr>
        <w:t xml:space="preserve">, que es la cláusula más cara del catálogo en horas municipales. </w:t>
      </w:r>
      <w:r>
        <w:rPr>
          <w:rFonts w:ascii="Calibri" w:cs="Calibri" w:eastAsia="Calibri" w:hAnsi="Calibri"/>
          <w:b/>
          <w:bCs/>
          <w:sz w:val="21"/>
          <w:szCs w:val="21"/>
        </w:rPr>
        <w:t xml:space="preserve">Subtotal por licitación: 28–48 h.</w:t>
      </w:r>
    </w:p>
    <w:p>
      <w:pPr>
        <w:spacing w:after="140" w:line="276"/>
      </w:pPr>
      <w:r>
        <w:rPr>
          <w:rFonts w:ascii="Calibri" w:cs="Calibri" w:eastAsia="Calibri" w:hAnsi="Calibri"/>
          <w:b/>
          <w:bCs/>
          <w:sz w:val="21"/>
          <w:szCs w:val="21"/>
        </w:rPr>
        <w:t xml:space="preserve">Fuera del cómputo anual</w:t>
      </w:r>
      <w:r>
        <w:rPr>
          <w:rFonts w:ascii="Calibri" w:cs="Calibri" w:eastAsia="Calibri" w:hAnsi="Calibri"/>
          <w:sz w:val="21"/>
          <w:szCs w:val="21"/>
        </w:rPr>
        <w:t xml:space="preserve">, por no ser recurrentes: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unas </w:t>
      </w:r>
      <w:r>
        <w:rPr>
          <w:rFonts w:ascii="Calibri" w:cs="Calibri" w:eastAsia="Calibri" w:hAnsi="Calibri"/>
          <w:b/>
          <w:bCs/>
          <w:sz w:val="21"/>
          <w:szCs w:val="21"/>
        </w:rPr>
        <w:t xml:space="preserve">6 horas</w:t>
      </w:r>
      <w:r>
        <w:rPr>
          <w:rFonts w:ascii="Calibri" w:cs="Calibri" w:eastAsia="Calibri" w:hAnsi="Calibri"/>
          <w:sz w:val="21"/>
          <w:szCs w:val="21"/>
        </w:rPr>
        <w:t xml:space="preserve"> por cada expediente de penalidad (ADM-5·v3); y entre </w:t>
      </w:r>
      <w:r>
        <w:rPr>
          <w:rFonts w:ascii="Calibri" w:cs="Calibri" w:eastAsia="Calibri" w:hAnsi="Calibri"/>
          <w:b/>
          <w:bCs/>
          <w:sz w:val="21"/>
          <w:szCs w:val="21"/>
        </w:rPr>
        <w:t xml:space="preserve">25 y 40 horas</w:t>
      </w:r>
      <w:r>
        <w:rPr>
          <w:rFonts w:ascii="Calibri" w:cs="Calibri" w:eastAsia="Calibri" w:hAnsi="Calibri"/>
          <w:sz w:val="21"/>
          <w:szCs w:val="21"/>
        </w:rPr>
        <w:t xml:space="preserve"> por cada expediente de resolución. El ensayo de reversibilidad no se suma aparte: está dentro de la fila B6.</w:t>
      </w:r>
    </w:p>
    <w:p>
      <w:pPr>
        <w:spacing w:after="140" w:line="276"/>
      </w:pPr>
      <w:r>
        <w:rPr>
          <w:rFonts w:ascii="Calibri" w:cs="Calibri" w:eastAsia="Calibri" w:hAnsi="Calibri"/>
          <w:b/>
          <w:bCs/>
          <w:sz w:val="21"/>
          <w:szCs w:val="21"/>
        </w:rPr>
        <w:t xml:space="preserve">Sobre las cinco verificaciones que una versión anterior de este apartado presentaba como «añadidas».</w:t>
      </w:r>
      <w:r>
        <w:rPr>
          <w:rFonts w:ascii="Calibri" w:cs="Calibri" w:eastAsia="Calibri" w:hAnsi="Calibri"/>
          <w:sz w:val="21"/>
          <w:szCs w:val="21"/>
        </w:rPr>
        <w:t xml:space="preserve"> DT-1·v3, DT-4·v3, DT-5·v3, DT-6·v3 y el cotejo del Inventario de Componentes </w:t>
      </w:r>
      <w:r>
        <w:rPr>
          <w:rFonts w:ascii="Calibri" w:cs="Calibri" w:eastAsia="Calibri" w:hAnsi="Calibri"/>
          <w:b/>
          <w:bCs/>
          <w:sz w:val="21"/>
          <w:szCs w:val="21"/>
        </w:rPr>
        <w:t xml:space="preserve">ya figuran</w:t>
      </w:r>
      <w:r>
        <w:rPr>
          <w:rFonts w:ascii="Calibri" w:cs="Calibri" w:eastAsia="Calibri" w:hAnsi="Calibri"/>
          <w:sz w:val="21"/>
          <w:szCs w:val="21"/>
        </w:rPr>
        <w:t xml:space="preserve"> en la tabla de ADM-4·v3, epígrafe 5, como filas B1, B2, B3, B4 y B6. No se añaden aquí, y no procede corregir la fuente única en ese sentido: contarlas dos veces era el error.</w:t>
      </w:r>
    </w:p>
    <w:p>
      <w:pPr>
        <w:spacing w:after="140" w:line="276"/>
      </w:pPr>
      <w:r>
        <w:rPr>
          <w:rFonts w:ascii="Calibri" w:cs="Calibri" w:eastAsia="Calibri" w:hAnsi="Calibri"/>
          <w:b/>
          <w:bCs/>
          <w:sz w:val="21"/>
          <w:szCs w:val="21"/>
        </w:rPr>
        <w:t xml:space="preserve">Las cláusulas aplicables que no generan carga anual de ejecución, y dónde se comprueban</w:t>
      </w:r>
      <w:r>
        <w:rPr>
          <w:rFonts w:ascii="Calibri" w:cs="Calibri" w:eastAsia="Calibri" w:hAnsi="Calibri"/>
          <w:sz w:val="21"/>
          <w:szCs w:val="21"/>
        </w:rPr>
        <w:t xml:space="preserve">, para que ninguna quede sin actor: DT-0·v3, ADM-6·v3 y ADM-8·v3 se verifican </w:t>
      </w:r>
      <w:r>
        <w:rPr>
          <w:rFonts w:ascii="Calibri" w:cs="Calibri" w:eastAsia="Calibri" w:hAnsi="Calibri"/>
          <w:b/>
          <w:bCs/>
          <w:sz w:val="21"/>
          <w:szCs w:val="21"/>
        </w:rPr>
        <w:t xml:space="preserve">una sola vez, al aprobar el pliego</w:t>
      </w:r>
      <w:r>
        <w:rPr>
          <w:rFonts w:ascii="Calibri" w:cs="Calibri" w:eastAsia="Calibri" w:hAnsi="Calibri"/>
          <w:sz w:val="21"/>
          <w:szCs w:val="21"/>
        </w:rPr>
        <w:t xml:space="preserve">, por el órgano al que corresponda el informe jurídico preceptivo; ADM-7·v3 y ADM-9·v3, </w:t>
      </w:r>
      <w:r>
        <w:rPr>
          <w:rFonts w:ascii="Calibri" w:cs="Calibri" w:eastAsia="Calibri" w:hAnsi="Calibri"/>
          <w:b/>
          <w:bCs/>
          <w:sz w:val="21"/>
          <w:szCs w:val="21"/>
        </w:rPr>
        <w:t xml:space="preserve">en la licitación</w:t>
      </w:r>
      <w:r>
        <w:rPr>
          <w:rFonts w:ascii="Calibri" w:cs="Calibri" w:eastAsia="Calibri" w:hAnsi="Calibri"/>
          <w:sz w:val="21"/>
          <w:szCs w:val="21"/>
        </w:rPr>
        <w:t xml:space="preserve">, por la mesa de contratación, con la carga por expediente ya indicada; y ADM-5·v3 se activa </w:t>
      </w:r>
      <w:r>
        <w:rPr>
          <w:rFonts w:ascii="Calibri" w:cs="Calibri" w:eastAsia="Calibri" w:hAnsi="Calibri"/>
          <w:b/>
          <w:bCs/>
          <w:sz w:val="21"/>
          <w:szCs w:val="21"/>
        </w:rPr>
        <w:t xml:space="preserve">ante cada incumplimiento</w:t>
      </w:r>
      <w:r>
        <w:rPr>
          <w:rFonts w:ascii="Calibri" w:cs="Calibri" w:eastAsia="Calibri" w:hAnsi="Calibri"/>
          <w:sz w:val="21"/>
          <w:szCs w:val="21"/>
        </w:rPr>
        <w:t xml:space="preserve">, con la carga por expediente ya indicada. Todas ellas figuran con su verificador y su periodicidad en el Anexo I.</w:t>
      </w:r>
    </w:p>
    <w:p>
      <w:pPr>
        <w:spacing w:after="140" w:line="276"/>
      </w:pPr>
      <w:r>
        <w:rPr>
          <w:rFonts w:ascii="Calibri" w:cs="Calibri" w:eastAsia="Calibri" w:hAnsi="Calibri"/>
          <w:sz w:val="21"/>
          <w:szCs w:val="21"/>
        </w:rPr>
        <w:t xml:space="preserve">Lectura honesta de esa cifra: con [X; se recomienda 10] contratos activos bajo este catálogo, la carga anual está entre </w:t>
      </w:r>
      <w:r>
        <w:rPr>
          <w:rFonts w:ascii="Calibri" w:cs="Calibri" w:eastAsia="Calibri" w:hAnsi="Calibri"/>
          <w:b/>
          <w:bCs/>
          <w:sz w:val="21"/>
          <w:szCs w:val="21"/>
        </w:rPr>
        <w:t xml:space="preserve">1.175 y 1.415 horas</w:t>
      </w:r>
      <w:r>
        <w:rPr>
          <w:rFonts w:ascii="Calibri" w:cs="Calibri" w:eastAsia="Calibri" w:hAnsi="Calibri"/>
          <w:sz w:val="21"/>
          <w:szCs w:val="21"/>
        </w:rPr>
        <w:t xml:space="preserve">, del orden de </w:t>
      </w:r>
      <w:r>
        <w:rPr>
          <w:rFonts w:ascii="Calibri" w:cs="Calibri" w:eastAsia="Calibri" w:hAnsi="Calibri"/>
          <w:b/>
          <w:bCs/>
          <w:sz w:val="21"/>
          <w:szCs w:val="21"/>
        </w:rPr>
        <w:t xml:space="preserve">0,7 a 0,9 efectivos a jornada completa</w:t>
      </w:r>
      <w:r>
        <w:rPr>
          <w:rFonts w:ascii="Calibri" w:cs="Calibri" w:eastAsia="Calibri" w:hAnsi="Calibri"/>
          <w:sz w:val="21"/>
          <w:szCs w:val="21"/>
        </w:rPr>
        <w:t xml:space="preserve">, que es la misma lectura que ADM-4·v3.5 hace para el catálogo completo. Es asumible si se planifica y es inasumible si se descubre a posteriori. Crear obligaciones esenciales que después nadie verifica es peor que no crearlas: convierte cada penalidad en una discusión sobre por qué no se detectó antes.</w:t>
      </w:r>
    </w:p>
    <w:p>
      <w:pPr>
        <w:spacing w:after="140" w:line="276"/>
      </w:pPr>
      <w:r>
        <w:rPr>
          <w:rFonts w:ascii="Calibri" w:cs="Calibri" w:eastAsia="Calibri" w:hAnsi="Calibri"/>
          <w:b/>
          <w:bCs/>
          <w:sz w:val="21"/>
          <w:szCs w:val="21"/>
        </w:rPr>
        <w:t xml:space="preserve">Consecuencia de los umbrales del §7.9.2 de la Parte I.</w:t>
      </w:r>
      <w:r>
        <w:rPr>
          <w:rFonts w:ascii="Calibri" w:cs="Calibri" w:eastAsia="Calibri" w:hAnsi="Calibri"/>
          <w:sz w:val="21"/>
          <w:szCs w:val="21"/>
        </w:rPr>
        <w:t xml:space="preserve"> La carga de este contrato supera las 40 horas al año —las supera con holgura incluso en el extremo más favorable de la horquilla, 117,5 h—, de modo que </w:t>
      </w:r>
      <w:r>
        <w:rPr>
          <w:rFonts w:ascii="Calibri" w:cs="Calibri" w:eastAsia="Calibri" w:hAnsi="Calibri"/>
          <w:b/>
          <w:bCs/>
          <w:sz w:val="21"/>
          <w:szCs w:val="21"/>
        </w:rPr>
        <w:t xml:space="preserve">se requiere la conformidad expresa del servicio verificador</w:t>
      </w:r>
      <w:r>
        <w:rPr>
          <w:rFonts w:ascii="Calibri" w:cs="Calibri" w:eastAsia="Calibri" w:hAnsi="Calibri"/>
          <w:sz w:val="21"/>
          <w:szCs w:val="21"/>
        </w:rPr>
        <w:t xml:space="preserve">, que se incorpora al expediente como documento propio (VI.4.10, fila 19) y se marca en la casilla correspondiente de la ficha del Anexo II. Esa conformidad se firma sobre la horquilla completa de 117,5 a 141,5 horas al año, no sobre su extremo inferior. El umbral no se recalibra por el hecho de que el primer expediente lo supere: la alternativa prevista es incorporar menos cláusulas, en los términos de la versión mínima de ADM-4·v3.5.</w:t>
      </w:r>
    </w:p>
    <w:p>
      <w:pPr>
        <w:pStyle w:val="Heading3"/>
        <w:keepNext/>
        <w:spacing w:after="140" w:before="320"/>
      </w:pPr>
      <w:r>
        <w:rPr>
          <w:rFonts w:ascii="Georgia" w:cs="Georgia" w:eastAsia="Georgia" w:hAnsi="Georgia"/>
          <w:b/>
          <w:bCs/>
          <w:color w:val="2F5496"/>
          <w:sz w:val="22"/>
          <w:szCs w:val="22"/>
        </w:rPr>
        <w:t xml:space="preserve">VI.4.9 Cómo se estrena ADM-12·v3</w:t>
      </w:r>
    </w:p>
    <w:p>
      <w:pPr>
        <w:spacing w:after="140" w:line="276"/>
      </w:pPr>
      <w:r>
        <w:rPr>
          <w:rFonts w:ascii="Calibri" w:cs="Calibri" w:eastAsia="Calibri" w:hAnsi="Calibri"/>
          <w:sz w:val="21"/>
          <w:szCs w:val="21"/>
        </w:rPr>
        <w:t xml:space="preserve">La cláusula que pidió el área de control se aplica en el contrato de su propia materia. Contenido concreto para este expediente:</w:t>
      </w:r>
    </w:p>
    <w:p>
      <w:pPr>
        <w:pStyle w:val="ListParagraph"/>
        <w:numPr>
          <w:ilvl w:val="0"/>
          <w:numId w:val="1"/>
        </w:numPr>
        <w:spacing w:after="70" w:line="268"/>
      </w:pPr>
      <w:r>
        <w:rPr>
          <w:rFonts w:ascii="Calibri" w:cs="Calibri" w:eastAsia="Calibri" w:hAnsi="Calibri"/>
          <w:b/>
          <w:bCs/>
          <w:sz w:val="21"/>
          <w:szCs w:val="21"/>
        </w:rPr>
        <w:t xml:space="preserve">[X; se recomienda 3] accesos nominativos de consulta incluidos en el precio</w:t>
      </w:r>
      <w:r>
        <w:rPr>
          <w:rFonts w:ascii="Calibri" w:cs="Calibri" w:eastAsia="Calibri" w:hAnsi="Calibri"/>
          <w:sz w:val="21"/>
          <w:szCs w:val="21"/>
        </w:rPr>
        <w:t xml:space="preserve">, que permitirán consultar los datos de ejecución del contrato </w:t>
      </w:r>
      <w:r>
        <w:rPr>
          <w:rFonts w:ascii="Calibri" w:cs="Calibri" w:eastAsia="Calibri" w:hAnsi="Calibri"/>
          <w:b/>
          <w:bCs/>
          <w:sz w:val="21"/>
          <w:szCs w:val="21"/>
        </w:rPr>
        <w:t xml:space="preserve">con el detalle funcional definido en el apartado [ ] del Pliego de Prescripciones Técnicas</w:t>
      </w:r>
      <w:r>
        <w:rPr>
          <w:rFonts w:ascii="Calibri" w:cs="Calibri" w:eastAsia="Calibri" w:hAnsi="Calibri"/>
          <w:sz w:val="21"/>
          <w:szCs w:val="21"/>
        </w:rPr>
        <w:t xml:space="preserve">, sin coste adicional, durante toda la vigencia y las prórrogas. Es la formulación del apartado 1 de ADM-12·v3, y se emplea por la razón que allí se explica: «acceso de alcance no inferior al del gestor» es indeterminado y desproporcionado, y el propio catálogo lo suprimió. </w:t>
      </w:r>
      <w:r>
        <w:rPr>
          <w:rFonts w:ascii="Calibri" w:cs="Calibri" w:eastAsia="Calibri" w:hAnsi="Calibri"/>
          <w:b/>
          <w:bCs/>
          <w:sz w:val="21"/>
          <w:szCs w:val="21"/>
        </w:rPr>
        <w:t xml:space="preserve">Antes de aprobar el pliego hay que comprobar que el PPT contiene efectivamente ese apartado</w:t>
      </w:r>
      <w:r>
        <w:rPr>
          <w:rFonts w:ascii="Calibri" w:cs="Calibri" w:eastAsia="Calibri" w:hAnsi="Calibri"/>
          <w:sz w:val="21"/>
          <w:szCs w:val="21"/>
        </w:rPr>
        <w:t xml:space="preserve">, con la relación de consultas y de exportaciones que el órgano de control necesita. El número de accesos es un parámetro del pliego: fijarlo evita la discusión sobre el modelo de licenciamiento y no expulsa del procedimiento a las soluciones que licencian por usuario.</w:t>
      </w:r>
    </w:p>
    <w:p>
      <w:pPr>
        <w:pStyle w:val="ListParagraph"/>
        <w:numPr>
          <w:ilvl w:val="0"/>
          <w:numId w:val="1"/>
        </w:numPr>
        <w:spacing w:after="70" w:line="268"/>
      </w:pPr>
      <w:r>
        <w:rPr>
          <w:rFonts w:ascii="Calibri" w:cs="Calibri" w:eastAsia="Calibri" w:hAnsi="Calibri"/>
          <w:b/>
          <w:bCs/>
          <w:sz w:val="21"/>
          <w:szCs w:val="21"/>
        </w:rPr>
        <w:t xml:space="preserve">Extracción en formato abierto</w:t>
      </w:r>
      <w:r>
        <w:rPr>
          <w:rFonts w:ascii="Calibri" w:cs="Calibri" w:eastAsia="Calibri" w:hAnsi="Calibri"/>
          <w:sz w:val="21"/>
          <w:szCs w:val="21"/>
        </w:rPr>
        <w:t xml:space="preserve"> por interfaz documentada, sin intervención del adjudicatario y sin tarificación por consulta.</w:t>
      </w:r>
    </w:p>
    <w:p>
      <w:pPr>
        <w:pStyle w:val="ListParagraph"/>
        <w:numPr>
          <w:ilvl w:val="0"/>
          <w:numId w:val="1"/>
        </w:numPr>
        <w:spacing w:after="70" w:line="268"/>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entregado y mantenido actualizado.</w:t>
      </w:r>
    </w:p>
    <w:p>
      <w:pPr>
        <w:pStyle w:val="ListParagraph"/>
        <w:numPr>
          <w:ilvl w:val="0"/>
          <w:numId w:val="1"/>
        </w:numPr>
        <w:spacing w:after="70" w:line="268"/>
      </w:pPr>
      <w:r>
        <w:rPr>
          <w:rFonts w:ascii="Calibri" w:cs="Calibri" w:eastAsia="Calibri" w:hAnsi="Calibri"/>
          <w:b/>
          <w:bCs/>
          <w:sz w:val="21"/>
          <w:szCs w:val="21"/>
        </w:rPr>
        <w:t xml:space="preserve">Permanencia</w:t>
      </w:r>
      <w:r>
        <w:rPr>
          <w:rFonts w:ascii="Calibri" w:cs="Calibri" w:eastAsia="Calibri" w:hAnsi="Calibri"/>
          <w:sz w:val="21"/>
          <w:szCs w:val="21"/>
        </w:rPr>
        <w:t xml:space="preserve"> de estas obligaciones en las prórrogas y durante el período de reversión.</w:t>
      </w:r>
    </w:p>
    <w:p>
      <w:pPr>
        <w:pStyle w:val="ListParagraph"/>
        <w:numPr>
          <w:ilvl w:val="0"/>
          <w:numId w:val="1"/>
        </w:numPr>
        <w:spacing w:after="70" w:line="268"/>
      </w:pPr>
      <w:r>
        <w:rPr>
          <w:rFonts w:ascii="Calibri" w:cs="Calibri" w:eastAsia="Calibri" w:hAnsi="Calibri"/>
          <w:b/>
          <w:bCs/>
          <w:sz w:val="21"/>
          <w:szCs w:val="21"/>
        </w:rPr>
        <w:t xml:space="preserve">Límites:</w:t>
      </w:r>
      <w:r>
        <w:rPr>
          <w:rFonts w:ascii="Calibri" w:cs="Calibri" w:eastAsia="Calibri" w:hAnsi="Calibri"/>
          <w:sz w:val="21"/>
          <w:szCs w:val="21"/>
        </w:rPr>
        <w:t xml:space="preserve"> finalidad exclusiva de control interno, deber de sigilo del personal que accede (art. 5.1 RD 424/2017) y sujeción al régimen de protección de datos.</w:t>
      </w:r>
    </w:p>
    <w:p>
      <w:pPr>
        <w:spacing w:after="140" w:line="276"/>
      </w:pPr>
      <w:r>
        <w:rPr>
          <w:rFonts w:ascii="Calibri" w:cs="Calibri" w:eastAsia="Calibri" w:hAnsi="Calibri"/>
          <w:sz w:val="21"/>
          <w:szCs w:val="21"/>
        </w:rPr>
        <w:t xml:space="preserve">Anclaje: función interventora y control financiero (art. 214 TRLRHL; arts. 4.3, 6.3, 6.7, 20 y 30 del RD 424/2017) y DA 3.ª.3 LCSP. La cadena completa del control interno, y la advertencia sobre lo que el art. 33.4.d) del RD 424/2017 </w:t>
      </w:r>
      <w:r>
        <w:rPr>
          <w:rFonts w:ascii="Calibri" w:cs="Calibri" w:eastAsia="Calibri" w:hAnsi="Calibri"/>
          <w:b/>
          <w:bCs/>
          <w:sz w:val="21"/>
          <w:szCs w:val="21"/>
        </w:rPr>
        <w:t xml:space="preserve">no</w:t>
      </w:r>
      <w:r>
        <w:rPr>
          <w:rFonts w:ascii="Calibri" w:cs="Calibri" w:eastAsia="Calibri" w:hAnsi="Calibri"/>
          <w:sz w:val="21"/>
          <w:szCs w:val="21"/>
        </w:rPr>
        <w:t xml:space="preserve"> ampara —es circularización de saldos en auditoría pública, no título para exigir acceso funcional permanente a la aplicación—, están desarrolladas en ADM-12·v3 y en la Parte IV, M1.4, y no se repiten aquí. En este expediente basta con dejar constancia de que el fundamento es la previsión contractual y de que el art. 33.4.d) se cita sólo como refuerzo.</w:t>
      </w:r>
    </w:p>
    <w:p>
      <w:pPr>
        <w:pStyle w:val="Heading3"/>
        <w:keepNext/>
        <w:spacing w:after="140" w:before="320"/>
      </w:pPr>
      <w:r>
        <w:rPr>
          <w:rFonts w:ascii="Georgia" w:cs="Georgia" w:eastAsia="Georgia" w:hAnsi="Georgia"/>
          <w:b/>
          <w:bCs/>
          <w:color w:val="2F5496"/>
          <w:sz w:val="22"/>
          <w:szCs w:val="22"/>
        </w:rPr>
        <w:t xml:space="preserve">VI.4.10 Los documentos del expediente</w:t>
      </w:r>
    </w:p>
    <w:p>
      <w:pPr>
        <w:spacing w:after="140" w:line="276"/>
      </w:pPr>
      <w:r>
        <w:rPr>
          <w:rFonts w:ascii="Calibri" w:cs="Calibri" w:eastAsia="Calibri" w:hAnsi="Calibri"/>
          <w:sz w:val="21"/>
          <w:szCs w:val="21"/>
        </w:rPr>
        <w:t xml:space="preserve">La relación reproduce el circuito general de la Parte V, V.2.1, aplicado a este expediente, y le añade los documentos propios del catálogo. </w:t>
      </w:r>
      <w:r>
        <w:rPr>
          <w:rFonts w:ascii="Calibri" w:cs="Calibri" w:eastAsia="Calibri" w:hAnsi="Calibri"/>
          <w:b/>
          <w:bCs/>
          <w:sz w:val="21"/>
          <w:szCs w:val="21"/>
        </w:rPr>
        <w:t xml:space="preserve">No concurre en él la justificación de la elección del procedimiento</w:t>
      </w:r>
      <w:r>
        <w:rPr>
          <w:rFonts w:ascii="Calibri" w:cs="Calibri" w:eastAsia="Calibri" w:hAnsi="Calibri"/>
          <w:sz w:val="21"/>
          <w:szCs w:val="21"/>
        </w:rPr>
        <w:t xml:space="preserve"> (paso B-2 del circuito), porque el contrato se tramita por procedimiento abierto y el art. 63.3.a) LCSP sólo la exige cuando el procedimiento es distinto del abierto o del restringido. Ninguno de los demás es nuevo salvo tres.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y/o servicio competente según el origen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 modelo en el 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servicio competente / remisión al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expediente, </w:t>
            </w:r>
            <w:r>
              <w:rPr>
                <w:rFonts w:ascii="Calibri" w:cs="Calibri" w:eastAsia="Calibri" w:hAnsi="Calibri"/>
                <w:b/>
                <w:bCs/>
                <w:sz w:val="18"/>
                <w:szCs w:val="18"/>
              </w:rPr>
              <w:t xml:space="preserve">con la justificación de la categoría ENS y de cada exigencia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 LCSP · doctrina de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de la categoría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 de la información y responsable del servicio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y arts. 2.3, 28, 38.1, 40 y 41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de no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de adjudicación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método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el método en 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Cargos y asesores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 modelo en el Anexo 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la consulta preliminar del mercado, si se realizó</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Contraste de mercado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apartado V.A.4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y PCAP, con el Anexo V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(Asesoría Jurídica en municipios de gran población;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y certificado de 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 y RD 424/2017 · 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de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 aprobación del expediente y de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Compromiso de gasto plurianual y consignación de la aplicación presupuestaria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y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174 TRLRHL; bases de ejecución del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verificador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por superar el contrato las 40 h/año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bl>
    <w:p>
      <w:pPr>
        <w:spacing w:after="200"/>
      </w:pPr>
    </w:p>
    <w:p>
      <w:pPr>
        <w:spacing w:after="140" w:line="276"/>
      </w:pPr>
      <w:r>
        <w:rPr>
          <w:rFonts w:ascii="Calibri" w:cs="Calibri" w:eastAsia="Calibri" w:hAnsi="Calibri"/>
          <w:sz w:val="21"/>
          <w:szCs w:val="21"/>
        </w:rPr>
        <w:t xml:space="preserve">Los documentos 5, 6 y 11 son los que el circuito actual no produce. Los tres son baratos y los tres son exactamente lo que se echa en falta cuando llega un recurso. Los documentos 18 y 19 son los que la fiscalización previa echa en falta en primer lugar: un contrato de dos años más dos de prórroga es gasto plurianual, y una carga de verificación que supera el umbral del §7.9.2 sin conformidad del servicio que ha de asumirla es una obligación sin actor.</w:t>
      </w:r>
    </w:p>
    <w:p>
      <w:pPr>
        <w:spacing w:after="140" w:line="276"/>
      </w:pPr>
      <w:r>
        <w:rPr>
          <w:rFonts w:ascii="Calibri" w:cs="Calibri" w:eastAsia="Calibri" w:hAnsi="Calibri"/>
          <w:b/>
          <w:bCs/>
          <w:sz w:val="21"/>
          <w:szCs w:val="21"/>
        </w:rPr>
        <w:t xml:space="preserve">Carpeta de defensa.</w:t>
      </w:r>
      <w:r>
        <w:rPr>
          <w:rFonts w:ascii="Calibri" w:cs="Calibri" w:eastAsia="Calibri" w:hAnsi="Calibri"/>
          <w:sz w:val="21"/>
          <w:szCs w:val="21"/>
        </w:rPr>
        <w:t xml:space="preserve"> Antes de publicar el anuncio, se deja preparado un índice con todos los documentos de la tabla y sus enlaces internos. Si se interpone recurso especial, el expediente y el informe se remiten en plazo brevísimo: eso se prepara antes, no después.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VI.5 Guion y rúbrica de la demostración funcional del piloto</w:t>
      </w:r>
    </w:p>
    <w:p>
      <w:pPr>
        <w:spacing w:after="140" w:line="276"/>
      </w:pPr>
      <w:r>
        <w:rPr>
          <w:rFonts w:ascii="Calibri" w:cs="Calibri" w:eastAsia="Calibri" w:hAnsi="Calibri"/>
          <w:sz w:val="21"/>
          <w:szCs w:val="21"/>
        </w:rPr>
        <w:t xml:space="preserve">El caso de uso y su rúbrica se recogen aquí, y no en un anexo, porque son específicos de este contrato; el guion, la relación cerrada de elementos verificables y la rúbrica </w:t>
      </w:r>
      <w:r>
        <w:rPr>
          <w:rFonts w:ascii="Calibri" w:cs="Calibri" w:eastAsia="Calibri" w:hAnsi="Calibri"/>
          <w:b/>
          <w:bCs/>
          <w:sz w:val="21"/>
          <w:szCs w:val="21"/>
        </w:rPr>
        <w:t xml:space="preserve">genéricos</w:t>
      </w:r>
      <w:r>
        <w:rPr>
          <w:rFonts w:ascii="Calibri" w:cs="Calibri" w:eastAsia="Calibri" w:hAnsi="Calibri"/>
          <w:sz w:val="21"/>
          <w:szCs w:val="21"/>
        </w:rPr>
        <w:t xml:space="preserve">, reutilizables por cualquier objeto, están en el Anexo XX. </w:t>
      </w:r>
      <w:r>
        <w:rPr>
          <w:rFonts w:ascii="Calibri" w:cs="Calibri" w:eastAsia="Calibri" w:hAnsi="Calibri"/>
          <w:b/>
          <w:bCs/>
          <w:sz w:val="21"/>
          <w:szCs w:val="21"/>
        </w:rPr>
        <w:t xml:space="preserve">Regla que gobierna todo este apartado: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constituye criterio de adjudicación y no atribuye puntuación alguna</w:t>
      </w:r>
      <w:r>
        <w:rPr>
          <w:rFonts w:ascii="Calibri" w:cs="Calibri" w:eastAsia="Calibri" w:hAnsi="Calibri"/>
          <w:sz w:val="21"/>
          <w:szCs w:val="21"/>
        </w:rPr>
        <w:t xml:space="preserve"> (ADM-9·v3, apartados 1 y 4). Lo que se puntúa es la memoria técnica escrita; la sesión sólo confirma o retira los puntos ya asignados a ella.</w:t>
      </w:r>
    </w:p>
    <w:p>
      <w:pPr>
        <w:spacing w:after="140" w:line="276"/>
      </w:pPr>
      <w:r>
        <w:rPr>
          <w:rFonts w:ascii="Calibri" w:cs="Calibri" w:eastAsia="Calibri" w:hAnsi="Calibri"/>
          <w:b/>
          <w:bCs/>
          <w:sz w:val="21"/>
          <w:szCs w:val="21"/>
        </w:rPr>
        <w:t xml:space="preserve">Caso de uso publicado en el PCAP, idéntico para todos los licitadores, sobre datos ficticios facilitados por el Ayuntamiento:</w:t>
      </w:r>
    </w:p>
    <w:p>
      <w:pPr>
        <w:pBdr>
          <w:left w:val="single" w:color="BFBFBF" w:sz="12" w:space="8"/>
        </w:pBdr>
        <w:spacing w:after="140" w:line="264"/>
        <w:ind w:left="400"/>
      </w:pPr>
      <w:r>
        <w:rPr>
          <w:rFonts w:ascii="Georgia" w:cs="Georgia" w:eastAsia="Georgia" w:hAnsi="Georgia"/>
          <w:i/>
          <w:iCs/>
          <w:color w:val="595959"/>
          <w:sz w:val="20"/>
          <w:szCs w:val="20"/>
        </w:rPr>
        <w:t xml:space="preserve">«A partir del fichero de datos ficticios que se entrega con el pliego, y en un máximo de noventa minutos: (1) registrar una factura recibida y su documento contable hasta la fase de reconocimiento de la obligación, con el circuito de validación configurado; (2) localizar y corregir un asiento erróneo, mostrando el rastro completo de la modificación; (3) dar de alta un bien en el inventario y vincularlo al documento contable que lo origina; (4) obtener, para una aplicación presupuestaria y un período, el detalle de obligaciones reconocidas y pagos en formato exportable; (5) mostrar el registro de auditoría de todo lo anterior, identificando usuario, momento y datos afectados.»</w:t>
      </w:r>
    </w:p>
    <w:p>
      <w:pPr>
        <w:spacing w:after="140" w:line="276"/>
      </w:pPr>
      <w:r>
        <w:rPr>
          <w:rFonts w:ascii="Calibri" w:cs="Calibri" w:eastAsia="Calibri" w:hAnsi="Calibri"/>
          <w:b/>
          <w:bCs/>
          <w:sz w:val="21"/>
          <w:szCs w:val="21"/>
        </w:rPr>
        <w:t xml:space="preserve">Reglas de la sesión:</w:t>
      </w:r>
      <w:r>
        <w:rPr>
          <w:rFonts w:ascii="Calibri" w:cs="Calibri" w:eastAsia="Calibri" w:hAnsi="Calibri"/>
          <w:sz w:val="21"/>
          <w:szCs w:val="21"/>
        </w:rPr>
        <w:t xml:space="preserve"> modalidad por defecto videoconferencia sobre el entorno del propio licitador, sin despliegue previo ni coste para el Ayuntamiento; duración máxima [X; se recomienda 90] minutos; orden por sorteo; mismo guion y mismo tiempo para todos; incidencias técnicas documentadas y reanudación por una sola vez.</w:t>
      </w:r>
    </w:p>
    <w:p>
      <w:pPr>
        <w:spacing w:after="140" w:line="276"/>
      </w:pPr>
      <w:r>
        <w:rPr>
          <w:rFonts w:ascii="Calibri" w:cs="Calibri" w:eastAsia="Calibri" w:hAnsi="Calibri"/>
          <w:b/>
          <w:bCs/>
          <w:sz w:val="21"/>
          <w:szCs w:val="21"/>
        </w:rPr>
        <w:t xml:space="preserve">Momento procedimental, como regla imperativa del PCAP:</w:t>
      </w:r>
      <w:r>
        <w:rPr>
          <w:rFonts w:ascii="Calibri" w:cs="Calibri" w:eastAsia="Calibri" w:hAnsi="Calibri"/>
          <w:sz w:val="21"/>
          <w:szCs w:val="21"/>
        </w:rPr>
        <w:t xml:space="preserve"> la demostración se celebra </w:t>
      </w:r>
      <w:r>
        <w:rPr>
          <w:rFonts w:ascii="Calibri" w:cs="Calibri" w:eastAsia="Calibri" w:hAnsi="Calibri"/>
          <w:b/>
          <w:bCs/>
          <w:sz w:val="21"/>
          <w:szCs w:val="21"/>
        </w:rPr>
        <w:t xml:space="preserve">después</w:t>
      </w:r>
      <w:r>
        <w:rPr>
          <w:rFonts w:ascii="Calibri" w:cs="Calibri" w:eastAsia="Calibri" w:hAnsi="Calibri"/>
          <w:sz w:val="21"/>
          <w:szCs w:val="21"/>
        </w:rPr>
        <w:t xml:space="preserve"> de abrir el sobre de criterios sujetos a juicio de valor y </w:t>
      </w:r>
      <w:r>
        <w:rPr>
          <w:rFonts w:ascii="Calibri" w:cs="Calibri" w:eastAsia="Calibri" w:hAnsi="Calibri"/>
          <w:b/>
          <w:bCs/>
          <w:sz w:val="21"/>
          <w:szCs w:val="21"/>
        </w:rPr>
        <w:t xml:space="preserve">siempre antes</w:t>
      </w:r>
      <w:r>
        <w:rPr>
          <w:rFonts w:ascii="Calibri" w:cs="Calibri" w:eastAsia="Calibri" w:hAnsi="Calibri"/>
          <w:sz w:val="21"/>
          <w:szCs w:val="21"/>
        </w:rPr>
        <w:t xml:space="preserve"> de abrir el de criterios evaluables por fórmula, con constancia documental previa de la fecha y del guion. Una demostración cuya puntuación se cierre después de conocerse los precios no se retrotrae: anula la licitación entera.</w:t>
      </w:r>
    </w:p>
    <w:p>
      <w:pPr>
        <w:spacing w:after="140" w:line="276"/>
      </w:pPr>
      <w:r>
        <w:rPr>
          <w:rFonts w:ascii="Calibri" w:cs="Calibri" w:eastAsia="Calibri" w:hAnsi="Calibri"/>
          <w:b/>
          <w:bCs/>
          <w:sz w:val="21"/>
          <w:szCs w:val="21"/>
        </w:rPr>
        <w:t xml:space="preserve">Qué se valora y qué no:</w:t>
      </w:r>
      <w:r>
        <w:rPr>
          <w:rFonts w:ascii="Calibri" w:cs="Calibri" w:eastAsia="Calibri" w:hAnsi="Calibri"/>
          <w:sz w:val="21"/>
          <w:szCs w:val="21"/>
        </w:rPr>
        <w:t xml:space="preserve"> sólo lo descrito en la memoria técnica presentada en plazo. Lo mostrado y no descrito no puntúa; lo descrito y no acreditado puntúa cero. La demostración </w:t>
      </w:r>
      <w:r>
        <w:rPr>
          <w:rFonts w:ascii="Calibri" w:cs="Calibri" w:eastAsia="Calibri" w:hAnsi="Calibri"/>
          <w:b/>
          <w:bCs/>
          <w:sz w:val="21"/>
          <w:szCs w:val="21"/>
        </w:rPr>
        <w:t xml:space="preserve">verifica</w:t>
      </w:r>
      <w:r>
        <w:rPr>
          <w:rFonts w:ascii="Calibri" w:cs="Calibri" w:eastAsia="Calibri" w:hAnsi="Calibri"/>
          <w:sz w:val="21"/>
          <w:szCs w:val="21"/>
        </w:rPr>
        <w:t xml:space="preserve"> lo declarado por escrito en la oferta: no la sustituye ni la completa. Con ese anclaje se resuelve el encaje con la DA 15.ª.2 LCSP, que sólo admite la comunicación oral para comunicaciones distintas de las relativas a los elementos esenciales del procedimiento, entre los que enumera las ofertas.</w:t>
      </w:r>
    </w:p>
    <w:p>
      <w:pPr>
        <w:spacing w:after="140" w:line="276"/>
      </w:pPr>
      <w:r>
        <w:rPr>
          <w:rFonts w:ascii="Calibri" w:cs="Calibri" w:eastAsia="Calibri" w:hAnsi="Calibri"/>
          <w:b/>
          <w:bCs/>
          <w:sz w:val="21"/>
          <w:szCs w:val="21"/>
        </w:rPr>
        <w:t xml:space="preserve">Documentación de la sesión:</w:t>
      </w:r>
      <w:r>
        <w:rPr>
          <w:rFonts w:ascii="Calibri" w:cs="Calibri" w:eastAsia="Calibri" w:hAnsi="Calibri"/>
          <w:sz w:val="21"/>
          <w:szCs w:val="21"/>
        </w:rPr>
        <w:t xml:space="preserve"> acta escrita detallada suscrita por quienes asistan, conforme al modelo de acta del Anexo XX, con una fila por cada una de las cinco tareas y </w:t>
      </w:r>
      <w:r>
        <w:rPr>
          <w:rFonts w:ascii="Calibri" w:cs="Calibri" w:eastAsia="Calibri" w:hAnsi="Calibri"/>
          <w:b/>
          <w:bCs/>
          <w:sz w:val="21"/>
          <w:szCs w:val="21"/>
        </w:rPr>
        <w:t xml:space="preserve">cuatro columnas obligatorias: «declarado» · «acreditado» · «no acreditado» · «evidencia observada»</w:t>
      </w:r>
      <w:r>
        <w:rPr>
          <w:rFonts w:ascii="Calibri" w:cs="Calibri" w:eastAsia="Calibri" w:hAnsi="Calibri"/>
          <w:sz w:val="21"/>
          <w:szCs w:val="21"/>
        </w:rPr>
        <w:t xml:space="preserve">, más las incidencias. Regla expresa que se transcribe al PCAP: </w:t>
      </w:r>
      <w:r>
        <w:rPr>
          <w:rFonts w:ascii="Calibri" w:cs="Calibri" w:eastAsia="Calibri" w:hAnsi="Calibri"/>
          <w:i/>
          <w:iCs/>
          <w:sz w:val="21"/>
          <w:szCs w:val="21"/>
        </w:rPr>
        <w:t xml:space="preserve">lo declarado en la memoria y no acreditado en la sesión puntúa cero en el subcriterio correspondiente; lo mostrado en la sesión y no declarado en la memoria no puntúa.</w:t>
      </w:r>
      <w:r>
        <w:rPr>
          <w:rFonts w:ascii="Calibri" w:cs="Calibri" w:eastAsia="Calibri" w:hAnsi="Calibri"/>
          <w:sz w:val="21"/>
          <w:szCs w:val="21"/>
        </w:rPr>
        <w:t xml:space="preserve"> La DA 15.ª.2 LCSP exige que las comunicaciones orales que puedan incidir sustancialmente en la evaluación queden documentadas «a través de los medios adecuados, tales como los archivos o resúmenes escritos o sonoros»: </w:t>
      </w:r>
      <w:r>
        <w:rPr>
          <w:rFonts w:ascii="Calibri" w:cs="Calibri" w:eastAsia="Calibri" w:hAnsi="Calibri"/>
          <w:b/>
          <w:bCs/>
          <w:sz w:val="21"/>
          <w:szCs w:val="21"/>
        </w:rPr>
        <w:t xml:space="preserve">el acta escrita detallada basta</w:t>
      </w:r>
      <w:r>
        <w:rPr>
          <w:rFonts w:ascii="Calibri" w:cs="Calibri" w:eastAsia="Calibri" w:hAnsi="Calibri"/>
          <w:sz w:val="21"/>
          <w:szCs w:val="21"/>
        </w:rPr>
        <w:t xml:space="preserve">; puede añadirse archivo sonoro si el órgano lo considera conveniente, previa información a los licitadores. Escribir que la norma impone grabación audiovisual es sobredimensionar la exigencia y regalar un motivo de recurso.</w:t>
      </w:r>
    </w:p>
    <w:p>
      <w:pPr>
        <w:spacing w:after="140" w:line="276"/>
      </w:pPr>
      <w:r>
        <w:rPr>
          <w:rFonts w:ascii="Calibri" w:cs="Calibri" w:eastAsia="Calibri" w:hAnsi="Calibri"/>
          <w:b/>
          <w:bCs/>
          <w:sz w:val="21"/>
          <w:szCs w:val="21"/>
        </w:rPr>
        <w:t xml:space="preserve">Rúbrica del criterio D (7 puntos), publicada en el PCAP.</w:t>
      </w:r>
      <w:r>
        <w:rPr>
          <w:rFonts w:ascii="Calibri" w:cs="Calibri" w:eastAsia="Calibri" w:hAnsi="Calibri"/>
          <w:sz w:val="21"/>
          <w:szCs w:val="21"/>
        </w:rPr>
        <w:t xml:space="preserve"> Valora </w:t>
      </w:r>
      <w:r>
        <w:rPr>
          <w:rFonts w:ascii="Calibri" w:cs="Calibri" w:eastAsia="Calibri" w:hAnsi="Calibri"/>
          <w:b/>
          <w:bCs/>
          <w:sz w:val="21"/>
          <w:szCs w:val="21"/>
        </w:rPr>
        <w:t xml:space="preserve">la cobertura y la precisión de lo descrito por escrito</w:t>
      </w:r>
      <w:r>
        <w:rPr>
          <w:rFonts w:ascii="Calibri" w:cs="Calibri" w:eastAsia="Calibri" w:hAnsi="Calibri"/>
          <w:sz w:val="21"/>
          <w:szCs w:val="21"/>
        </w:rPr>
        <w:t xml:space="preserve"> en la memoria técnica para las cinco tareas del caso de uso, no el desempeño en sala. Cada tramo exige la evidencia documental que se indica, aportada con la oferta.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contener la memoria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y documentada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paso a paso sobre funciones existentes de la solución, con identificación de la pantalla, función o servicio que ejecuta cada paso; se acompaña documentación de producto o manual que las recoge; se describe qué queda registrado en el registro de auditoría en cada una y en qué formato abierto se obtiene la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con soporte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pero en alguna la documentación aportada no cubre todos los pasos, o alguno requiere una intervención manual del proveedor que la propia memoria declara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Tres o cuatro tareas descritas con ese nivel de detalle; en las restantes la descripción es genérica o no identifica la función que las ejecuta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o dos tareas descritas con ese nivel de detalle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descripción útil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tarea descrita con ese nivel de detalle, o la memoria se limita a afirmar que la solución las cubre</w:t>
            </w:r>
          </w:p>
        </w:tc>
      </w:tr>
    </w:tbl>
    <w:p>
      <w:pPr>
        <w:spacing w:after="200"/>
      </w:pPr>
    </w:p>
    <w:p>
      <w:pPr>
        <w:spacing w:after="140" w:line="276"/>
      </w:pPr>
      <w:r>
        <w:rPr>
          <w:rFonts w:ascii="Calibri" w:cs="Calibri" w:eastAsia="Calibri" w:hAnsi="Calibri"/>
          <w:b/>
          <w:bCs/>
          <w:sz w:val="21"/>
          <w:szCs w:val="21"/>
        </w:rPr>
        <w:t xml:space="preserve">Efecto de la sesión sobre esta rúbrica.</w:t>
      </w:r>
      <w:r>
        <w:rPr>
          <w:rFonts w:ascii="Calibri" w:cs="Calibri" w:eastAsia="Calibri" w:hAnsi="Calibri"/>
          <w:sz w:val="21"/>
          <w:szCs w:val="21"/>
        </w:rPr>
        <w:t xml:space="preserve"> La demostración funcional de ADM-9·v3 no altera los tramos: comprueba, tarea por tarea, si lo descrito es exacto. Lo declarado y no acreditado pasa a cero en su subcriterio; lo acreditado y no declarado no suma. </w:t>
      </w:r>
      <w:r>
        <w:rPr>
          <w:rFonts w:ascii="Calibri" w:cs="Calibri" w:eastAsia="Calibri" w:hAnsi="Calibri"/>
          <w:b/>
          <w:bCs/>
          <w:sz w:val="21"/>
          <w:szCs w:val="21"/>
        </w:rPr>
        <w:t xml:space="preserve">La sesión no puede subir la puntuación de ningún licitador.</w:t>
      </w:r>
    </w:p>
    <w:p>
      <w:pPr>
        <w:spacing w:after="140" w:line="276"/>
      </w:pPr>
      <w:r>
        <w:rPr>
          <w:rFonts w:ascii="Calibri" w:cs="Calibri" w:eastAsia="Calibri" w:hAnsi="Calibri"/>
          <w:b/>
          <w:bCs/>
          <w:sz w:val="21"/>
          <w:szCs w:val="21"/>
        </w:rPr>
        <w:t xml:space="preserve">Advertencia que debe constar en el PCAP:</w:t>
      </w:r>
      <w:r>
        <w:rPr>
          <w:rFonts w:ascii="Calibri" w:cs="Calibri" w:eastAsia="Calibri" w:hAnsi="Calibri"/>
          <w:sz w:val="21"/>
          <w:szCs w:val="21"/>
        </w:rPr>
        <w:t xml:space="preserve"> el resultado de la demostración no acredita solvencia y </w:t>
      </w:r>
      <w:r>
        <w:rPr>
          <w:rFonts w:ascii="Calibri" w:cs="Calibri" w:eastAsia="Calibri" w:hAnsi="Calibri"/>
          <w:b/>
          <w:bCs/>
          <w:sz w:val="21"/>
          <w:szCs w:val="21"/>
        </w:rPr>
        <w:t xml:space="preserve">no puede fundar por sí solo la exclusión</w:t>
      </w:r>
      <w:r>
        <w:rPr>
          <w:rFonts w:ascii="Calibri" w:cs="Calibri" w:eastAsia="Calibri" w:hAnsi="Calibri"/>
          <w:sz w:val="21"/>
          <w:szCs w:val="21"/>
        </w:rPr>
        <w:t xml:space="preserve"> del licitador. El criterio valora lo descrito por escrito, no el desempeño en sala; la sesión sólo comprueba la exactitud de lo descrito, que es la función que le atribuyen el art. 145.5.c) LCSP y la cláusula ADM-9·v3. La demostración se celebra sobre un entorno de pruebas o preproducción del licitador, sin exigir instalación en el Ayuntamiento.</w:t>
      </w:r>
    </w:p>
    <w:p>
      <w:pPr>
        <w:spacing w:after="140" w:line="276"/>
      </w:pPr>
      <w:r>
        <w:rPr>
          <w:rFonts w:ascii="Calibri" w:cs="Calibri" w:eastAsia="Calibri" w:hAnsi="Calibri"/>
          <w:b/>
          <w:bCs/>
          <w:sz w:val="21"/>
          <w:szCs w:val="21"/>
        </w:rPr>
        <w:t xml:space="preserve">Sobre en que se presenta cada declaración, y qué se comprueba en la sesión.</w:t>
      </w:r>
      <w:r>
        <w:rPr>
          <w:rFonts w:ascii="Calibri" w:cs="Calibri" w:eastAsia="Calibri" w:hAnsi="Calibri"/>
          <w:sz w:val="21"/>
          <w:szCs w:val="21"/>
        </w:rPr>
        <w:t xml:space="preserve"> Cada declaración viaja en el sobre del criterio al que sirve, sin excepción. La memoria técnica y las declaraciones que sostienen los criterios sujetos a juicio de valor —C2, C4, </w:t>
      </w:r>
      <w:r>
        <w:rPr>
          <w:rFonts w:ascii="Calibri" w:cs="Calibri" w:eastAsia="Calibri" w:hAnsi="Calibri"/>
          <w:b/>
          <w:bCs/>
          <w:sz w:val="21"/>
          <w:szCs w:val="21"/>
        </w:rPr>
        <w:t xml:space="preserve">D</w:t>
      </w:r>
      <w:r>
        <w:rPr>
          <w:rFonts w:ascii="Calibri" w:cs="Calibri" w:eastAsia="Calibri" w:hAnsi="Calibri"/>
          <w:sz w:val="21"/>
          <w:szCs w:val="21"/>
        </w:rPr>
        <w:t xml:space="preserve"> y E— van al </w:t>
      </w:r>
      <w:r>
        <w:rPr>
          <w:rFonts w:ascii="Calibri" w:cs="Calibri" w:eastAsia="Calibri" w:hAnsi="Calibri"/>
          <w:b/>
          <w:bCs/>
          <w:sz w:val="21"/>
          <w:szCs w:val="21"/>
        </w:rPr>
        <w:t xml:space="preserve">sobre de criterios sujetos a juicio de valor</w:t>
      </w:r>
      <w:r>
        <w:rPr>
          <w:rFonts w:ascii="Calibri" w:cs="Calibri" w:eastAsia="Calibri" w:hAnsi="Calibri"/>
          <w:sz w:val="21"/>
          <w:szCs w:val="21"/>
        </w:rPr>
        <w:t xml:space="preserve">. Las declaraciones que sostienen criterios evaluables por fórmula —la matriz de requisitos del criterio C1, la relación de funciones del bloque B del Apéndice técnico 2 del criterio A y la relación de procesos del criterio H— van al </w:t>
      </w:r>
      <w:r>
        <w:rPr>
          <w:rFonts w:ascii="Calibri" w:cs="Calibri" w:eastAsia="Calibri" w:hAnsi="Calibri"/>
          <w:b/>
          <w:bCs/>
          <w:sz w:val="21"/>
          <w:szCs w:val="21"/>
        </w:rPr>
        <w:t xml:space="preserve">sobre de criterios evaluables mediante fórmulas</w:t>
      </w:r>
      <w:r>
        <w:rPr>
          <w:rFonts w:ascii="Calibri" w:cs="Calibri" w:eastAsia="Calibri" w:hAnsi="Calibri"/>
          <w:sz w:val="21"/>
          <w:szCs w:val="21"/>
        </w:rPr>
        <w:t xml:space="preserve">, con el Cuadro de Precios Unitarios y el resto de la proposición sometida a ese régimen.</w:t>
      </w:r>
    </w:p>
    <w:p>
      <w:pPr>
        <w:spacing w:after="140" w:line="276"/>
      </w:pPr>
      <w:r>
        <w:rPr>
          <w:rFonts w:ascii="Calibri" w:cs="Calibri" w:eastAsia="Calibri" w:hAnsi="Calibri"/>
          <w:sz w:val="21"/>
          <w:szCs w:val="21"/>
        </w:rPr>
        <w:t xml:space="preserve">En consecuencia, </w:t>
      </w:r>
      <w:r>
        <w:rPr>
          <w:rFonts w:ascii="Calibri" w:cs="Calibri" w:eastAsia="Calibri" w:hAnsi="Calibri"/>
          <w:b/>
          <w:bCs/>
          <w:sz w:val="21"/>
          <w:szCs w:val="21"/>
        </w:rPr>
        <w:t xml:space="preserve">la sesión de este apartado versa exclusivamente sobre el criterio D</w:t>
      </w:r>
      <w:r>
        <w:rPr>
          <w:rFonts w:ascii="Calibri" w:cs="Calibri" w:eastAsia="Calibri" w:hAnsi="Calibri"/>
          <w:sz w:val="21"/>
          <w:szCs w:val="21"/>
        </w:rPr>
        <w:t xml:space="preserve">, que es el único de juicio de valor al que sirve la demostración, y se celebra antes de abrir el sobre de fórmulas (ADM-9·v3.5). La exactitud de lo declarado para C1, A y H se comprueba </w:t>
      </w:r>
      <w:r>
        <w:rPr>
          <w:rFonts w:ascii="Calibri" w:cs="Calibri" w:eastAsia="Calibri" w:hAnsi="Calibri"/>
          <w:b/>
          <w:bCs/>
          <w:sz w:val="21"/>
          <w:szCs w:val="21"/>
        </w:rPr>
        <w:t xml:space="preserve">después</w:t>
      </w:r>
      <w:r>
        <w:rPr>
          <w:rFonts w:ascii="Calibri" w:cs="Calibri" w:eastAsia="Calibri" w:hAnsi="Calibri"/>
          <w:sz w:val="21"/>
          <w:szCs w:val="21"/>
        </w:rPr>
        <w:t xml:space="preserve">, ya abierto y valorado ese sobre, respecto del licitador propuesto como adjudicatario y en el trámite del artículo 150.2 de la LCSP, conforme al párrafo segundo del apartado 5 de ADM-9·v3; si resulta inexacta, la puntuación se rectifica aplicando la fórmula publicada sobre los elementos acreditados y, si cambia la clasificación, se propone al siguiente licitador.</w:t>
      </w:r>
    </w:p>
    <w:p>
      <w:pPr>
        <w:spacing w:after="140" w:line="276"/>
      </w:pPr>
      <w:r>
        <w:rPr>
          <w:rFonts w:ascii="Calibri" w:cs="Calibri" w:eastAsia="Calibri" w:hAnsi="Calibri"/>
          <w:b/>
          <w:bCs/>
          <w:sz w:val="21"/>
          <w:szCs w:val="21"/>
        </w:rPr>
        <w:t xml:space="preserve">Por qué se resuelve así y no al revés.</w:t>
      </w:r>
      <w:r>
        <w:rPr>
          <w:rFonts w:ascii="Calibri" w:cs="Calibri" w:eastAsia="Calibri" w:hAnsi="Calibri"/>
          <w:sz w:val="21"/>
          <w:szCs w:val="21"/>
        </w:rPr>
        <w:t xml:space="preserve"> Llevar al sobre de juicio de valor las declaraciones de C1, A y H habría puesto 20 de los 100 puntos del baremo —8 + 8 + 4, todos ellos automáticos— en manos de quien todavía tenía que valorar los 24 puntos subjetivos. Eso es lo que el artículo 26 del Real Decreto 817/2009 impide al exigir sobre independiente «del resto de la proposición», y lo que el artículo 146.2 de la LCSP ordena en cuanto al orden de valoración. El vicio se produciría en el trámite de la mesa, donde no cabe retroacción: obligaría a repetir la licitación entera. Con el reparto anterior no hay contaminación posible, y los criterios automáticos no pierden comprobación: la conservan, diferida, reglada y sobre un solo licitador.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VI.6 Revisión de lo ya redactado el 24/08/2026</w:t>
      </w:r>
    </w:p>
    <w:p>
      <w:pPr>
        <w:spacing w:after="140" w:line="276"/>
      </w:pPr>
      <w:r>
        <w:rPr>
          <w:rFonts w:ascii="Calibri" w:cs="Calibri" w:eastAsia="Calibri" w:hAnsi="Calibri"/>
          <w:sz w:val="21"/>
          <w:szCs w:val="21"/>
        </w:rPr>
        <w:t xml:space="preserve">Tabla de rectificación, cláusula por cláusula. </w:t>
      </w:r>
      <w:r>
        <w:rPr>
          <w:rFonts w:ascii="Calibri" w:cs="Calibri" w:eastAsia="Calibri" w:hAnsi="Calibri"/>
          <w:b/>
          <w:bCs/>
          <w:sz w:val="21"/>
          <w:szCs w:val="21"/>
        </w:rPr>
        <w:t xml:space="preserve">Prioridad P1</w:t>
      </w:r>
      <w:r>
        <w:rPr>
          <w:rFonts w:ascii="Calibri" w:cs="Calibri" w:eastAsia="Calibri" w:hAnsi="Calibri"/>
          <w:sz w:val="21"/>
          <w:szCs w:val="21"/>
        </w:rPr>
        <w:t xml:space="preserve">: defecto que bloquea la aprobación o produce un motivo de recurso directo; se corrige antes de aprobar. </w:t>
      </w:r>
      <w:r>
        <w:rPr>
          <w:rFonts w:ascii="Calibri" w:cs="Calibri" w:eastAsia="Calibri" w:hAnsi="Calibri"/>
          <w:b/>
          <w:bCs/>
          <w:sz w:val="21"/>
          <w:szCs w:val="21"/>
        </w:rPr>
        <w:t xml:space="preserve">P2</w:t>
      </w:r>
      <w:r>
        <w:rPr>
          <w:rFonts w:ascii="Calibri" w:cs="Calibri" w:eastAsia="Calibri" w:hAnsi="Calibri"/>
          <w:sz w:val="21"/>
          <w:szCs w:val="21"/>
        </w:rPr>
        <w:t xml:space="preserve">: defecto que debilita la posición del Ayuntamiento; se corrige antes de publicar. </w:t>
      </w:r>
      <w:r>
        <w:rPr>
          <w:rFonts w:ascii="Calibri" w:cs="Calibri" w:eastAsia="Calibri" w:hAnsi="Calibri"/>
          <w:b/>
          <w:bCs/>
          <w:sz w:val="21"/>
          <w:szCs w:val="21"/>
        </w:rPr>
        <w:t xml:space="preserve">P3</w:t>
      </w:r>
      <w:r>
        <w:rPr>
          <w:rFonts w:ascii="Calibri" w:cs="Calibri" w:eastAsia="Calibri" w:hAnsi="Calibri"/>
          <w:sz w:val="21"/>
          <w:szCs w:val="21"/>
        </w:rPr>
        <w:t xml:space="preserve">: mejora de claridad.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en los pliegos del 24/08/2026 (texto v2)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pone en su lugar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 «DT-6. Seguridad (</w:t>
            </w:r>
            <w:r>
              <w:rPr>
                <w:rFonts w:ascii="Calibri" w:cs="Calibri" w:eastAsia="Calibri" w:hAnsi="Calibri"/>
                <w:b/>
                <w:bCs/>
                <w:sz w:val="18"/>
                <w:szCs w:val="18"/>
              </w:rPr>
              <w:t xml:space="preserve">ENS 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Fija la categoría antes del análisis y sin justificación en la memoria. Es el supuesto exacto de la Res. TACP Madrid 383/2024 (Parla)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 Categoría del anexo I del RD 311/2022 consignada en el expediente </w:t>
            </w:r>
            <w:r>
              <w:rPr>
                <w:rFonts w:ascii="Calibri" w:cs="Calibri" w:eastAsia="Calibri" w:hAnsi="Calibri"/>
                <w:b/>
                <w:bCs/>
                <w:sz w:val="18"/>
                <w:szCs w:val="18"/>
              </w:rPr>
              <w:t xml:space="preserve">y justificada en la memoria</w:t>
            </w:r>
            <w:r>
              <w:rPr>
                <w:rFonts w:ascii="Calibri" w:cs="Calibri" w:eastAsia="Calibri" w:hAnsi="Calibri"/>
                <w:b w:val="false"/>
                <w:bCs w:val="false"/>
                <w:sz w:val="18"/>
                <w:szCs w:val="18"/>
              </w:rPr>
              <w:t xml:space="preserve">, con certificación en MEDIA/ALTA y autoevaluación en BÁSICA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 </w:t>
            </w:r>
            <w:r>
              <w:rPr>
                <w:rFonts w:ascii="Calibri" w:cs="Calibri" w:eastAsia="Calibri" w:hAnsi="Calibri"/>
                <w:b/>
                <w:bCs/>
                <w:sz w:val="18"/>
                <w:szCs w:val="18"/>
              </w:rPr>
              <w:t xml:space="preserve">Servidor MCP</w:t>
            </w:r>
            <w:r>
              <w:rPr>
                <w:rFonts w:ascii="Calibri" w:cs="Calibri" w:eastAsia="Calibri" w:hAnsi="Calibri"/>
                <w:b w:val="false"/>
                <w:bCs w:val="false"/>
                <w:sz w:val="18"/>
                <w:szCs w:val="18"/>
              </w:rPr>
              <w:t xml:space="preserve"> por cada plataforma y ERP», con ámbito «la totalidad de las aplicaciones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admisión de equivalentes, y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obligación funcional (qué debe hacer la interfaz), ámbito modulado a los módulos del Anexo V, y el protocolo citado sólo fuera del articulado como referencia del estado del arte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Inciso de DT-7 v2 «obteniendo mayor puntuación conforme a la cláusula ADM-7»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Mezcla prescripción y criterio en la misma cláusula: doble cómputo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el inciso. La prescripción impone el mínimo; el criterio A del baremo valora sólo lo que excede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A: «Servidor MCP </w:t>
            </w:r>
            <w:r>
              <w:rPr>
                <w:rFonts w:ascii="Calibri" w:cs="Calibri" w:eastAsia="Calibri" w:hAnsi="Calibri"/>
                <w:b/>
                <w:bCs/>
                <w:sz w:val="18"/>
                <w:szCs w:val="18"/>
              </w:rPr>
              <w:t xml:space="preserve">operativo a fecha de licitación</w:t>
            </w:r>
            <w:r>
              <w:rPr>
                <w:rFonts w:ascii="Calibri" w:cs="Calibri" w:eastAsia="Calibri" w:hAnsi="Calibri"/>
                <w:b w:val="false"/>
                <w:bCs w:val="false"/>
                <w:sz w:val="18"/>
                <w:szCs w:val="18"/>
              </w:rPr>
              <w:t xml:space="preserve">», 15 puntos automáticos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la tenencia previa: ventaja indirecta al contratista previo (art. 40.b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A y B: alcance funcional </w:t>
            </w:r>
            <w:r>
              <w:rPr>
                <w:rFonts w:ascii="Calibri" w:cs="Calibri" w:eastAsia="Calibri" w:hAnsi="Calibri"/>
                <w:b/>
                <w:bCs/>
                <w:sz w:val="18"/>
                <w:szCs w:val="18"/>
              </w:rPr>
              <w:t xml:space="preserve">comprometido</w:t>
            </w:r>
            <w:r>
              <w:rPr>
                <w:rFonts w:ascii="Calibri" w:cs="Calibri" w:eastAsia="Calibri" w:hAnsi="Calibri"/>
                <w:b w:val="false"/>
                <w:bCs w:val="false"/>
                <w:sz w:val="18"/>
                <w:szCs w:val="18"/>
              </w:rPr>
              <w:t xml:space="preserve"> y 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Nada puntúa por estar ya disponible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E: ISO/IEC 42001 vigente y «cumplimiento del AI Act», 13 puntos, tipo «Mixto»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una certificación de empresa y el cumplimiento de una obligación legal; la categoría «Mixto» no existe en la LCSP y obliga a adivinar el sobre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sale del baremo y vive en </w:t>
            </w: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como condición especial de ejecución. El baremo valora, en su caso, el </w:t>
            </w:r>
            <w:r>
              <w:rPr>
                <w:rFonts w:ascii="Calibri" w:cs="Calibri" w:eastAsia="Calibri" w:hAnsi="Calibri"/>
                <w:b/>
                <w:bCs/>
                <w:sz w:val="18"/>
                <w:szCs w:val="18"/>
              </w:rPr>
              <w:t xml:space="preserve">plan aplicado a este contrato</w:t>
            </w:r>
            <w:r>
              <w:rPr>
                <w:rFonts w:ascii="Calibri" w:cs="Calibri" w:eastAsia="Calibri" w:hAnsi="Calibri"/>
                <w:b w:val="false"/>
                <w:bCs w:val="false"/>
                <w:sz w:val="18"/>
                <w:szCs w:val="18"/>
              </w:rPr>
              <w:t xml:space="preserve">. Cada criterio se clasifica como fórmula o juicio de valor, sin tercera categoría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baremo de 100 puntos íntegramente de innovación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Ningún punto valora la contabilidad en el contrato de contabilidad (art. 145.6 LCSP). Además, 57 de 100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Baremo completo de VI.4.6, con precio y criterios funcionales dentro, 24 % de juicio de valor y comprobación del art. 146.2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 v2: «las tecnologías que el Ayuntamiento determine como necesarias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alcance cerrado al Anexo V, con hechos desencadenantes tasados y regla de agotamiento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se califican como esenciales «el compromiso de evolución», «el cumplimiento del Plan» y «el mantenimiento de las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 conceptos y un plan redactado por el propio adjudicatario. 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incumplimientos tasados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los supuestos de los arts. 202.1 párr. 3.º y 122.2 LCSP, y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«resolución del contrato </w:t>
            </w:r>
            <w:r>
              <w:rPr>
                <w:rFonts w:ascii="Calibri" w:cs="Calibri" w:eastAsia="Calibri" w:hAnsi="Calibri"/>
                <w:b/>
                <w:bCs/>
                <w:sz w:val="18"/>
                <w:szCs w:val="18"/>
              </w:rPr>
              <w:t xml:space="preserve">como penalidad por obsolescencia tecnológica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obsolescencia así definida no es un hecho verificable; y la resolución no es una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resolución opera sobre los incumplimientos tasados de ADM-6·v3, previa audiencia y requerimiento de subsanación,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 v2: adaptación en 12 meses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del contrato», «salvo que se fije motivadamente un plazo inferior»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jurídicos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«dentro del alcance definido en el Anexo V»; plazos inferiores sólo si están predeterminados en el Anexo V o los impone una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requerimiento de adaptación de 12 meses o la previsión de modificación quedaron en el </w:t>
            </w:r>
            <w:r>
              <w:rPr>
                <w:rFonts w:ascii="Calibri" w:cs="Calibri" w:eastAsia="Calibri" w:hAnsi="Calibri"/>
                <w:b/>
                <w:bCs/>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equivocado: las condiciones especiales de ejecución y la modificación prevista van siempre al PCAP; su reproducción en el PPT carece de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trasladan al PCAP y se elimina la reproducción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 v2: penalidad por «falta de la demostración exigida»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conducta de la fase de licitación, no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esa fila del cuadro de penalidades. Su único efecto es cero puntos en el criterio correspondiente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 v2: titularidad «de los desarrollos, configuraciones… corresponderá al Ayuntamiento», sin tiempo, territorio ni modalidades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sin licencia mínima el Ayuntamiento no puede ceder la aplicación a otra administración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cesión con carácter exclusivo, todas las modalidades, todo el plazo de protección y todos los países; mención expresa del código fuente </w:t>
            </w:r>
            <w:r>
              <w:rPr>
                <w:rFonts w:ascii="Calibri" w:cs="Calibri" w:eastAsia="Calibri" w:hAnsi="Calibri"/>
                <w:b/>
                <w:bCs/>
                <w:sz w:val="18"/>
                <w:szCs w:val="18"/>
              </w:rPr>
              <w:t xml:space="preserve">y del código objeto</w:t>
            </w:r>
            <w:r>
              <w:rPr>
                <w:rFonts w:ascii="Calibri" w:cs="Calibri" w:eastAsia="Calibri" w:hAnsi="Calibri"/>
                <w:b w:val="false"/>
                <w:bCs w:val="false"/>
                <w:sz w:val="18"/>
                <w:szCs w:val="18"/>
              </w:rPr>
              <w:t xml:space="preserve">; reserva de derechos morales; licencia mínima supletoria; y delimitación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cede (el producto base)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 v2: preferencia por una red nominada con motivación territorial y el inciso «salvo justificación motivada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Preferencia sin fundamento funcional y puerta abierta a convertirla en excluyente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este expediente,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reformulada por capacidades funcionales, con prohibición de puntuar la pertenencia a una red determinada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 v2: preparación cuántica con algoritmos nominados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 normas de un organismo nacional no europeo sin «o equivalente» ni orden de prelación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este expediente,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con prelación de normas europeas e internacionales y guías del centro criptológico nacional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 v2: «hiperautomatización», «Loop Engineering», «skills, harness,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ni penalidad, ni resolución en un procedimiento contradictorio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lista cerrada y numerada de procesos automatizables publicada en el PPT. Los términos pasan al glosario descriptivo, sin efectos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 v2: «o servicios equivalentes» aplicado también a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Debilita una exigencia obligatoria: permite ofrecer un sustitutivo propio de un servicio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con la excepción expresa del régimen de equivalencia para los servicios comunes de obligada utilización </w:t>
            </w:r>
            <w:r>
              <w:rPr>
                <w:rFonts w:ascii="Calibri" w:cs="Calibri" w:eastAsia="Calibri" w:hAnsi="Calibri"/>
                <w:b/>
                <w:bCs/>
                <w:sz w:val="18"/>
                <w:szCs w:val="18"/>
              </w:rPr>
              <w:t xml:space="preserve">relacionados en DT-5·v3, apartado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 v2: facultad de requerir lo «necesario o </w:t>
            </w:r>
            <w:r>
              <w:rPr>
                <w:rFonts w:ascii="Calibri" w:cs="Calibri" w:eastAsia="Calibri" w:hAnsi="Calibri"/>
                <w:b/>
                <w:bCs/>
                <w:sz w:val="18"/>
                <w:szCs w:val="18"/>
              </w:rPr>
              <w:t xml:space="preserve">conveniente</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Mismo vicio que ADM-2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con remisión al Anexo V o al régimen de modificación del contrato, y con el reparto de papeles proveedor / responsable del despliegue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equivalencia y de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parámetros, cualquier rechazo de un equivalente es discrecional; y sin trámite, el licitador no sabe cómo probarla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con la prueba de la equivalencia </w:t>
            </w:r>
            <w:r>
              <w:rPr>
                <w:rFonts w:ascii="Calibri" w:cs="Calibri" w:eastAsia="Calibri" w:hAnsi="Calibri"/>
                <w:b/>
                <w:bCs/>
                <w:sz w:val="18"/>
                <w:szCs w:val="18"/>
              </w:rPr>
              <w:t xml:space="preserve">en la oferta</w:t>
            </w:r>
            <w:r>
              <w:rPr>
                <w:rFonts w:ascii="Calibri" w:cs="Calibri" w:eastAsia="Calibri" w:hAnsi="Calibri"/>
                <w:b w:val="false"/>
                <w:bCs w:val="false"/>
                <w:sz w:val="18"/>
                <w:szCs w:val="18"/>
              </w:rPr>
              <w:t xml:space="preserve"> y motivación escrita del rechazo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sobre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Riesgo real y actual, no de anulación sino de brecha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(declaración responsable): compromiso de «Servidor MCP», aceptación de la obsolescencia como causa de resolución y compromiso de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Reproduce en la declaración los tres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VII</w:t>
            </w:r>
            <w:r>
              <w:rPr>
                <w:rFonts w:ascii="Calibri" w:cs="Calibri" w:eastAsia="Calibri" w:hAnsi="Calibri"/>
                <w:b w:val="false"/>
                <w:bCs w:val="false"/>
                <w:sz w:val="18"/>
                <w:szCs w:val="18"/>
              </w:rPr>
              <w:t xml:space="preserve"> de este documento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(ficha de aplicabilidad): casillas sin motivación ni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 y sin firma no hay origen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II</w:t>
            </w:r>
            <w:r>
              <w:rPr>
                <w:rFonts w:ascii="Calibri" w:cs="Calibri" w:eastAsia="Calibri" w:hAnsi="Calibri"/>
                <w:b w:val="false"/>
                <w:bCs w:val="false"/>
                <w:sz w:val="18"/>
                <w:szCs w:val="18"/>
              </w:rPr>
              <w:t xml:space="preserve">, con motivación por cláusula,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al Reglamento (UE) 2024/1689 con el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ha cambiado: el Reglamento (UE) 2026/1744, de 8 de julio de 2026, aplaza la exigibilidad de las secciones 1, 2 y 3 del capítulo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Cita «en su redacción vigente» y remisión al Anexo XI de vigencia normativa, con la separación entre lo ya exigible y lo anticipado voluntariamente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bl>
    <w:p>
      <w:pPr>
        <w:spacing w:after="200"/>
      </w:pPr>
    </w:p>
    <w:p>
      <w:pPr>
        <w:spacing w:after="140" w:line="276"/>
      </w:pPr>
      <w:r>
        <w:rPr>
          <w:rFonts w:ascii="Calibri" w:cs="Calibri" w:eastAsia="Calibri" w:hAnsi="Calibri"/>
          <w:b/>
          <w:bCs/>
          <w:sz w:val="21"/>
          <w:szCs w:val="21"/>
        </w:rPr>
        <w:t xml:space="preserve">Regla de ejecución de esta tabla:</w:t>
      </w:r>
      <w:r>
        <w:rPr>
          <w:rFonts w:ascii="Calibri" w:cs="Calibri" w:eastAsia="Calibri" w:hAnsi="Calibri"/>
          <w:sz w:val="21"/>
          <w:szCs w:val="21"/>
        </w:rPr>
        <w:t xml:space="preserve"> las correcciones P1 se hacen </w:t>
      </w:r>
      <w:r>
        <w:rPr>
          <w:rFonts w:ascii="Calibri" w:cs="Calibri" w:eastAsia="Calibri" w:hAnsi="Calibri"/>
          <w:b/>
          <w:bCs/>
          <w:sz w:val="21"/>
          <w:szCs w:val="21"/>
        </w:rPr>
        <w:t xml:space="preserve">todas o ninguna</w:t>
      </w:r>
      <w:r>
        <w:rPr>
          <w:rFonts w:ascii="Calibri" w:cs="Calibri" w:eastAsia="Calibri" w:hAnsi="Calibri"/>
          <w:sz w:val="21"/>
          <w:szCs w:val="21"/>
        </w:rPr>
        <w:t xml:space="preserve">. Corregir la mitad produce un pliego internamente contradictorio, que es peor que el pliego original: da al recurrente la prueba de que el Ayuntamiento conocía el defecto y lo dejó.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VI.7 Orden entre la rectificación del piloto y la publicación del modelo</w:t>
      </w:r>
    </w:p>
    <w:p>
      <w:pPr>
        <w:spacing w:after="140" w:line="276"/>
      </w:pPr>
      <w:r>
        <w:rPr>
          <w:rFonts w:ascii="Calibri" w:cs="Calibri" w:eastAsia="Calibri" w:hAnsi="Calibri"/>
          <w:b/>
          <w:bCs/>
          <w:sz w:val="21"/>
          <w:szCs w:val="21"/>
        </w:rPr>
        <w:t xml:space="preserve">Regla de este catálogo:</w:t>
      </w:r>
      <w:r>
        <w:rPr>
          <w:rFonts w:ascii="Calibri" w:cs="Calibri" w:eastAsia="Calibri" w:hAnsi="Calibri"/>
          <w:sz w:val="21"/>
          <w:szCs w:val="21"/>
        </w:rPr>
        <w:t xml:space="preserve"> las correcciones de prioridad P1 de VI.6 se ejecutan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modelo. Es la opción que se adopta y así debe hacerse constar por escrito en el acuerdo que ordene la publicación (Anexo VIII, punto Octavo).</w:t>
      </w:r>
    </w:p>
    <w:p>
      <w:pPr>
        <w:spacing w:after="140" w:line="276"/>
      </w:pPr>
      <w:r>
        <w:rPr>
          <w:rFonts w:ascii="Calibri" w:cs="Calibri" w:eastAsia="Calibri" w:hAnsi="Calibri"/>
          <w:sz w:val="21"/>
          <w:szCs w:val="21"/>
        </w:rPr>
        <w:t xml:space="preserve">Fundamento, en una línea: </w:t>
      </w:r>
      <w:r>
        <w:rPr>
          <w:rFonts w:ascii="Calibri" w:cs="Calibri" w:eastAsia="Calibri" w:hAnsi="Calibri"/>
          <w:b/>
          <w:bCs/>
          <w:sz w:val="21"/>
          <w:szCs w:val="21"/>
        </w:rPr>
        <w:t xml:space="preserve">la credibilidad del modelo depende de que su primera aplicación lo cumpla.</w:t>
      </w:r>
      <w:r>
        <w:rPr>
          <w:rFonts w:ascii="Calibri" w:cs="Calibri" w:eastAsia="Calibri" w:hAnsi="Calibri"/>
          <w:sz w:val="21"/>
          <w:szCs w:val="21"/>
        </w:rPr>
        <w:t xml:space="preserve"> Un catálogo cuyo primer expediente arrastra los defectos que el propio catálogo corrige no es un catálogo defectuoso; es un catálogo que nadie copia.</w:t>
      </w:r>
    </w:p>
    <w:p>
      <w:pPr>
        <w:spacing w:after="140" w:line="276"/>
      </w:pPr>
      <w:r>
        <w:rPr>
          <w:rFonts w:ascii="Calibri" w:cs="Calibri" w:eastAsia="Calibri" w:hAnsi="Calibri"/>
          <w:sz w:val="21"/>
          <w:szCs w:val="21"/>
        </w:rPr>
        <w:t xml:space="preserve">Cauces admisibles, según la situación de VI.2: rectificar y publicar después (regla general); o aprobar los pliegos rectificados y publicar el modelo en el mismo acto, cuando el expediente esté en las situaciones A o B y la coordinación entre el área promotora y el área de contratación lo permita. Publicar el modelo con el piloto sin rectificar </w:t>
      </w:r>
      <w:r>
        <w:rPr>
          <w:rFonts w:ascii="Calibri" w:cs="Calibri" w:eastAsia="Calibri" w:hAnsi="Calibri"/>
          <w:b/>
          <w:bCs/>
          <w:sz w:val="21"/>
          <w:szCs w:val="21"/>
        </w:rPr>
        <w:t xml:space="preserve">no es un cauce previsto en este catálogo</w:t>
      </w:r>
      <w:r>
        <w:rPr>
          <w:rFonts w:ascii="Calibri" w:cs="Calibri" w:eastAsia="Calibri" w:hAnsi="Calibri"/>
          <w:sz w:val="21"/>
          <w:szCs w:val="21"/>
        </w:rPr>
        <w:t xml:space="preserve">; si el órgano competente decidiera hacerlo, debe consignarlo expresamente como decisión propia y motivada, con el análisis de sus consecuencias en la nota de elevación del expediente, que no forma parte de este documento.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VI.8 Compromiso de evaluación del piloto</w:t>
      </w:r>
    </w:p>
    <w:p>
      <w:pPr>
        <w:spacing w:after="140" w:line="276"/>
      </w:pPr>
      <w:r>
        <w:rPr>
          <w:rFonts w:ascii="Calibri" w:cs="Calibri" w:eastAsia="Calibri" w:hAnsi="Calibri"/>
          <w:sz w:val="21"/>
          <w:szCs w:val="21"/>
        </w:rPr>
        <w:t xml:space="preserve">Para que el piloto sea lo que el área de contratación pidió —un experimento— tiene que producir datos. El servicio promotor emitirá dos informes, dirigidos al órgano de contratación y al órgano de control interno:</w:t>
      </w:r>
    </w:p>
    <w:p>
      <w:pPr>
        <w:spacing w:after="140" w:line="276"/>
      </w:pPr>
      <w:r>
        <w:rPr>
          <w:rFonts w:ascii="Calibri" w:cs="Calibri" w:eastAsia="Calibri" w:hAnsi="Calibri"/>
          <w:b/>
          <w:bCs/>
          <w:sz w:val="21"/>
          <w:szCs w:val="21"/>
        </w:rPr>
        <w:t xml:space="preserve">Informe a los 6 meses de la publicación de la licitación</w:t>
      </w:r>
      <w:r>
        <w:rPr>
          <w:rFonts w:ascii="Calibri" w:cs="Calibri" w:eastAsia="Calibri" w:hAnsi="Calibri"/>
          <w:sz w:val="21"/>
          <w:szCs w:val="21"/>
        </w:rPr>
        <w:t xml:space="preserve">, con: número de ofertas presentadas y comparación con licitaciones equivalentes anteriores del mismo objeto; consultas y aclaraciones recibidas, clasificadas por cláusula; recursos interpuestos, motivos alegados y resultado; exclusiones producidas y su causa; y tiempo real de tramitación frente al de expedientes comparables.</w:t>
      </w:r>
    </w:p>
    <w:p>
      <w:pPr>
        <w:spacing w:after="140" w:line="276"/>
      </w:pPr>
      <w:r>
        <w:rPr>
          <w:rFonts w:ascii="Calibri" w:cs="Calibri" w:eastAsia="Calibri" w:hAnsi="Calibri"/>
          <w:b/>
          <w:bCs/>
          <w:sz w:val="21"/>
          <w:szCs w:val="21"/>
        </w:rPr>
        <w:t xml:space="preserve">Informe a los 12 meses de la formalización</w:t>
      </w:r>
      <w:r>
        <w:rPr>
          <w:rFonts w:ascii="Calibri" w:cs="Calibri" w:eastAsia="Calibri" w:hAnsi="Calibri"/>
          <w:sz w:val="21"/>
          <w:szCs w:val="21"/>
        </w:rPr>
        <w:t xml:space="preserve">, con: cumplimiento de los plazos del Anexo V; resultado de las pruebas de aceptación; incidencias en la aplicación de cada cláusula; horas reales dedicadas a la verificación, contrastadas con la estimación de VI.4.8; y uso efectivo del acceso de los órganos de control.</w:t>
      </w:r>
    </w:p>
    <w:p>
      <w:pPr>
        <w:spacing w:after="140" w:line="276"/>
      </w:pPr>
      <w:r>
        <w:rPr>
          <w:rFonts w:ascii="Calibri" w:cs="Calibri" w:eastAsia="Calibri" w:hAnsi="Calibri"/>
          <w:sz w:val="21"/>
          <w:szCs w:val="21"/>
        </w:rPr>
        <w:t xml:space="preserve">Ambos informes concluyen con una </w:t>
      </w:r>
      <w:r>
        <w:rPr>
          <w:rFonts w:ascii="Calibri" w:cs="Calibri" w:eastAsia="Calibri" w:hAnsi="Calibri"/>
          <w:b/>
          <w:bCs/>
          <w:sz w:val="21"/>
          <w:szCs w:val="21"/>
        </w:rPr>
        <w:t xml:space="preserve">propuesta motivada de ajuste</w:t>
      </w:r>
      <w:r>
        <w:rPr>
          <w:rFonts w:ascii="Calibri" w:cs="Calibri" w:eastAsia="Calibri" w:hAnsi="Calibri"/>
          <w:sz w:val="21"/>
          <w:szCs w:val="21"/>
        </w:rPr>
        <w:t xml:space="preserve"> de tres cosas distintas: del catálogo (si alguna cláusula resultó inaplicable), del Anexo V del ejercicio siguiente (si alguna exigencia resultó inalcanzable o quedó superada) y de los valores por defecto de la tabla de parámetros del Anexo X. Un catálogo que no se corrige con lo que aprende es un catálogo que envejece igual que el pliego que pretende sustituir.</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VII · ANEXOS E INSTRUMENTOS</w:t>
      </w:r>
    </w:p>
    <w:p>
      <w:pPr>
        <w:spacing w:after="140" w:line="276"/>
      </w:pPr>
      <w:r>
        <w:rPr>
          <w:rFonts w:ascii="Calibri" w:cs="Calibri" w:eastAsia="Calibri" w:hAnsi="Calibri"/>
          <w:sz w:val="21"/>
          <w:szCs w:val="21"/>
        </w:rPr>
        <w:t xml:space="preserve">Regla común a toda esta parte: </w:t>
      </w:r>
      <w:r>
        <w:rPr>
          <w:rFonts w:ascii="Calibri" w:cs="Calibri" w:eastAsia="Calibri" w:hAnsi="Calibri"/>
          <w:b/>
          <w:bCs/>
          <w:sz w:val="21"/>
          <w:szCs w:val="21"/>
        </w:rPr>
        <w:t xml:space="preserve">son instrumentos de trabajo del expediente, y no se copian al pliego, los anexos I, II, III, IV, VI, X (salvo su apartado X.3), XI (salvo su extracto del anexo XIX), XII, XVIII, XXI, XXII, XXIII, XXIV y XXV.</w:t>
      </w:r>
      <w:r>
        <w:rPr>
          <w:rFonts w:ascii="Calibri" w:cs="Calibri" w:eastAsia="Calibri" w:hAnsi="Calibri"/>
          <w:sz w:val="21"/>
          <w:szCs w:val="21"/>
        </w:rPr>
        <w:t xml:space="preserve"> </w:t>
      </w:r>
      <w:r>
        <w:rPr>
          <w:rFonts w:ascii="Calibri" w:cs="Calibri" w:eastAsia="Calibri" w:hAnsi="Calibri"/>
          <w:b/>
          <w:bCs/>
          <w:sz w:val="21"/>
          <w:szCs w:val="21"/>
        </w:rPr>
        <w:t xml:space="preserve">Llevan bloque </w:t>
      </w:r>
      <w:r>
        <w:rPr>
          <w:rFonts w:ascii="Calibri" w:cs="Calibri" w:eastAsia="Calibri" w:hAnsi="Calibri"/>
          <w:b/>
          <w:bCs/>
          <w:color w:val="2F5496"/>
          <w:sz w:val="21"/>
          <w:szCs w:val="21"/>
        </w:rPr>
        <w:t xml:space="preserve">:::pliego</w:t>
      </w:r>
      <w:r>
        <w:rPr>
          <w:rFonts w:ascii="Calibri" w:cs="Calibri" w:eastAsia="Calibri" w:hAnsi="Calibri"/>
          <w:b/>
          <w:bCs/>
          <w:sz w:val="21"/>
          <w:szCs w:val="21"/>
        </w:rPr>
        <w:t xml:space="preserve">, porque su texto literal se incorpora a un pliego o a la documentación de la licitación, los anexos V, VII, X.3, XIV, XVII, XIX y XX.</w:t>
      </w:r>
      <w:r>
        <w:rPr>
          <w:rFonts w:ascii="Calibri" w:cs="Calibri" w:eastAsia="Calibri" w:hAnsi="Calibri"/>
          <w:sz w:val="21"/>
          <w:szCs w:val="21"/>
        </w:rPr>
        <w:t xml:space="preserve"> Los anexos VIII, XV y XVI son modelos de actos propios del Ayuntamiento —acuerdo del órgano de gobierno y resoluciones—, que no se copian a ningún pliego. El anexo IX contiene declaraciones que se incorporan al expediente. El anexo XIII es descriptivo y carece de efectos jurídicos.</w:t>
      </w:r>
    </w:p>
    <w:p>
      <w:pPr>
        <w:spacing w:after="140" w:line="276"/>
      </w:pPr>
      <w:r>
        <w:rPr>
          <w:rFonts w:ascii="Calibri" w:cs="Calibri" w:eastAsia="Calibri" w:hAnsi="Calibri"/>
          <w:sz w:val="21"/>
          <w:szCs w:val="21"/>
        </w:rPr>
        <w:t xml:space="preserve">Segunda regla, que es la que da valor a los anexos II y III: </w:t>
      </w:r>
      <w:r>
        <w:rPr>
          <w:rFonts w:ascii="Calibri" w:cs="Calibri" w:eastAsia="Calibri" w:hAnsi="Calibri"/>
          <w:b/>
          <w:bCs/>
          <w:sz w:val="21"/>
          <w:szCs w:val="21"/>
        </w:rPr>
        <w:t xml:space="preserve">son documento público desde su incorporación al expediente</w:t>
      </w:r>
      <w:r>
        <w:rPr>
          <w:rFonts w:ascii="Calibri" w:cs="Calibri" w:eastAsia="Calibri" w:hAnsi="Calibri"/>
          <w:sz w:val="21"/>
          <w:szCs w:val="21"/>
        </w:rPr>
        <w:t xml:space="preserve"> (arts. 63.3.a) y 116.1 LCSP). Se redactan sabiendo que los lee el licitador que va a recurrir.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 · CUADRO MAESTRO DE EXIGENCIAS</w:t>
      </w:r>
    </w:p>
    <w:p>
      <w:pPr>
        <w:spacing w:after="140" w:line="276"/>
      </w:pPr>
      <w:r>
        <w:rPr>
          <w:rFonts w:ascii="Calibri" w:cs="Calibri" w:eastAsia="Calibri" w:hAnsi="Calibri"/>
          <w:sz w:val="21"/>
          <w:szCs w:val="21"/>
        </w:rPr>
        <w:t xml:space="preserve">Función: </w:t>
      </w:r>
      <w:r>
        <w:rPr>
          <w:rFonts w:ascii="Calibri" w:cs="Calibri" w:eastAsia="Calibri" w:hAnsi="Calibri"/>
          <w:b/>
          <w:bCs/>
          <w:sz w:val="21"/>
          <w:szCs w:val="21"/>
        </w:rPr>
        <w:t xml:space="preserve">hacer imposible el doble cómputo.</w:t>
      </w:r>
      <w:r>
        <w:rPr>
          <w:rFonts w:ascii="Calibri" w:cs="Calibri" w:eastAsia="Calibri" w:hAnsi="Calibri"/>
          <w:sz w:val="21"/>
          <w:szCs w:val="21"/>
        </w:rPr>
        <w:t xml:space="preserve"> Cada exigencia aparece una sola vez y con un único instrumento. Si una exigencia necesita aparecer en dos sitios, es que son dos exigencias distintas y hay que escribirlas por separado, con su mínimo y su exceso.</w:t>
      </w:r>
    </w:p>
    <w:p>
      <w:pPr>
        <w:spacing w:after="140" w:line="276"/>
      </w:pPr>
      <w:r>
        <w:rPr>
          <w:rFonts w:ascii="Calibri" w:cs="Calibri" w:eastAsia="Calibri" w:hAnsi="Calibri"/>
          <w:sz w:val="21"/>
          <w:szCs w:val="21"/>
        </w:rPr>
        <w:t xml:space="preserve">Instrumentos posibles, y su precepto: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(arts. 124 a 130 LCSP) · </w:t>
      </w:r>
      <w:r>
        <w:rPr>
          <w:rFonts w:ascii="Calibri" w:cs="Calibri" w:eastAsia="Calibri" w:hAnsi="Calibri"/>
          <w:b/>
          <w:bCs/>
          <w:sz w:val="21"/>
          <w:szCs w:val="21"/>
        </w:rPr>
        <w:t xml:space="preserve">S</w:t>
      </w:r>
      <w:r>
        <w:rPr>
          <w:rFonts w:ascii="Calibri" w:cs="Calibri" w:eastAsia="Calibri" w:hAnsi="Calibri"/>
          <w:sz w:val="21"/>
          <w:szCs w:val="21"/>
        </w:rPr>
        <w:t xml:space="preserve"> solvencia (arts. 87 a 95) · </w:t>
      </w:r>
      <w:r>
        <w:rPr>
          <w:rFonts w:ascii="Calibri" w:cs="Calibri" w:eastAsia="Calibri" w:hAnsi="Calibri"/>
          <w:b/>
          <w:bCs/>
          <w:sz w:val="21"/>
          <w:szCs w:val="21"/>
        </w:rPr>
        <w:t xml:space="preserve">AM</w:t>
      </w:r>
      <w:r>
        <w:rPr>
          <w:rFonts w:ascii="Calibri" w:cs="Calibri" w:eastAsia="Calibri" w:hAnsi="Calibri"/>
          <w:sz w:val="21"/>
          <w:szCs w:val="21"/>
        </w:rPr>
        <w:t xml:space="preserve"> adscripción de medios (art. 76)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(art. 202)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calificada de esencial (arts. 202.3 y 211.1.f)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(art. 145) · </w:t>
      </w:r>
      <w:r>
        <w:rPr>
          <w:rFonts w:ascii="Calibri" w:cs="Calibri" w:eastAsia="Calibri" w:hAnsi="Calibri"/>
          <w:b/>
          <w:bCs/>
          <w:sz w:val="21"/>
          <w:szCs w:val="21"/>
        </w:rPr>
        <w:t xml:space="preserve">PCAP</w:t>
      </w:r>
      <w:r>
        <w:rPr>
          <w:rFonts w:ascii="Calibri" w:cs="Calibri" w:eastAsia="Calibri" w:hAnsi="Calibri"/>
          <w:sz w:val="21"/>
          <w:szCs w:val="21"/>
        </w:rPr>
        <w:t xml:space="preserve"> cláusula contractual del pliego administrativo · </w:t>
      </w:r>
      <w:r>
        <w:rPr>
          <w:rFonts w:ascii="Calibri" w:cs="Calibri" w:eastAsia="Calibri" w:hAnsi="Calibri"/>
          <w:b/>
          <w:bCs/>
          <w:sz w:val="21"/>
          <w:szCs w:val="21"/>
        </w:rPr>
        <w:t xml:space="preserve">EXP</w:t>
      </w:r>
      <w:r>
        <w:rPr>
          <w:rFonts w:ascii="Calibri" w:cs="Calibri" w:eastAsia="Calibri" w:hAnsi="Calibri"/>
          <w:sz w:val="21"/>
          <w:szCs w:val="21"/>
        </w:rPr>
        <w:t xml:space="preserve"> documento del expediente.</w:t>
      </w:r>
    </w:p>
    <w:p>
      <w:pPr>
        <w:spacing w:after="140" w:line="276"/>
      </w:pPr>
      <w:r>
        <w:rPr>
          <w:rFonts w:ascii="Calibri" w:cs="Calibri" w:eastAsia="Calibri" w:hAnsi="Calibri"/>
          <w:b/>
          <w:bCs/>
          <w:sz w:val="21"/>
          <w:szCs w:val="21"/>
        </w:rPr>
        <w:t xml:space="preserve">Prohibición de doble asignación.</w:t>
      </w:r>
      <w:r>
        <w:rPr>
          <w:rFonts w:ascii="Calibri" w:cs="Calibri" w:eastAsia="Calibri" w:hAnsi="Calibri"/>
          <w:sz w:val="21"/>
          <w:szCs w:val="21"/>
        </w:rPr>
        <w:t xml:space="preserve"> Ninguna exigencia puede computarse a la vez como: (a) solvencia y criterio de adjudicación; (b) prescripción técnica obligatoria y criterio de adjudicación; (c) criterio de adjudicación y condición especial de ejecución. Cuando el órgano de contratación quiera valorar algo que también exige, tiene que partirlo: </w:t>
      </w:r>
      <w:r>
        <w:rPr>
          <w:rFonts w:ascii="Calibri" w:cs="Calibri" w:eastAsia="Calibri" w:hAnsi="Calibri"/>
          <w:b/>
          <w:bCs/>
          <w:sz w:val="21"/>
          <w:szCs w:val="21"/>
        </w:rPr>
        <w:t xml:space="preserve">el mínimo obligatorio va al pliego técnico y sólo el exceso sobre ese mínimo, definido en lista cerrada, puede puntuar.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w:t>
            </w:r>
            <w:r>
              <w:rPr>
                <w:rFonts w:ascii="Calibri" w:cs="Calibri" w:eastAsia="Calibri" w:hAnsi="Calibri"/>
                <w:b/>
                <w:bCs/>
                <w:color w:val="1F3864"/>
                <w:sz w:val="18"/>
                <w:szCs w:val="18"/>
              </w:rPr>
              <w:t xml:space="preserve">único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de apoyo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 · 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Nunca además como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la equivalencia aportada con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126.7,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Utilización de los servicios comunes de obligada utilización, sin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en la categoría que corresponda, y en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y 38.1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 adicional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Reparto de papeles proveedor / responsable del despliegue y entrega de medios para la supervisión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decisiones automatizadas y derecho a intervención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para agentes: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del bloque A del apartado de módulos y funciones del </w:t>
            </w:r>
            <w:r>
              <w:rPr>
                <w:rFonts w:ascii="Calibri" w:cs="Calibri" w:eastAsia="Calibri" w:hAnsi="Calibri"/>
                <w:b/>
                <w:bCs/>
                <w:sz w:val="18"/>
                <w:szCs w:val="18"/>
              </w:rPr>
              <w:t xml:space="preserve">Apéndice técnico 2 ·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de aceptación,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del bloque B del mismo apartado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comprometidas por encima de las mínimas del bloque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145.6 y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CEE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puesta en producción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al vencimiento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inferior al máximo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dentro de límites configurables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y auditoría de la actuación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los procesos </w:t>
            </w:r>
            <w:r>
              <w:rPr>
                <w:rFonts w:ascii="Calibri" w:cs="Calibri" w:eastAsia="Calibri" w:hAnsi="Calibri"/>
                <w:b/>
                <w:bCs/>
                <w:sz w:val="18"/>
                <w:szCs w:val="18"/>
              </w:rPr>
              <w:t xml:space="preserve">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w:t>
            </w:r>
            <w:r>
              <w:rPr>
                <w:rFonts w:ascii="Calibri" w:cs="Calibri" w:eastAsia="Calibri" w:hAnsi="Calibri"/>
                <w:b/>
                <w:bCs/>
                <w:sz w:val="18"/>
                <w:szCs w:val="18"/>
              </w:rPr>
              <w:t xml:space="preserve">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plan, inventario de componentes,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ensayo cada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IA (norma de gobernanza de IA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 (o S sólo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 y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gobernanza de IA </w:t>
            </w:r>
            <w:r>
              <w:rPr>
                <w:rFonts w:ascii="Calibri" w:cs="Calibri" w:eastAsia="Calibri" w:hAnsi="Calibri"/>
                <w:b/>
                <w:bCs/>
                <w:sz w:val="18"/>
                <w:szCs w:val="18"/>
              </w:rPr>
              <w:t xml:space="preserve">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w:t>
            </w:r>
            <w:r>
              <w:rPr>
                <w:rFonts w:ascii="Calibri" w:cs="Calibri" w:eastAsia="Calibri" w:hAnsi="Calibri"/>
                <w:b w:val="false"/>
                <w:bCs w:val="false"/>
                <w:i/>
                <w:iCs/>
                <w:sz w:val="18"/>
                <w:szCs w:val="18"/>
              </w:rPr>
              <w:t xml:space="preserve">decae si el PPT lo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y 93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personales concretos comprometidos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76 y 150.2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tecnológica determinada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202.1 y 202.2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 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CEE-E salvo hitos aprobados con fecha cierta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arts. 4.3, 6.3, 6.7, 20 y 30 RD 424/2017;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interno · uso ordinario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 y ante cada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de los sistemas de IA que se emplearán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licencia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y 146.2 LCSP; arts. 26 a 30 RD 817/2009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 CEE, causa autónoma de exclusión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204 y 101.2.c)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ante cada incumplimiento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211.1.f)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bl>
    <w:p>
      <w:pPr>
        <w:spacing w:after="200"/>
      </w:pPr>
    </w:p>
    <w:p>
      <w:pPr>
        <w:spacing w:after="140" w:line="276"/>
      </w:pPr>
      <w:r>
        <w:rPr>
          <w:rFonts w:ascii="Calibri" w:cs="Calibri" w:eastAsia="Calibri" w:hAnsi="Calibri"/>
          <w:b/>
          <w:bCs/>
          <w:sz w:val="21"/>
          <w:szCs w:val="21"/>
        </w:rPr>
        <w:t xml:space="preserve">Regla de lectura del cuadro:</w:t>
      </w:r>
      <w:r>
        <w:rPr>
          <w:rFonts w:ascii="Calibri" w:cs="Calibri" w:eastAsia="Calibri" w:hAnsi="Calibri"/>
          <w:sz w:val="21"/>
          <w:szCs w:val="21"/>
        </w:rPr>
        <w:t xml:space="preserve"> la columna «verificador municipal · periodicidad» no es informativa. Si una fila no puede rellenarla, </w:t>
      </w:r>
      <w:r>
        <w:rPr>
          <w:rFonts w:ascii="Calibri" w:cs="Calibri" w:eastAsia="Calibri" w:hAnsi="Calibri"/>
          <w:b/>
          <w:bCs/>
          <w:sz w:val="21"/>
          <w:szCs w:val="21"/>
        </w:rPr>
        <w:t xml:space="preserve">la exigencia no se incorpora</w:t>
      </w:r>
      <w:r>
        <w:rPr>
          <w:rFonts w:ascii="Calibri" w:cs="Calibri" w:eastAsia="Calibri" w:hAnsi="Calibri"/>
          <w:sz w:val="21"/>
          <w:szCs w:val="21"/>
        </w:rPr>
        <w:t xml:space="preserve">. Es la regla de verificabilidad municipal: una obligación esencial que nadie comprueba no protege al Ayuntamiento, lo expone.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 · FICHA DE APLICABILIDAD POR EXPEDIENTE</w:t>
      </w:r>
    </w:p>
    <w:p>
      <w:pPr>
        <w:spacing w:after="140" w:line="276"/>
      </w:pPr>
      <w:r>
        <w:rPr>
          <w:rFonts w:ascii="Calibri" w:cs="Calibri" w:eastAsia="Calibri" w:hAnsi="Calibri"/>
          <w:sz w:val="21"/>
          <w:szCs w:val="21"/>
        </w:rPr>
        <w:t xml:space="preserve">Función: dejar constancia, cláusula por cláusula, de </w:t>
      </w:r>
      <w:r>
        <w:rPr>
          <w:rFonts w:ascii="Calibri" w:cs="Calibri" w:eastAsia="Calibri" w:hAnsi="Calibri"/>
          <w:b/>
          <w:bCs/>
          <w:sz w:val="21"/>
          <w:szCs w:val="21"/>
        </w:rPr>
        <w:t xml:space="preserve">de dónde nace</w:t>
      </w:r>
      <w:r>
        <w:rPr>
          <w:rFonts w:ascii="Calibri" w:cs="Calibri" w:eastAsia="Calibri" w:hAnsi="Calibri"/>
          <w:sz w:val="21"/>
          <w:szCs w:val="21"/>
        </w:rPr>
        <w:t xml:space="preserve"> cada exigencia que se incorpora al pliego, y </w:t>
      </w:r>
      <w:r>
        <w:rPr>
          <w:rFonts w:ascii="Calibri" w:cs="Calibri" w:eastAsia="Calibri" w:hAnsi="Calibri"/>
          <w:b/>
          <w:bCs/>
          <w:sz w:val="21"/>
          <w:szCs w:val="21"/>
        </w:rPr>
        <w:t xml:space="preserve">quién responde</w:t>
      </w:r>
      <w:r>
        <w:rPr>
          <w:rFonts w:ascii="Calibri" w:cs="Calibri" w:eastAsia="Calibri" w:hAnsi="Calibri"/>
          <w:sz w:val="21"/>
          <w:szCs w:val="21"/>
        </w:rPr>
        <w:t xml:space="preserve"> de esa afirmación. No es una tabla de casillas: es un formulario de motivación con firma.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FICHA DE APLICABILIDAD DEL CATÁLOGO DE CLÁUSULAS DE IA Y DEEP TECH</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Órgano de contratación: ……………………………… · Servicio promotor: ………………………………</w:t>
      </w:r>
    </w:p>
    <w:p>
      <w:pPr>
        <w:spacing w:after="140" w:line="276"/>
      </w:pPr>
      <w:r>
        <w:rPr>
          <w:rFonts w:ascii="Calibri" w:cs="Calibri" w:eastAsia="Calibri" w:hAnsi="Calibri"/>
          <w:sz w:val="21"/>
          <w:szCs w:val="21"/>
        </w:rPr>
        <w:t xml:space="preserve">Versión del catálogo aplicada: </w:t>
      </w:r>
      <w:r>
        <w:rPr>
          <w:rFonts w:ascii="Calibri" w:cs="Calibri" w:eastAsia="Calibri" w:hAnsi="Calibri"/>
          <w:b/>
          <w:bCs/>
          <w:sz w:val="21"/>
          <w:szCs w:val="21"/>
        </w:rPr>
        <w:t xml:space="preserve">3.0</w:t>
      </w:r>
      <w:r>
        <w:rPr>
          <w:rFonts w:ascii="Calibri" w:cs="Calibri" w:eastAsia="Calibri" w:hAnsi="Calibri"/>
          <w:sz w:val="21"/>
          <w:szCs w:val="21"/>
        </w:rPr>
        <w:t xml:space="preserve"> · Versión del Catálogo de Exigencias Tecnológicas: </w:t>
      </w:r>
      <w:r>
        <w:rPr>
          <w:rFonts w:ascii="Calibri" w:cs="Calibri" w:eastAsia="Calibri" w:hAnsi="Calibri"/>
          <w:b/>
          <w:bCs/>
          <w:sz w:val="21"/>
          <w:szCs w:val="21"/>
        </w:rPr>
        <w:t xml:space="preserve">[2026-2027, v. 1.0]</w:t>
      </w:r>
    </w:p>
    <w:p>
      <w:pPr>
        <w:spacing w:after="140" w:line="276"/>
      </w:pPr>
      <w:r>
        <w:rPr>
          <w:rFonts w:ascii="Calibri" w:cs="Calibri" w:eastAsia="Calibri" w:hAnsi="Calibri"/>
          <w:sz w:val="21"/>
          <w:szCs w:val="21"/>
        </w:rPr>
        <w:t xml:space="preserve">Fecha: …… / …… / ……</w:t>
      </w:r>
    </w:p>
    <w:p>
      <w:pPr>
        <w:spacing w:after="140" w:line="276"/>
      </w:pPr>
      <w:r>
        <w:rPr>
          <w:rFonts w:ascii="Calibri" w:cs="Calibri" w:eastAsia="Calibri" w:hAnsi="Calibri"/>
          <w:b/>
          <w:bCs/>
          <w:sz w:val="21"/>
          <w:szCs w:val="21"/>
        </w:rPr>
        <w:t xml:space="preserve">Instrucciones.</w:t>
      </w:r>
      <w:r>
        <w:rPr>
          <w:rFonts w:ascii="Calibri" w:cs="Calibri" w:eastAsia="Calibri" w:hAnsi="Calibri"/>
          <w:sz w:val="21"/>
          <w:szCs w:val="21"/>
        </w:rPr>
        <w:t xml:space="preserve"> (1) Se cumplimenta </w:t>
      </w:r>
      <w:r>
        <w:rPr>
          <w:rFonts w:ascii="Calibri" w:cs="Calibri" w:eastAsia="Calibri" w:hAnsi="Calibri"/>
          <w:b/>
          <w:bCs/>
          <w:sz w:val="21"/>
          <w:szCs w:val="21"/>
        </w:rPr>
        <w:t xml:space="preserve">después</w:t>
      </w:r>
      <w:r>
        <w:rPr>
          <w:rFonts w:ascii="Calibri" w:cs="Calibri" w:eastAsia="Calibri" w:hAnsi="Calibri"/>
          <w:sz w:val="21"/>
          <w:szCs w:val="21"/>
        </w:rPr>
        <w:t xml:space="preserve"> del informe de necesidad (Anexo III), no antes: la ficha es consecuencia de la necesidad, no su sustituto. (2) Por cada cláusula que se marque distinta de NO APLICA hay que rellenar </w:t>
      </w:r>
      <w:r>
        <w:rPr>
          <w:rFonts w:ascii="Calibri" w:cs="Calibri" w:eastAsia="Calibri" w:hAnsi="Calibri"/>
          <w:b/>
          <w:bCs/>
          <w:sz w:val="21"/>
          <w:szCs w:val="21"/>
        </w:rPr>
        <w:t xml:space="preserve">las seis casillas</w:t>
      </w:r>
      <w:r>
        <w:rPr>
          <w:rFonts w:ascii="Calibri" w:cs="Calibri" w:eastAsia="Calibri" w:hAnsi="Calibri"/>
          <w:sz w:val="21"/>
          <w:szCs w:val="21"/>
        </w:rPr>
        <w:t xml:space="preserve"> (a) a (f). Una casilla en blanco equivale a NO APLICA. (3) La casilla «origen» determina quién firma. (4) </w:t>
      </w:r>
      <w:r>
        <w:rPr>
          <w:rFonts w:ascii="Calibri" w:cs="Calibri" w:eastAsia="Calibri" w:hAnsi="Calibri"/>
          <w:b/>
          <w:bCs/>
          <w:sz w:val="21"/>
          <w:szCs w:val="21"/>
        </w:rPr>
        <w:t xml:space="preserve">Regla de cierre: la cláusula que no tenga origen marcado y firmado va a NO APLICA.</w:t>
      </w:r>
      <w:r>
        <w:rPr>
          <w:rFonts w:ascii="Calibri" w:cs="Calibri" w:eastAsia="Calibri" w:hAnsi="Calibri"/>
          <w:sz w:val="21"/>
          <w:szCs w:val="21"/>
        </w:rPr>
        <w:t xml:space="preserve"> No hay opción intermedia. (5)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cada una con un solo instrumento; no se admite una fila con dos instrumentos.</w:t>
      </w:r>
    </w:p>
    <w:p>
      <w:pPr>
        <w:spacing w:after="140" w:line="276"/>
      </w:pPr>
      <w:r>
        <w:rPr>
          <w:rFonts w:ascii="Calibri" w:cs="Calibri" w:eastAsia="Calibri" w:hAnsi="Calibri"/>
          <w:b/>
          <w:bCs/>
          <w:sz w:val="21"/>
          <w:szCs w:val="21"/>
        </w:rPr>
        <w:t xml:space="preserve">Orígenes de necesidad.</w:t>
      </w:r>
      <w:r>
        <w:rPr>
          <w:rFonts w:ascii="Calibri" w:cs="Calibri" w:eastAsia="Calibri" w:hAnsi="Calibri"/>
          <w:sz w:val="21"/>
          <w:szCs w:val="21"/>
        </w:rPr>
        <w:t xml:space="preserve"> </w:t>
      </w:r>
      <w:r>
        <w:rPr>
          <w:rFonts w:ascii="Calibri" w:cs="Calibri" w:eastAsia="Calibri" w:hAnsi="Calibri"/>
          <w:b/>
          <w:bCs/>
          <w:sz w:val="21"/>
          <w:szCs w:val="21"/>
        </w:rPr>
        <w:t xml:space="preserve">N</w:t>
      </w:r>
      <w:r>
        <w:rPr>
          <w:rFonts w:ascii="Calibri" w:cs="Calibri" w:eastAsia="Calibri" w:hAnsi="Calibri"/>
          <w:sz w:val="21"/>
          <w:szCs w:val="21"/>
        </w:rPr>
        <w:t xml:space="preserve"> normativo: una norma en vigor impone al Ayuntamiento un deber que no puede cumplir sin la colaboración del contratista — lo acredita el servicio competente por razón de la materia, citando el precepto. </w:t>
      </w:r>
      <w:r>
        <w:rPr>
          <w:rFonts w:ascii="Calibri" w:cs="Calibri" w:eastAsia="Calibri" w:hAnsi="Calibri"/>
          <w:b/>
          <w:bCs/>
          <w:sz w:val="21"/>
          <w:szCs w:val="21"/>
        </w:rPr>
        <w:t xml:space="preserve">F</w:t>
      </w:r>
      <w:r>
        <w:rPr>
          <w:rFonts w:ascii="Calibri" w:cs="Calibri" w:eastAsia="Calibri" w:hAnsi="Calibri"/>
          <w:sz w:val="21"/>
          <w:szCs w:val="21"/>
        </w:rPr>
        <w:t xml:space="preserve"> funcional: lo necesita el servicio gestor para prestar su servicio — lo firma el gestor del contrato. </w:t>
      </w:r>
      <w:r>
        <w:rPr>
          <w:rFonts w:ascii="Calibri" w:cs="Calibri" w:eastAsia="Calibri" w:hAnsi="Calibri"/>
          <w:b/>
          <w:bCs/>
          <w:sz w:val="21"/>
          <w:szCs w:val="21"/>
        </w:rPr>
        <w:t xml:space="preserve">I</w:t>
      </w:r>
      <w:r>
        <w:rPr>
          <w:rFonts w:ascii="Calibri" w:cs="Calibri" w:eastAsia="Calibri" w:hAnsi="Calibri"/>
          <w:sz w:val="21"/>
          <w:szCs w:val="21"/>
        </w:rPr>
        <w:t xml:space="preserve"> institucional: no lo impone una norma ni lo ha pedido el gestor, y deriva de un plan o política aprobados por el órgano de gobierno — se acredita por remisión al acuerdo, identificándolo por fecha y número.</w:t>
      </w:r>
    </w:p>
    <w:p>
      <w:pPr>
        <w:spacing w:after="140" w:line="276"/>
      </w:pPr>
      <w:r>
        <w:rPr>
          <w:rFonts w:ascii="Calibri" w:cs="Calibri" w:eastAsia="Calibri" w:hAnsi="Calibri"/>
          <w:b/>
          <w:bCs/>
          <w:sz w:val="21"/>
          <w:szCs w:val="21"/>
        </w:rPr>
        <w:t xml:space="preserve">Instrumentos.</w:t>
      </w:r>
      <w:r>
        <w:rPr>
          <w:rFonts w:ascii="Calibri" w:cs="Calibri" w:eastAsia="Calibri" w:hAnsi="Calibri"/>
          <w:sz w:val="21"/>
          <w:szCs w:val="21"/>
        </w:rPr>
        <w:t xml:space="preserve"> P prescripción técnica · S solvencia · AM adscripción de medios · CEE condición especial de ejecución · CEE-E condición especial esencial · CA criterio de adjudicación · </w:t>
      </w:r>
      <w:r>
        <w:rPr>
          <w:rFonts w:ascii="Calibri" w:cs="Calibri" w:eastAsia="Calibri" w:hAnsi="Calibri"/>
          <w:b/>
          <w:bCs/>
          <w:sz w:val="21"/>
          <w:szCs w:val="21"/>
        </w:rPr>
        <w:t xml:space="preserve">NA no aplica</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(N/F/I)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Necesidad municipal concreta que satisface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 Norma, acuerdo o petición del gestor de que nace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 Por qué la relación con el objeto de </w:t>
            </w:r>
            <w:r>
              <w:rPr>
                <w:rFonts w:ascii="Calibri" w:cs="Calibri" w:eastAsia="Calibri" w:hAnsi="Calibri"/>
                <w:b/>
                <w:bCs/>
                <w:color w:val="1F3864"/>
                <w:sz w:val="18"/>
                <w:szCs w:val="18"/>
              </w:rPr>
              <w:t xml:space="preserve">este</w:t>
            </w:r>
            <w:r>
              <w:rPr>
                <w:rFonts w:ascii="Calibri" w:cs="Calibri" w:eastAsia="Calibri" w:hAnsi="Calibri"/>
                <w:b/>
                <w:bCs/>
                <w:color w:val="1F3864"/>
                <w:sz w:val="18"/>
                <w:szCs w:val="18"/>
              </w:rPr>
              <w:t xml:space="preserve"> contrato es directa, clara y proporcional (art. 116.4.e LCSP)</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 Verificador (puesto, no 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 Periodicidad y 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 Carga estimada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 Capa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 Criptoagilidad y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Automatización de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Interoperabilidad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 Seguridad conforme al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Interfaz normalizada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Reversibilidad e inventario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 Solvencia y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CEE de evolución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Plazos, Plan Anual y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 Seguimiento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Obligaciones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 y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Uso de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Carga total de verificación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la columna (f) de todas las cláusulas marcadas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concentrada no anual (aceptación inicial, ensayo de reversibilidad, reversión, demostración funcional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w:t>
            </w:r>
          </w:p>
        </w:tc>
      </w:tr>
    </w:tbl>
    <w:p>
      <w:pPr>
        <w:spacing w:after="200"/>
      </w:pPr>
    </w:p>
    <w:p>
      <w:pPr>
        <w:spacing w:after="140" w:line="276"/>
      </w:pPr>
      <w:r>
        <w:rPr>
          <w:rFonts w:ascii="Calibri" w:cs="Calibri" w:eastAsia="Calibri" w:hAnsi="Calibri"/>
          <w:sz w:val="21"/>
          <w:szCs w:val="21"/>
        </w:rPr>
        <w:t xml:space="preserve">Umbrales del §7.9.2 de la Parte I, que se comprueban sobre la primera cifra: </w:t>
      </w:r>
      <w:r>
        <w:rPr>
          <w:rFonts w:ascii="Calibri" w:cs="Calibri" w:eastAsia="Calibri" w:hAnsi="Calibri"/>
          <w:b/>
          <w:bCs/>
          <w:sz w:val="21"/>
          <w:szCs w:val="21"/>
        </w:rPr>
        <w:t xml:space="preserve">más de [X; se recomienda 20] h/año</w:t>
      </w:r>
      <w:r>
        <w:rPr>
          <w:rFonts w:ascii="Calibri" w:cs="Calibri" w:eastAsia="Calibri" w:hAnsi="Calibri"/>
          <w:sz w:val="21"/>
          <w:szCs w:val="21"/>
        </w:rPr>
        <w:t xml:space="preserve"> → revísese si procede incorporar menos cláusulas; </w:t>
      </w:r>
      <w:r>
        <w:rPr>
          <w:rFonts w:ascii="Calibri" w:cs="Calibri" w:eastAsia="Calibri" w:hAnsi="Calibri"/>
          <w:b/>
          <w:bCs/>
          <w:sz w:val="21"/>
          <w:szCs w:val="21"/>
        </w:rPr>
        <w:t xml:space="preserve">más de [X; se recomienda 40] h/año</w:t>
      </w:r>
      <w:r>
        <w:rPr>
          <w:rFonts w:ascii="Calibri" w:cs="Calibri" w:eastAsia="Calibri" w:hAnsi="Calibri"/>
          <w:sz w:val="21"/>
          <w:szCs w:val="21"/>
        </w:rPr>
        <w:t xml:space="preserve"> → se requiere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que se incorpora al expediente.</w:t>
      </w:r>
    </w:p>
    <w:p>
      <w:pPr>
        <w:spacing w:after="140" w:line="276"/>
      </w:pPr>
      <w:r>
        <w:rPr>
          <w:rFonts w:ascii="Calibri" w:cs="Calibri" w:eastAsia="Calibri" w:hAnsi="Calibri"/>
          <w:b/>
          <w:bCs/>
          <w:sz w:val="21"/>
          <w:szCs w:val="21"/>
        </w:rPr>
        <w:t xml:space="preserve">Comprobaciones de cierre</w:t>
      </w:r>
      <w:r>
        <w:rPr>
          <w:rFonts w:ascii="Calibri" w:cs="Calibri" w:eastAsia="Calibri" w:hAnsi="Calibri"/>
          <w:sz w:val="21"/>
          <w:szCs w:val="21"/>
        </w:rPr>
        <w:t xml:space="preserve"> (se marcan las cinco o la ficha no se firma):</w:t>
      </w:r>
    </w:p>
    <w:p>
      <w:pPr>
        <w:pStyle w:val="ListParagraph"/>
        <w:numPr>
          <w:ilvl w:val="0"/>
          <w:numId w:val="1"/>
        </w:numPr>
        <w:spacing w:after="70" w:line="268"/>
      </w:pPr>
      <w:r>
        <w:rPr>
          <w:rFonts w:ascii="Calibri" w:cs="Calibri" w:eastAsia="Calibri" w:hAnsi="Calibri"/>
          <w:sz w:val="21"/>
          <w:szCs w:val="21"/>
        </w:rPr>
        <w:t xml:space="preserve">☐ Cada exigencia marcada aparece con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conforme al Anexo I. No hay ninguna que puntúe y a la vez sea obligatoria. Las cláusulas que exigen un mínimo y puntúan el exceso ocupan dos filas.</w:t>
      </w:r>
    </w:p>
    <w:p>
      <w:pPr>
        <w:pStyle w:val="ListParagraph"/>
        <w:numPr>
          <w:ilvl w:val="0"/>
          <w:numId w:val="1"/>
        </w:numPr>
        <w:spacing w:after="70" w:line="268"/>
      </w:pPr>
      <w:r>
        <w:rPr>
          <w:rFonts w:ascii="Calibri" w:cs="Calibri" w:eastAsia="Calibri" w:hAnsi="Calibri"/>
          <w:sz w:val="21"/>
          <w:szCs w:val="21"/>
        </w:rPr>
        <w:t xml:space="preserve">☐ Se ha ejecutado la </w:t>
      </w:r>
      <w:r>
        <w:rPr>
          <w:rFonts w:ascii="Calibri" w:cs="Calibri" w:eastAsia="Calibri" w:hAnsi="Calibri"/>
          <w:b/>
          <w:bCs/>
          <w:sz w:val="21"/>
          <w:szCs w:val="21"/>
        </w:rPr>
        <w:t xml:space="preserve">tabla de dependencias</w:t>
      </w:r>
      <w:r>
        <w:rPr>
          <w:rFonts w:ascii="Calibri" w:cs="Calibri" w:eastAsia="Calibri" w:hAnsi="Calibri"/>
          <w:sz w:val="21"/>
          <w:szCs w:val="21"/>
        </w:rPr>
        <w:t xml:space="preserve"> (Anexo VI) para todas las cláusulas marcadas NA: no queda en el pliego ninguna remisión, penalidad, criterio ni casilla de la declaración responsable que se refiera a una cláusula suprimida.</w:t>
      </w:r>
    </w:p>
    <w:p>
      <w:pPr>
        <w:pStyle w:val="ListParagraph"/>
        <w:numPr>
          <w:ilvl w:val="0"/>
          <w:numId w:val="1"/>
        </w:numPr>
        <w:spacing w:after="70" w:line="268"/>
      </w:pPr>
      <w:r>
        <w:rPr>
          <w:rFonts w:ascii="Calibri" w:cs="Calibri" w:eastAsia="Calibri" w:hAnsi="Calibri"/>
          <w:sz w:val="21"/>
          <w:szCs w:val="21"/>
        </w:rPr>
        <w:t xml:space="preserve">☐ Cada cláusula marcada tiene cumplimentadas las casillas </w:t>
      </w:r>
      <w:r>
        <w:rPr>
          <w:rFonts w:ascii="Calibri" w:cs="Calibri" w:eastAsia="Calibri" w:hAnsi="Calibri"/>
          <w:b/>
          <w:bCs/>
          <w:sz w:val="21"/>
          <w:szCs w:val="21"/>
        </w:rPr>
        <w:t xml:space="preserve">(d) verificador, (e) periodicidad y documento y (f) carga estimada</w:t>
      </w:r>
      <w:r>
        <w:rPr>
          <w:rFonts w:ascii="Calibri" w:cs="Calibri" w:eastAsia="Calibri" w:hAnsi="Calibri"/>
          <w:sz w:val="21"/>
          <w:szCs w:val="21"/>
        </w:rPr>
        <w:t xml:space="preserve">, y la carga anual resultante consta en el cuadro anterior.</w:t>
      </w:r>
    </w:p>
    <w:p>
      <w:pPr>
        <w:pStyle w:val="ListParagraph"/>
        <w:numPr>
          <w:ilvl w:val="0"/>
          <w:numId w:val="1"/>
        </w:numPr>
        <w:spacing w:after="70" w:line="268"/>
      </w:pPr>
      <w:r>
        <w:rPr>
          <w:rFonts w:ascii="Calibri" w:cs="Calibri" w:eastAsia="Calibri" w:hAnsi="Calibri"/>
          <w:sz w:val="21"/>
          <w:szCs w:val="21"/>
        </w:rPr>
        <w:t xml:space="preserve">☐ Si la carga anual supera las [X; se recomienda 40] h/año, consta en el expediente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firmada y fechada.</w:t>
      </w:r>
    </w:p>
    <w:p>
      <w:pPr>
        <w:pStyle w:val="ListParagraph"/>
        <w:numPr>
          <w:ilvl w:val="0"/>
          <w:numId w:val="1"/>
        </w:numPr>
        <w:spacing w:after="70" w:line="268"/>
      </w:pPr>
      <w:r>
        <w:rPr>
          <w:rFonts w:ascii="Calibri" w:cs="Calibri" w:eastAsia="Calibri" w:hAnsi="Calibri"/>
          <w:sz w:val="21"/>
          <w:szCs w:val="21"/>
        </w:rPr>
        <w:t xml:space="preserve">☐ El Catálogo de Exigencias Tecnológicas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PPT, con versión y fecha, y no se incorpora por remisión.</w:t>
      </w:r>
    </w:p>
    <w:p>
      <w:pPr>
        <w:spacing w:after="140" w:line="276"/>
      </w:pPr>
      <w:r>
        <w:rPr>
          <w:rFonts w:ascii="Calibri" w:cs="Calibri" w:eastAsia="Calibri" w:hAnsi="Calibri"/>
          <w:b/>
          <w:bCs/>
          <w:sz w:val="21"/>
          <w:szCs w:val="21"/>
        </w:rPr>
        <w:t xml:space="preserve">Firmas.</w:t>
      </w:r>
      <w:r>
        <w:rPr>
          <w:rFonts w:ascii="Calibri" w:cs="Calibri" w:eastAsia="Calibri" w:hAnsi="Calibri"/>
          <w:sz w:val="21"/>
          <w:szCs w:val="21"/>
        </w:rPr>
        <w:t xml:space="preserve"> Se firma por vía separada según el origen. Una sola persona no puede firmar orígenes que no le corresponden.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Cláusulas que ampara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 / responsable del servicio destinatario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control interno,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remisión al acuerdo del órgano de gobierno de fecha …… , punto …… , más informe del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para quien reutilice el documento.</w:t>
      </w:r>
      <w:r>
        <w:rPr>
          <w:rFonts w:ascii="Calibri" w:cs="Calibri" w:eastAsia="Calibri" w:hAnsi="Calibri"/>
          <w:sz w:val="21"/>
          <w:szCs w:val="21"/>
        </w:rPr>
        <w:t xml:space="preserve"> La doble vía de firma no es burocracia añadida: resuelve una contradicción real. El gestor de un servicio no puede firmar que necesita la conformidad con el esquema de seguridad ni el acceso de los órganos de control, porque no son necesidades suyas. Si se le obliga a firmarlas, o firma lo que no le corresponde o esas cláusulas no entran nunca en ningún pliego.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III · MODELO DE INFORME DE NECESIDAD</w:t>
      </w:r>
    </w:p>
    <w:p>
      <w:pPr>
        <w:spacing w:after="140" w:line="276"/>
      </w:pPr>
      <w:r>
        <w:rPr>
          <w:rFonts w:ascii="Calibri" w:cs="Calibri" w:eastAsia="Calibri" w:hAnsi="Calibri"/>
          <w:sz w:val="21"/>
          <w:szCs w:val="21"/>
        </w:rPr>
        <w:t xml:space="preserve">Función: cumplir los arts. 28.1 y 116.4.e) LCSP en </w:t>
      </w:r>
      <w:r>
        <w:rPr>
          <w:rFonts w:ascii="Calibri" w:cs="Calibri" w:eastAsia="Calibri" w:hAnsi="Calibri"/>
          <w:b/>
          <w:bCs/>
          <w:sz w:val="21"/>
          <w:szCs w:val="21"/>
        </w:rPr>
        <w:t xml:space="preserve">este</w:t>
      </w:r>
      <w:r>
        <w:rPr>
          <w:rFonts w:ascii="Calibri" w:cs="Calibri" w:eastAsia="Calibri" w:hAnsi="Calibri"/>
          <w:sz w:val="21"/>
          <w:szCs w:val="21"/>
        </w:rPr>
        <w:t xml:space="preserve"> expediente. Se redacta antes de la ficha del Anexo II. Y se redacta sabiendo que se publica: la motivación de la necesidad se publica en el perfil de contratante.</w:t>
      </w:r>
    </w:p>
    <w:p>
      <w:pPr>
        <w:spacing w:after="140" w:line="276"/>
      </w:pPr>
      <w:r>
        <w:rPr>
          <w:rFonts w:ascii="Calibri" w:cs="Calibri" w:eastAsia="Calibri" w:hAnsi="Calibri"/>
          <w:b/>
          <w:bCs/>
          <w:sz w:val="21"/>
          <w:szCs w:val="21"/>
        </w:rPr>
        <w:t xml:space="preserve">Advertencia central, que es la lección de la Resolución 383/2024 del TACP de la Comunidad de Madrid</w:t>
      </w:r>
      <w:r>
        <w:rPr>
          <w:rFonts w:ascii="Calibri" w:cs="Calibri" w:eastAsia="Calibri" w:hAnsi="Calibri"/>
          <w:sz w:val="21"/>
          <w:szCs w:val="21"/>
        </w:rPr>
        <w:t xml:space="preserve">: este informe y la memoria justificativa del expediente son el sitio donde se justifica cada exigencia. El catálogo de cláusulas no es la memoria de ningún expediente, y la justificación no puede completarse después, en sede de recurso.</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INFORME DE NECESIDAD E IDONEIDAD DEL CONTRATO</w:t>
      </w:r>
    </w:p>
    <w:p>
      <w:pPr>
        <w:spacing w:after="140" w:line="276"/>
      </w:pPr>
      <w:r>
        <w:rPr>
          <w:rFonts w:ascii="Calibri" w:cs="Calibri" w:eastAsia="Calibri" w:hAnsi="Calibri"/>
          <w:i/>
          <w:iCs/>
          <w:sz w:val="21"/>
          <w:szCs w:val="21"/>
        </w:rPr>
        <w:t xml:space="preserve">(arts. 28.1 y 116.4 de la Ley 9/2017, de Contratos del Sector Público)</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Servicio promotor: ……………………… · Fecha: …… / …… / ……</w:t>
      </w:r>
    </w:p>
    <w:p>
      <w:pPr>
        <w:spacing w:after="140" w:line="276"/>
      </w:pPr>
      <w:r>
        <w:rPr>
          <w:rFonts w:ascii="Calibri" w:cs="Calibri" w:eastAsia="Calibri" w:hAnsi="Calibri"/>
          <w:b/>
          <w:bCs/>
          <w:sz w:val="21"/>
          <w:szCs w:val="21"/>
        </w:rPr>
        <w:t xml:space="preserve">1. Necesidad que se pretende satisfacer y su relación con el fin institucional.</w:t>
      </w:r>
    </w:p>
    <w:p>
      <w:pPr>
        <w:spacing w:after="140" w:line="276"/>
      </w:pPr>
      <w:r>
        <w:rPr>
          <w:rFonts w:ascii="Calibri" w:cs="Calibri" w:eastAsia="Calibri" w:hAnsi="Calibri"/>
          <w:sz w:val="21"/>
          <w:szCs w:val="21"/>
        </w:rPr>
        <w:t xml:space="preserve">Descríbase la situación actual y qué deja de poder hacerse si no se contrata. Evítese la fórmula genérica: la frase «para la modernización y transformación digital del Ayuntamiento» no es una necesidad, es un rótulo.</w:t>
      </w:r>
    </w:p>
    <w:p>
      <w:pPr>
        <w:spacing w:after="140" w:line="276"/>
      </w:pPr>
      <w:r>
        <w:rPr>
          <w:rFonts w:ascii="Calibri" w:cs="Calibri" w:eastAsia="Calibri" w:hAnsi="Calibri"/>
          <w:b/>
          <w:bCs/>
          <w:sz w:val="21"/>
          <w:szCs w:val="21"/>
        </w:rPr>
        <w:t xml:space="preserve">2. Idoneidad del objeto y de su contenido.</w:t>
      </w:r>
    </w:p>
    <w:p>
      <w:pPr>
        <w:spacing w:after="140" w:line="276"/>
      </w:pPr>
      <w:r>
        <w:rPr>
          <w:rFonts w:ascii="Calibri" w:cs="Calibri" w:eastAsia="Calibri" w:hAnsi="Calibri"/>
          <w:sz w:val="21"/>
          <w:szCs w:val="21"/>
        </w:rPr>
        <w:t xml:space="preserve">Por qué el objeto definido satisface esa necesidad y por qué no se ha definido de forma más amplia ni más estrecha. Delimitación de lo que queda fuera.</w:t>
      </w:r>
    </w:p>
    <w:p>
      <w:pPr>
        <w:spacing w:after="140" w:line="276"/>
      </w:pPr>
      <w:r>
        <w:rPr>
          <w:rFonts w:ascii="Calibri" w:cs="Calibri" w:eastAsia="Calibri" w:hAnsi="Calibri"/>
          <w:b/>
          <w:bCs/>
          <w:sz w:val="21"/>
          <w:szCs w:val="21"/>
        </w:rPr>
        <w:t xml:space="preserve">3. Insuficiencia de medios propios y consulta previa de soluciones ya disponibles.</w:t>
      </w:r>
    </w:p>
    <w:p>
      <w:pPr>
        <w:spacing w:after="140" w:line="276"/>
      </w:pPr>
      <w:r>
        <w:rPr>
          <w:rFonts w:ascii="Calibri" w:cs="Calibri" w:eastAsia="Calibri" w:hAnsi="Calibri"/>
          <w:sz w:val="21"/>
          <w:szCs w:val="21"/>
        </w:rPr>
        <w:t xml:space="preserve">(a) Por qué no puede atenderse con los medios personales y materiales del Ayuntamiento (art. 116.4.f). (b) Resultado de la consulta al directorio general de aplicaciones y, si existiendo una solución reutilizable no se reutiliza, justificación en términos de eficiencia (art. 157.3 de la Ley 40/2015).</w:t>
      </w:r>
    </w:p>
    <w:p>
      <w:pPr>
        <w:spacing w:after="140" w:line="276"/>
      </w:pPr>
      <w:r>
        <w:rPr>
          <w:rFonts w:ascii="Calibri" w:cs="Calibri" w:eastAsia="Calibri" w:hAnsi="Calibri"/>
          <w:b/>
          <w:bCs/>
          <w:sz w:val="21"/>
          <w:szCs w:val="21"/>
        </w:rPr>
        <w:t xml:space="preserve">4. Origen de cada exigencia tecnológica incorporada.</w:t>
      </w:r>
      <w:r>
        <w:rPr>
          <w:rFonts w:ascii="Calibri" w:cs="Calibri" w:eastAsia="Calibri" w:hAnsi="Calibri"/>
          <w:sz w:val="21"/>
          <w:szCs w:val="21"/>
        </w:rPr>
        <w:t xml:space="preserve"> </w:t>
      </w:r>
      <w:r>
        <w:rPr>
          <w:rFonts w:ascii="Calibri" w:cs="Calibri" w:eastAsia="Calibri" w:hAnsi="Calibri"/>
          <w:i/>
          <w:iCs/>
          <w:sz w:val="21"/>
          <w:szCs w:val="21"/>
        </w:rPr>
        <w:t xml:space="preserve">(Cumpliméntese una fila por cada cláusula marcada en la ficha del Anexo 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necesidad concreta cubre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acuerdo o petición que la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 proporcionada a este contrato</w:t>
            </w:r>
          </w:p>
        </w:tc>
      </w:tr>
    </w:tbl>
    <w:p>
      <w:pPr>
        <w:spacing w:after="200"/>
      </w:pPr>
    </w:p>
    <w:p>
      <w:pPr>
        <w:spacing w:after="140" w:line="276"/>
      </w:pPr>
      <w:r>
        <w:rPr>
          <w:rFonts w:ascii="Calibri" w:cs="Calibri" w:eastAsia="Calibri" w:hAnsi="Calibri"/>
          <w:b/>
          <w:bCs/>
          <w:sz w:val="21"/>
          <w:szCs w:val="21"/>
        </w:rPr>
        <w:t xml:space="preserve">4.bis Exigencias de origen institucional.</w:t>
      </w:r>
      <w:r>
        <w:rPr>
          <w:rFonts w:ascii="Calibri" w:cs="Calibri" w:eastAsia="Calibri" w:hAnsi="Calibri"/>
          <w:sz w:val="21"/>
          <w:szCs w:val="21"/>
        </w:rPr>
        <w:t xml:space="preserve"> Si alguna exigencia tiene origen institucional, identifíquese el acuerdo del órgano de gobierno que aprueba el plan o política de que deriva (fecha, punto del orden del día y publicación), y explíquese </w:t>
      </w:r>
      <w:r>
        <w:rPr>
          <w:rFonts w:ascii="Calibri" w:cs="Calibri" w:eastAsia="Calibri" w:hAnsi="Calibri"/>
          <w:b/>
          <w:bCs/>
          <w:sz w:val="21"/>
          <w:szCs w:val="21"/>
        </w:rPr>
        <w:t xml:space="preserve">por qué este contrato entra en su ámbito</w:t>
      </w:r>
      <w:r>
        <w:rPr>
          <w:rFonts w:ascii="Calibri" w:cs="Calibri" w:eastAsia="Calibri" w:hAnsi="Calibri"/>
          <w:sz w:val="21"/>
          <w:szCs w:val="21"/>
        </w:rPr>
        <w:t xml:space="preserve">. La remisión al acuerdo sin esa explicación es justificación estereotipada y no cumple el art. 116.4.e).</w:t>
      </w:r>
    </w:p>
    <w:p>
      <w:pPr>
        <w:spacing w:after="140" w:line="276"/>
      </w:pPr>
      <w:r>
        <w:rPr>
          <w:rFonts w:ascii="Calibri" w:cs="Calibri" w:eastAsia="Calibri" w:hAnsi="Calibri"/>
          <w:b/>
          <w:bCs/>
          <w:sz w:val="21"/>
          <w:szCs w:val="21"/>
        </w:rPr>
        <w:t xml:space="preserve">5. Necesidades declaradas por órganos distintos del gestor.</w:t>
      </w:r>
    </w:p>
    <w:p>
      <w:pPr>
        <w:spacing w:after="140" w:line="276"/>
      </w:pPr>
      <w:r>
        <w:rPr>
          <w:rFonts w:ascii="Calibri" w:cs="Calibri" w:eastAsia="Calibri" w:hAnsi="Calibri"/>
          <w:sz w:val="21"/>
          <w:szCs w:val="21"/>
        </w:rPr>
        <w:t xml:space="preserve">Hágase constar expresamente la necesidad declarada por los órganos de control interno respecto del acceso a los datos de ejecución, con identificación del documento en que consta, su fecha y su autor. Si no existe documento firmado, no se cita: se solicita.</w:t>
      </w:r>
    </w:p>
    <w:p>
      <w:pPr>
        <w:spacing w:after="140" w:line="276"/>
      </w:pPr>
      <w:r>
        <w:rPr>
          <w:rFonts w:ascii="Calibri" w:cs="Calibri" w:eastAsia="Calibri" w:hAnsi="Calibri"/>
          <w:b/>
          <w:bCs/>
          <w:sz w:val="21"/>
          <w:szCs w:val="21"/>
        </w:rPr>
        <w:t xml:space="preserve">6. Por qué el mantenimiento correctivo ordinario no cubre la necesidad de evolución.</w:t>
      </w:r>
    </w:p>
    <w:p>
      <w:pPr>
        <w:spacing w:after="140" w:line="276"/>
      </w:pPr>
      <w:r>
        <w:rPr>
          <w:rFonts w:ascii="Calibri" w:cs="Calibri" w:eastAsia="Calibri" w:hAnsi="Calibri"/>
          <w:sz w:val="21"/>
          <w:szCs w:val="21"/>
        </w:rPr>
        <w:t xml:space="preserve">Distíngase con precisión: (a) corrección de errores, incluida en el mantenimiento; (b) adaptación a cambios normativos, habitualmente incluida; (c) incorporación de capacidades nuevas determinadas, que </w:t>
      </w:r>
      <w:r>
        <w:rPr>
          <w:rFonts w:ascii="Calibri" w:cs="Calibri" w:eastAsia="Calibri" w:hAnsi="Calibri"/>
          <w:b/>
          <w:bCs/>
          <w:sz w:val="21"/>
          <w:szCs w:val="21"/>
        </w:rPr>
        <w:t xml:space="preserve">no</w:t>
      </w:r>
      <w:r>
        <w:rPr>
          <w:rFonts w:ascii="Calibri" w:cs="Calibri" w:eastAsia="Calibri" w:hAnsi="Calibri"/>
          <w:sz w:val="21"/>
          <w:szCs w:val="21"/>
        </w:rPr>
        <w:t xml:space="preserve"> está incluida y es lo que el catálogo contrata. Sin esta distinción, la exigencia de evolución se solapa con el mantenimiento y se paga dos veces.</w:t>
      </w:r>
    </w:p>
    <w:p>
      <w:pPr>
        <w:spacing w:after="140" w:line="276"/>
      </w:pPr>
      <w:r>
        <w:rPr>
          <w:rFonts w:ascii="Calibri" w:cs="Calibri" w:eastAsia="Calibri" w:hAnsi="Calibri"/>
          <w:b/>
          <w:bCs/>
          <w:sz w:val="21"/>
          <w:szCs w:val="21"/>
        </w:rPr>
        <w:t xml:space="preserve">7. Coste de no evolucionar.</w:t>
      </w:r>
    </w:p>
    <w:p>
      <w:pPr>
        <w:spacing w:after="140" w:line="276"/>
      </w:pPr>
      <w:r>
        <w:rPr>
          <w:rFonts w:ascii="Calibri" w:cs="Calibri" w:eastAsia="Calibri" w:hAnsi="Calibri"/>
          <w:sz w:val="21"/>
          <w:szCs w:val="21"/>
        </w:rPr>
        <w:t xml:space="preserve">Efecto previsible sobre la prestación si la solución permanece en su estado actual durante toda la duración del contrato y sus prórrogas: horas de trabajo manual, dependencia de terceros para obtener datos propios, coste de la migración futura.</w:t>
      </w:r>
    </w:p>
    <w:p>
      <w:pPr>
        <w:spacing w:after="140" w:line="276"/>
      </w:pPr>
      <w:r>
        <w:rPr>
          <w:rFonts w:ascii="Calibri" w:cs="Calibri" w:eastAsia="Calibri" w:hAnsi="Calibri"/>
          <w:b/>
          <w:bCs/>
          <w:sz w:val="21"/>
          <w:szCs w:val="21"/>
        </w:rPr>
        <w:t xml:space="preserve">8. Categoría de seguridad y tratamiento de datos personales.</w:t>
      </w:r>
    </w:p>
    <w:p>
      <w:pPr>
        <w:spacing w:after="140" w:line="276"/>
      </w:pPr>
      <w:r>
        <w:rPr>
          <w:rFonts w:ascii="Calibri" w:cs="Calibri" w:eastAsia="Calibri" w:hAnsi="Calibri"/>
          <w:sz w:val="21"/>
          <w:szCs w:val="21"/>
        </w:rPr>
        <w:t xml:space="preserve">Categoría del sistema conforme al anexo I del RD 311/2022, con el nivel de cada dimensión y su motivación. Declaración expresa de si el contrato implica cesión de datos por el Ayuntamiento al contratista y de si requiere tratamiento de datos personales por su cuenta —de ello depende que operen o no las obligaciones calificadas de esenciales por la propia ley—.</w:t>
      </w:r>
    </w:p>
    <w:p>
      <w:pPr>
        <w:spacing w:after="140" w:line="276"/>
      </w:pPr>
      <w:r>
        <w:rPr>
          <w:rFonts w:ascii="Calibri" w:cs="Calibri" w:eastAsia="Calibri" w:hAnsi="Calibri"/>
          <w:b/>
          <w:bCs/>
          <w:sz w:val="21"/>
          <w:szCs w:val="21"/>
        </w:rPr>
        <w:t xml:space="preserve">9. Valor estimado, método de cálculo y umbrales.</w:t>
      </w:r>
    </w:p>
    <w:p>
      <w:pPr>
        <w:spacing w:after="140" w:line="276"/>
      </w:pPr>
      <w:r>
        <w:rPr>
          <w:rFonts w:ascii="Calibri" w:cs="Calibri" w:eastAsia="Calibri" w:hAnsi="Calibri"/>
          <w:sz w:val="21"/>
          <w:szCs w:val="21"/>
        </w:rPr>
        <w:t xml:space="preserve">Importe, método (art. 101.5) y comprobación de los umbrales de procedimiento, recurso especial y regulación armonizada.</w:t>
      </w:r>
    </w:p>
    <w:p>
      <w:pPr>
        <w:spacing w:after="140" w:line="276"/>
      </w:pPr>
      <w:r>
        <w:rPr>
          <w:rFonts w:ascii="Calibri" w:cs="Calibri" w:eastAsia="Calibri" w:hAnsi="Calibri"/>
          <w:b/>
          <w:bCs/>
          <w:sz w:val="21"/>
          <w:szCs w:val="21"/>
        </w:rPr>
        <w:t xml:space="preserve">10. Conclusión.</w:t>
      </w:r>
    </w:p>
    <w:p>
      <w:pPr>
        <w:spacing w:after="140" w:line="276"/>
      </w:pPr>
      <w:r>
        <w:rPr>
          <w:rFonts w:ascii="Calibri" w:cs="Calibri" w:eastAsia="Calibri" w:hAnsi="Calibri"/>
          <w:sz w:val="21"/>
          <w:szCs w:val="21"/>
        </w:rPr>
        <w:t xml:space="preserve">Se propone la tramitación del expediente con las cláusulas marcadas en la ficha de aplicabilidad que se acompaña, cuya motivación individual figura en el apartado 4.</w:t>
      </w:r>
    </w:p>
    <w:p>
      <w:pPr>
        <w:spacing w:after="140" w:line="276"/>
      </w:pPr>
      <w:r>
        <w:rPr>
          <w:rFonts w:ascii="Calibri" w:cs="Calibri" w:eastAsia="Calibri" w:hAnsi="Calibri"/>
          <w:sz w:val="21"/>
          <w:szCs w:val="21"/>
        </w:rPr>
        <w:t xml:space="preserve">Firma del responsable del servicio promotor. Firmas adicionales según el origen de las exigencias, conforme al Anexo II.</w:t>
      </w:r>
    </w:p>
    <w:p>
      <w:pPr>
        <w:spacing w:after="140" w:line="276"/>
      </w:pPr>
      <w:r>
        <w:rPr>
          <w:rFonts w:ascii="Calibri" w:cs="Calibri" w:eastAsia="Calibri" w:hAnsi="Calibri"/>
          <w:sz w:val="21"/>
          <w:szCs w:val="21"/>
        </w:rPr>
        <w:t xml:space="preserve">---- FIN DEL MODELO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IV · FICHA POR CRITERIO Y HOJA DE COMPROBACIÓN DEL BAREMO</w:t>
      </w:r>
    </w:p>
    <w:p>
      <w:pPr>
        <w:spacing w:after="140" w:line="276"/>
      </w:pPr>
      <w:r>
        <w:rPr>
          <w:rFonts w:ascii="Calibri" w:cs="Calibri" w:eastAsia="Calibri" w:hAnsi="Calibri"/>
          <w:sz w:val="21"/>
          <w:szCs w:val="21"/>
        </w:rPr>
        <w:t xml:space="preserve">Función: sumar </w:t>
      </w:r>
      <w:r>
        <w:rPr>
          <w:rFonts w:ascii="Calibri" w:cs="Calibri" w:eastAsia="Calibri" w:hAnsi="Calibri"/>
          <w:b/>
          <w:bCs/>
          <w:sz w:val="21"/>
          <w:szCs w:val="21"/>
        </w:rPr>
        <w:t xml:space="preserve">el PCAP entero</w:t>
      </w:r>
      <w:r>
        <w:rPr>
          <w:rFonts w:ascii="Calibri" w:cs="Calibri" w:eastAsia="Calibri" w:hAnsi="Calibri"/>
          <w:sz w:val="21"/>
          <w:szCs w:val="21"/>
        </w:rPr>
        <w:t xml:space="preserve"> —precio incluido— y avisar antes de publicar. Las comprobaciones legales del baremo operan sobre el total de criterios del contrato, no sobre un bloque.</w:t>
      </w:r>
    </w:p>
    <w:p>
      <w:pPr>
        <w:spacing w:after="140" w:line="276"/>
      </w:pPr>
      <w:r>
        <w:rPr>
          <w:rFonts w:ascii="Calibri" w:cs="Calibri" w:eastAsia="Calibri" w:hAnsi="Calibri"/>
          <w:b/>
          <w:bCs/>
          <w:sz w:val="21"/>
          <w:szCs w:val="21"/>
        </w:rPr>
        <w:t xml:space="preserve">IV.1 Ficha por criterio.</w:t>
      </w:r>
      <w:r>
        <w:rPr>
          <w:rFonts w:ascii="Calibri" w:cs="Calibri" w:eastAsia="Calibri" w:hAnsi="Calibri"/>
          <w:sz w:val="21"/>
          <w:szCs w:val="21"/>
        </w:rPr>
        <w:t xml:space="preserve"> Se rellena una por cada criterio del baremo. Sin ficha, el criterio no se incorpora.</w:t>
      </w:r>
    </w:p>
    <w:p>
      <w:pPr>
        <w:spacing w:after="140" w:line="276"/>
      </w:pPr>
      <w:r>
        <w:rPr>
          <w:rFonts w:ascii="Calibri" w:cs="Calibri" w:eastAsia="Calibri" w:hAnsi="Calibri"/>
          <w:sz w:val="21"/>
          <w:szCs w:val="21"/>
        </w:rPr>
        <w:t xml:space="preserve">---- INICIO DEL MODELO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Casilla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n.º y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Tipo: fórmula /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Necesidad</w:t>
            </w:r>
            <w:r>
              <w:rPr>
                <w:rFonts w:ascii="Calibri" w:cs="Calibri" w:eastAsia="Calibri" w:hAnsi="Calibri"/>
                <w:b w:val="false"/>
                <w:bCs w:val="false"/>
                <w:sz w:val="18"/>
                <w:szCs w:val="18"/>
              </w:rPr>
              <w:t xml:space="preserve">: qué aporta a la prestación que el pliego no exija ya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Mejora del rendimiento</w:t>
            </w:r>
            <w:r>
              <w:rPr>
                <w:rFonts w:ascii="Calibri" w:cs="Calibri" w:eastAsia="Calibri" w:hAnsi="Calibri"/>
                <w:b w:val="false"/>
                <w:bCs w:val="false"/>
                <w:sz w:val="18"/>
                <w:szCs w:val="18"/>
              </w:rPr>
              <w:t xml:space="preserve">: en qué mejora objetivamente la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Medio de verificación efectiva</w:t>
            </w:r>
            <w:r>
              <w:rPr>
                <w:rFonts w:ascii="Calibri" w:cs="Calibri" w:eastAsia="Calibri" w:hAnsi="Calibri"/>
                <w:b w:val="false"/>
                <w:bCs w:val="false"/>
                <w:sz w:val="18"/>
                <w:szCs w:val="18"/>
              </w:rPr>
              <w:t xml:space="preserve"> de lo declarado por el licitador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 Proporcionalidad del peso</w:t>
            </w:r>
            <w:r>
              <w:rPr>
                <w:rFonts w:ascii="Calibri" w:cs="Calibri" w:eastAsia="Calibri" w:hAnsi="Calibri"/>
                <w:b w:val="false"/>
                <w:bCs w:val="false"/>
                <w:sz w:val="18"/>
                <w:szCs w:val="18"/>
              </w:rPr>
              <w:t xml:space="preserve">: por qué esos puntos y no más ni menos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Ventaja indirecta</w:t>
            </w:r>
            <w:r>
              <w:rPr>
                <w:rFonts w:ascii="Calibri" w:cs="Calibri" w:eastAsia="Calibri" w:hAnsi="Calibri"/>
                <w:b w:val="false"/>
                <w:bCs w:val="false"/>
                <w:sz w:val="18"/>
                <w:szCs w:val="18"/>
              </w:rPr>
              <w:t xml:space="preserve">: ¿puede el criterio reflejar de forma indirecta la disponibilidad previa de la capacidad (por ejemplo, un plazo ofertado)? Si sí, acotación adoptada —suelo de puntuación, peso máximo— y motivación de por qué lo valorado es una cualidad de la prestación y no una característica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Mínimo obligatorio de referencia en el PPT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puntúa)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«mejora» del art. 145.7? Si sí: ¿lista cerrada publicada, límites, modalidades y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completa o rúbrica con descriptores por tramos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IV.2 Hoja de suma y avisos.</w:t>
      </w:r>
      <w:r>
        <w:rPr>
          <w:rFonts w:ascii="Calibri" w:cs="Calibri" w:eastAsia="Calibri" w:hAnsi="Calibri"/>
          <w:sz w:val="21"/>
          <w:szCs w:val="21"/>
        </w:rPr>
        <w:t xml:space="preserve"> Se cumplimenta con todos los criterios del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Bloque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fórmula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juicio de 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Total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y costes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 la prestación principal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IA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r>
    </w:tbl>
    <w:p>
      <w:pPr>
        <w:spacing w:after="200"/>
      </w:pPr>
    </w:p>
    <w:p>
      <w:pPr>
        <w:spacing w:after="140" w:line="276"/>
      </w:pPr>
      <w:r>
        <w:rPr>
          <w:rFonts w:ascii="Calibri" w:cs="Calibri" w:eastAsia="Calibri" w:hAnsi="Calibri"/>
          <w:b/>
          <w:bCs/>
          <w:sz w:val="21"/>
          <w:szCs w:val="21"/>
        </w:rPr>
        <w:t xml:space="preserve">Avisos automáticos.</w:t>
      </w:r>
      <w:r>
        <w:rPr>
          <w:rFonts w:ascii="Calibri" w:cs="Calibri" w:eastAsia="Calibri" w:hAnsi="Calibri"/>
          <w:sz w:val="21"/>
          <w:szCs w:val="21"/>
        </w:rPr>
        <w:t xml:space="preserve"> Ésta es la </w:t>
      </w:r>
      <w:r>
        <w:rPr>
          <w:rFonts w:ascii="Calibri" w:cs="Calibri" w:eastAsia="Calibri" w:hAnsi="Calibri"/>
          <w:b/>
          <w:bCs/>
          <w:sz w:val="21"/>
          <w:szCs w:val="21"/>
        </w:rPr>
        <w:t xml:space="preserve">lista única</w:t>
      </w:r>
      <w:r>
        <w:rPr>
          <w:rFonts w:ascii="Calibri" w:cs="Calibri" w:eastAsia="Calibri" w:hAnsi="Calibri"/>
          <w:sz w:val="21"/>
          <w:szCs w:val="21"/>
        </w:rPr>
        <w:t xml:space="preserve"> de comprobaciones del baremo: son las </w:t>
      </w:r>
      <w:r>
        <w:rPr>
          <w:rFonts w:ascii="Calibri" w:cs="Calibri" w:eastAsia="Calibri" w:hAnsi="Calibri"/>
          <w:b/>
          <w:bCs/>
          <w:sz w:val="21"/>
          <w:szCs w:val="21"/>
        </w:rPr>
        <w:t xml:space="preserve">catorce</w:t>
      </w:r>
      <w:r>
        <w:rPr>
          <w:rFonts w:ascii="Calibri" w:cs="Calibri" w:eastAsia="Calibri" w:hAnsi="Calibri"/>
          <w:sz w:val="21"/>
          <w:szCs w:val="21"/>
        </w:rPr>
        <w:t xml:space="preserve"> de la hoja de comprobación de ADM-7·v3, apartado 5, reproducidas aquí como hoja operativa. Las dos listas deben coincidir fila por fila; si divergen, se corrige este anexo, porque manda la cláusula. Ninguna de las dos se copia al pliego: se cumplimentan y se incorporan al expediente. Cualquiera en rojo bloquea la publicación hasta que se resuelva.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 y aviso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 Si no suma 100, el baremo está incompleto o duplicado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w:t>
            </w:r>
            <w:r>
              <w:rPr>
                <w:rFonts w:ascii="Calibri" w:cs="Calibri" w:eastAsia="Calibri" w:hAnsi="Calibri"/>
                <w:b/>
                <w:bCs/>
                <w:sz w:val="18"/>
                <w:szCs w:val="18"/>
              </w:rPr>
              <w:t xml:space="preserve">40 %</w:t>
            </w:r>
            <w:r>
              <w:rPr>
                <w:rFonts w:ascii="Calibri" w:cs="Calibri" w:eastAsia="Calibri" w:hAnsi="Calibri"/>
                <w:b w:val="false"/>
                <w:bCs w:val="false"/>
                <w:sz w:val="18"/>
                <w:szCs w:val="18"/>
              </w:rPr>
              <w:t xml:space="preserve">, que es límite absoluto no superable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 (B) frente a los evaluables por fórmula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___ % · (A)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&lt; (A)?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(B)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con un mínimo de tres miembros no adscritos al órgano proponente, identificado en el PCAP antes de licitar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 Tampoco cabe el abreviado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PPT,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 Se suprime el criterio y </w:t>
            </w:r>
            <w:r>
              <w:rPr>
                <w:rFonts w:ascii="Calibri" w:cs="Calibri" w:eastAsia="Calibri" w:hAnsi="Calibri"/>
                <w:b/>
                <w:bCs/>
                <w:sz w:val="18"/>
                <w:szCs w:val="18"/>
              </w:rPr>
              <w:t xml:space="preserve">se recompone el baremo antes de publicar el 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apartado IV.1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del cómputo de criterios de calidad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Un criterio de precio unitario es precio, no calidad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Regla de cierre del anexo:</w:t>
      </w:r>
      <w:r>
        <w:rPr>
          <w:rFonts w:ascii="Calibri" w:cs="Calibri" w:eastAsia="Calibri" w:hAnsi="Calibri"/>
          <w:sz w:val="21"/>
          <w:szCs w:val="21"/>
        </w:rPr>
        <w:t xml:space="preserve"> las ponderaciones publicadas no se modifican después. Si un criterio decae, </w:t>
      </w:r>
      <w:r>
        <w:rPr>
          <w:rFonts w:ascii="Calibri" w:cs="Calibri" w:eastAsia="Calibri" w:hAnsi="Calibri"/>
          <w:b/>
          <w:bCs/>
          <w:sz w:val="21"/>
          <w:szCs w:val="21"/>
        </w:rPr>
        <w:t xml:space="preserve">el baremo se recompone antes de la publicación del anuncio</w:t>
      </w:r>
      <w:r>
        <w:rPr>
          <w:rFonts w:ascii="Calibri" w:cs="Calibri" w:eastAsia="Calibri" w:hAnsi="Calibri"/>
          <w:sz w:val="21"/>
          <w:szCs w:val="21"/>
        </w:rPr>
        <w:t xml:space="preserve">, nunca por reescalado una vez publicado el pliego, que la Parte I, §7.8.b), declara prohibido.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 · CATÁLOGO DE EXIGENCIAS TECNOLÓGICAS DETERMINADAS DEL EJERCICIO 2026-2027</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Dato de control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2026-2027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aprobante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 competente, o el órgano en quien delegue conforme al acuerdo del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Materia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 de la solución para ser operada y auditada por agentes y asistentes de inteligencia artificial bajo control municipal, con supervisión humana y trazabilidad completa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a las licitaciones que se convoquen a partir de su aprobación y hasta la aprobación de la revisión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Efecto sobre contratos en vigor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Ninguno.</w:t>
            </w:r>
            <w:r>
              <w:rPr>
                <w:rFonts w:ascii="Calibri" w:cs="Calibri" w:eastAsia="Calibri" w:hAnsi="Calibri"/>
                <w:b w:val="false"/>
                <w:bCs w:val="false"/>
                <w:sz w:val="18"/>
                <w:szCs w:val="18"/>
              </w:rPr>
              <w:t xml:space="preserve"> A un contrato ya formalizado sólo le resultan exigibles las exigencias del Catálogo vigente en el momento de su licitación</w:t>
            </w:r>
          </w:p>
        </w:tc>
      </w:tr>
    </w:tbl>
    <w:p>
      <w:pPr>
        <w:spacing w:after="200"/>
      </w:pPr>
    </w:p>
    <w:p>
      <w:pPr>
        <w:spacing w:after="140" w:line="276"/>
      </w:pPr>
      <w:r>
        <w:rPr>
          <w:rFonts w:ascii="Calibri" w:cs="Calibri" w:eastAsia="Calibri" w:hAnsi="Calibri"/>
          <w:b/>
          <w:bCs/>
          <w:sz w:val="21"/>
          <w:szCs w:val="21"/>
        </w:rPr>
        <w:t xml:space="preserve">Advertencia de incorporación, que es de cumplimiento obligado.</w:t>
      </w:r>
      <w:r>
        <w:rPr>
          <w:rFonts w:ascii="Calibri" w:cs="Calibri" w:eastAsia="Calibri" w:hAnsi="Calibri"/>
          <w:sz w:val="21"/>
          <w:szCs w:val="21"/>
        </w:rPr>
        <w:t xml:space="preserve"> Este catálogo </w:t>
      </w:r>
      <w:r>
        <w:rPr>
          <w:rFonts w:ascii="Calibri" w:cs="Calibri" w:eastAsia="Calibri" w:hAnsi="Calibri"/>
          <w:b/>
          <w:bCs/>
          <w:sz w:val="21"/>
          <w:szCs w:val="21"/>
        </w:rPr>
        <w:t xml:space="preserve">se transcribe físicamente en el pliego de prescripciones técnicas</w:t>
      </w:r>
      <w:r>
        <w:rPr>
          <w:rFonts w:ascii="Calibri" w:cs="Calibri" w:eastAsia="Calibri" w:hAnsi="Calibri"/>
          <w:sz w:val="21"/>
          <w:szCs w:val="21"/>
        </w:rPr>
        <w:t xml:space="preserve">, con su número de versión y su fecha, recortado a los módulos del contrato. </w:t>
      </w:r>
      <w:r>
        <w:rPr>
          <w:rFonts w:ascii="Calibri" w:cs="Calibri" w:eastAsia="Calibri" w:hAnsi="Calibri"/>
          <w:b/>
          <w:bCs/>
          <w:sz w:val="21"/>
          <w:szCs w:val="21"/>
        </w:rPr>
        <w:t xml:space="preserve">No se incorpora por remisión.</w:t>
      </w:r>
      <w:r>
        <w:rPr>
          <w:rFonts w:ascii="Calibri" w:cs="Calibri" w:eastAsia="Calibri" w:hAnsi="Calibri"/>
          <w:sz w:val="21"/>
          <w:szCs w:val="21"/>
        </w:rPr>
        <w:t xml:space="preserve"> Un pliego que remita a un documento municipal revisable anualmente contiene una obligación cuyo contenido puede cambiar después de ofertar: es indeterminación, y es motivo de recurso contra el pliego. En el pliego debe constar además, expresamente, que las revisiones posteriores del catálogo no afectan al contrato.</w:t>
      </w:r>
    </w:p>
    <w:p>
      <w:pPr>
        <w:spacing w:after="140" w:line="276"/>
      </w:pPr>
      <w:r>
        <w:rPr>
          <w:rFonts w:ascii="Calibri" w:cs="Calibri" w:eastAsia="Calibri" w:hAnsi="Calibri"/>
          <w:b/>
          <w:bCs/>
          <w:sz w:val="21"/>
          <w:szCs w:val="21"/>
        </w:rPr>
        <w:t xml:space="preserve">Advertencia de contraste de mercado.</w:t>
      </w:r>
      <w:r>
        <w:rPr>
          <w:rFonts w:ascii="Calibri" w:cs="Calibri" w:eastAsia="Calibri" w:hAnsi="Calibri"/>
          <w:sz w:val="21"/>
          <w:szCs w:val="21"/>
        </w:rPr>
        <w:t xml:space="preserve"> Antes de incorporar el catálogo a un pliego concreto, su contenido se contrasta con el mercado de la tipología de solución de que se trate, y el contraste se deja documentado en el expediente. Una exigencia que ningún proveedor del sector pueda cumplir en el plazo previsto no protege al Ayuntamiento: reduce la concurrencia o produce un incumplimiento generalizado desde el primer año. El contraste se hace </w:t>
      </w:r>
      <w:r>
        <w:rPr>
          <w:rFonts w:ascii="Calibri" w:cs="Calibri" w:eastAsia="Calibri" w:hAnsi="Calibri"/>
          <w:b/>
          <w:bCs/>
          <w:sz w:val="21"/>
          <w:szCs w:val="21"/>
        </w:rPr>
        <w:t xml:space="preserve">una vez al año, al aprobar el catálogo</w:t>
      </w:r>
      <w:r>
        <w:rPr>
          <w:rFonts w:ascii="Calibri" w:cs="Calibri" w:eastAsia="Calibri" w:hAnsi="Calibri"/>
          <w:sz w:val="21"/>
          <w:szCs w:val="21"/>
        </w:rPr>
        <w:t xml:space="preserve">, y se reutiliza en cada expediente; hacerlo por expediente es inasumible y no aporta nada.</w:t>
      </w:r>
    </w:p>
    <w:p>
      <w:pPr>
        <w:pStyle w:val="Heading3"/>
        <w:keepNext/>
        <w:spacing w:after="140" w:before="320"/>
      </w:pPr>
      <w:r>
        <w:rPr>
          <w:rFonts w:ascii="Georgia" w:cs="Georgia" w:eastAsia="Georgia" w:hAnsi="Georgia"/>
          <w:b/>
          <w:bCs/>
          <w:color w:val="2F5496"/>
          <w:sz w:val="22"/>
          <w:szCs w:val="22"/>
        </w:rPr>
        <w:t xml:space="preserve">V.A.1 Reglas comunes a las tres exigencias</w:t>
      </w:r>
    </w:p>
    <w:p>
      <w:pPr>
        <w:pStyle w:val="ListParagraph"/>
        <w:numPr>
          <w:ilvl w:val="0"/>
          <w:numId w:val="2"/>
        </w:numPr>
        <w:spacing w:after="70" w:line="268"/>
      </w:pPr>
      <w:r>
        <w:rPr>
          <w:rFonts w:ascii="Calibri" w:cs="Calibri" w:eastAsia="Calibri" w:hAnsi="Calibri"/>
          <w:b/>
          <w:bCs/>
          <w:sz w:val="21"/>
          <w:szCs w:val="21"/>
        </w:rPr>
        <w:t xml:space="preserve">Alcance ordinario.</w:t>
      </w:r>
      <w:r>
        <w:rPr>
          <w:rFonts w:ascii="Calibri" w:cs="Calibri" w:eastAsia="Calibri" w:hAnsi="Calibri"/>
          <w:sz w:val="21"/>
          <w:szCs w:val="21"/>
        </w:rPr>
        <w:t xml:space="preserve"> Las exigencias forman parte del objeto del contrato y se entienden retribuidas con el precio ofertado. Su cumplimiento no da lugar a facturación adicional ni requiere modificación contractual.</w:t>
      </w:r>
    </w:p>
    <w:p>
      <w:pPr>
        <w:pStyle w:val="ListParagraph"/>
        <w:numPr>
          <w:ilvl w:val="0"/>
          <w:numId w:val="2"/>
        </w:numPr>
        <w:spacing w:after="70" w:line="268"/>
      </w:pPr>
      <w:r>
        <w:rPr>
          <w:rFonts w:ascii="Calibri" w:cs="Calibri" w:eastAsia="Calibri" w:hAnsi="Calibri"/>
          <w:b/>
          <w:bCs/>
          <w:sz w:val="21"/>
          <w:szCs w:val="21"/>
        </w:rPr>
        <w:t xml:space="preserve">Criterios binarios.</w:t>
      </w:r>
      <w:r>
        <w:rPr>
          <w:rFonts w:ascii="Calibri" w:cs="Calibri" w:eastAsia="Calibri" w:hAnsi="Calibri"/>
          <w:sz w:val="21"/>
          <w:szCs w:val="21"/>
        </w:rPr>
        <w:t xml:space="preserve"> Todo criterio de aceptación se formula de modo que la respuesta sea sí o no y se compruebe en el entorno de pruebas. Un criterio que sólo pueda valorarse por apreciación no sostiene una penalidad en un procedimiento contradictorio.</w:t>
      </w:r>
    </w:p>
    <w:p>
      <w:pPr>
        <w:pStyle w:val="ListParagraph"/>
        <w:numPr>
          <w:ilvl w:val="0"/>
          <w:numId w:val="2"/>
        </w:numPr>
        <w:spacing w:after="70" w:line="268"/>
      </w:pPr>
      <w:r>
        <w:rPr>
          <w:rFonts w:ascii="Calibri" w:cs="Calibri" w:eastAsia="Calibri" w:hAnsi="Calibri"/>
          <w:b/>
          <w:bCs/>
          <w:sz w:val="21"/>
          <w:szCs w:val="21"/>
        </w:rPr>
        <w:t xml:space="preserve">Nada exige lo imposible.</w:t>
      </w:r>
      <w:r>
        <w:rPr>
          <w:rFonts w:ascii="Calibri" w:cs="Calibri" w:eastAsia="Calibri" w:hAnsi="Calibri"/>
          <w:sz w:val="21"/>
          <w:szCs w:val="21"/>
        </w:rPr>
        <w:t xml:space="preserve"> Ningún criterio puede exigir al adjudicatario una propiedad que no esté en su mano acreditar sobre un sistema que él mismo opera. Cuando el objetivo sea la protección frente al propio operador, se formula como control verificable —segregación de funciones, sólo-anexado, exportación con resumen criptográfico— y no como una cualidad absoluta.</w:t>
      </w:r>
    </w:p>
    <w:p>
      <w:pPr>
        <w:pStyle w:val="ListParagraph"/>
        <w:numPr>
          <w:ilvl w:val="0"/>
          <w:numId w:val="2"/>
        </w:numPr>
        <w:spacing w:after="70" w:line="268"/>
      </w:pPr>
      <w:r>
        <w:rPr>
          <w:rFonts w:ascii="Calibri" w:cs="Calibri" w:eastAsia="Calibri" w:hAnsi="Calibri"/>
          <w:b/>
          <w:bCs/>
          <w:sz w:val="21"/>
          <w:szCs w:val="21"/>
        </w:rPr>
        <w:t xml:space="preserve">Verificación documentada.</w:t>
      </w:r>
      <w:r>
        <w:rPr>
          <w:rFonts w:ascii="Calibri" w:cs="Calibri" w:eastAsia="Calibri" w:hAnsi="Calibri"/>
          <w:sz w:val="21"/>
          <w:szCs w:val="21"/>
        </w:rPr>
        <w:t xml:space="preserve"> Cada exigencia se verifica mediante prueba de aceptación sobre el entorno de pruebas, documentada en acta suscrita por el responsable del contrato.</w:t>
      </w:r>
    </w:p>
    <w:p>
      <w:pPr>
        <w:pStyle w:val="ListParagraph"/>
        <w:numPr>
          <w:ilvl w:val="0"/>
          <w:numId w:val="2"/>
        </w:numPr>
        <w:spacing w:after="70" w:line="268"/>
      </w:pPr>
      <w:r>
        <w:rPr>
          <w:rFonts w:ascii="Calibri" w:cs="Calibri" w:eastAsia="Calibri" w:hAnsi="Calibri"/>
          <w:b/>
          <w:bCs/>
          <w:sz w:val="21"/>
          <w:szCs w:val="21"/>
        </w:rPr>
        <w:t xml:space="preserve">La aceptación no exime.</w:t>
      </w:r>
      <w:r>
        <w:rPr>
          <w:rFonts w:ascii="Calibri" w:cs="Calibri" w:eastAsia="Calibri" w:hAnsi="Calibri"/>
          <w:sz w:val="21"/>
          <w:szCs w:val="21"/>
        </w:rPr>
        <w:t xml:space="preserve"> La aceptación no libera al adjudicatario de responsabilidad por defectos, errores, vulnerabilidades, incumplimientos normativos o degradación posterior de la capacidad verificada, que debe mantenerse operativa durante el resto de la vigencia.</w:t>
      </w:r>
    </w:p>
    <w:p>
      <w:pPr>
        <w:pStyle w:val="ListParagraph"/>
        <w:numPr>
          <w:ilvl w:val="0"/>
          <w:numId w:val="2"/>
        </w:numPr>
        <w:spacing w:after="70" w:line="268"/>
      </w:pPr>
      <w:r>
        <w:rPr>
          <w:rFonts w:ascii="Calibri" w:cs="Calibri" w:eastAsia="Calibri" w:hAnsi="Calibri"/>
          <w:b/>
          <w:bCs/>
          <w:sz w:val="21"/>
          <w:szCs w:val="21"/>
        </w:rPr>
        <w:t xml:space="preserve">Neutralidad.</w:t>
      </w:r>
      <w:r>
        <w:rPr>
          <w:rFonts w:ascii="Calibri" w:cs="Calibri" w:eastAsia="Calibri" w:hAnsi="Calibri"/>
          <w:sz w:val="21"/>
          <w:szCs w:val="21"/>
        </w:rPr>
        <w:t xml:space="preserve"> Ninguna exigencia se define por el nombre de un producto, protocolo o red. Cuando el pliego mencione uno a título ilustrativo, la mención va acompañada de «o equivalente» y de la remisión a DT-0·v3.</w:t>
      </w:r>
    </w:p>
    <w:p>
      <w:pPr>
        <w:pStyle w:val="ListParagraph"/>
        <w:numPr>
          <w:ilvl w:val="0"/>
          <w:numId w:val="2"/>
        </w:numPr>
        <w:spacing w:after="70" w:line="268"/>
      </w:pPr>
      <w:r>
        <w:rPr>
          <w:rFonts w:ascii="Calibri" w:cs="Calibri" w:eastAsia="Calibri" w:hAnsi="Calibri"/>
          <w:b/>
          <w:bCs/>
          <w:sz w:val="21"/>
          <w:szCs w:val="21"/>
        </w:rPr>
        <w:t xml:space="preserve">Coherencia con la cláusula técnica que la soporta.</w:t>
      </w:r>
      <w:r>
        <w:rPr>
          <w:rFonts w:ascii="Calibri" w:cs="Calibri" w:eastAsia="Calibri" w:hAnsi="Calibri"/>
          <w:sz w:val="21"/>
          <w:szCs w:val="21"/>
        </w:rPr>
        <w:t xml:space="preserve"> Ningún criterio de aceptación de este catálogo puede fijar un valor distinto del que fija la cláusula técnica de la que depende. Antes de transcribir, se coteja parámetro a parámetro. Un pliego que exija conservar un registro veinticuatro meses en su cláusula técnica y seis en el apéndice que transcribe este catálogo contiene una obligación indeterminada sobre el elemento del que cuelgan una penalidad y una obligación esencial.</w:t>
      </w:r>
    </w:p>
    <w:p>
      <w:pPr>
        <w:pStyle w:val="Heading3"/>
        <w:keepNext/>
        <w:spacing w:after="140" w:before="320"/>
      </w:pPr>
      <w:r>
        <w:rPr>
          <w:rFonts w:ascii="Georgia" w:cs="Georgia" w:eastAsia="Georgia" w:hAnsi="Georgia"/>
          <w:b/>
          <w:bCs/>
          <w:color w:val="2F5496"/>
          <w:sz w:val="22"/>
          <w:szCs w:val="22"/>
        </w:rPr>
        <w:t xml:space="preserve">V.A.2 Texto que se transcribe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ET-1. INTERFAZ NORMALIZADA DE ACCESO PROGRAMÁTICO PARA AGENTES DE INTELIGENCIA ARTIFICIAL</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Entrega de una interfaz de acceso programático que exponga de forma segura los datos y funciones de los módulos contratados a asistentes y agentes de inteligencia artificial operados bajo control del Ayuntamiento. La interfaz se define por las funciones que debe prestar y no por el protocolo que emplee; se admite cualquier protocolo abierto y documentado que satisfaga los criterios de aceptación, correspondiendo al licitador acreditar la equivalencia conforme a la cláusula DT-0·v3.</w:t>
            </w:r>
          </w:p>
          <w:p>
            <w:pPr>
              <w:spacing w:after="100" w:line="264"/>
            </w:pPr>
            <w:r>
              <w:rPr>
                <w:rFonts w:ascii="Georgia" w:cs="Georgia" w:eastAsia="Georgia" w:hAnsi="Georgia"/>
                <w:i/>
                <w:iCs/>
                <w:sz w:val="20"/>
                <w:szCs w:val="20"/>
              </w:rPr>
              <w:t xml:space="preserve">Ámbito y sede única de la relación.</w:t>
            </w:r>
            <w:r>
              <w:rPr>
                <w:rFonts w:ascii="Georgia" w:cs="Georgia" w:eastAsia="Georgia" w:hAnsi="Georgia"/>
                <w:sz w:val="20"/>
                <w:szCs w:val="20"/>
              </w:rPr>
              <w:t xml:space="preserve"> Los módulos alcanzados por esta exigencia, las funciones mínimas exigidas y, en bloque separado, las funciones adicionales que pueden ofertarse se relacionan de forma cerrada y numerada en el apartado de módulos y funciones de la interfaz normalizada que encabeza este mismo Apéndice técnico. </w:t>
            </w:r>
            <w:r>
              <w:rPr>
                <w:rFonts w:ascii="Georgia" w:cs="Georgia" w:eastAsia="Georgia" w:hAnsi="Georgia"/>
                <w:b/>
                <w:bCs/>
                <w:sz w:val="20"/>
                <w:szCs w:val="20"/>
              </w:rPr>
              <w:t xml:space="preserve">Esa relación es la única de este pliego sobre esta interfaz</w:t>
            </w:r>
            <w:r>
              <w:rPr>
                <w:rFonts w:ascii="Georgia" w:cs="Georgia" w:eastAsia="Georgia" w:hAnsi="Georgia"/>
                <w:sz w:val="20"/>
                <w:szCs w:val="20"/>
              </w:rPr>
              <w:t xml:space="preserve">: ningún otro documento del pliego contiene una relación distinta, y el exceso que valore el pliego de cláusulas administrativas particulares se mide exclusivamente sobre ella.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 o, si fuera posterior, desde la puesta en producción del módulo correspondiente.</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La interfaz expone, como mínimo, las funciones de consulta relacionadas como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en el apartado de módulos y funciones de este Apéndice técnico, sobre los módulos allí identificados, y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Se acredita mediante inventario de funciones expuestas y ejecución de cada una de ellas en el entorno de pruebas.</w:t>
            </w:r>
          </w:p>
          <w:p>
            <w:pPr>
              <w:pStyle w:val="ListParagraph"/>
              <w:numPr>
                <w:ilvl w:val="0"/>
                <w:numId w:val="2"/>
              </w:numPr>
              <w:spacing w:after="60" w:line="264"/>
            </w:pPr>
            <w:r>
              <w:rPr>
                <w:rFonts w:ascii="Georgia" w:cs="Georgia" w:eastAsia="Georgia" w:hAnsi="Georgia"/>
                <w:sz w:val="20"/>
                <w:szCs w:val="20"/>
              </w:rPr>
              <w:t xml:space="preserve">La autenticación y la autorización se integran con el directorio corporativo del Ayuntamiento. El control de acceso se diferencia por módulo, por operación y por ámbito de datos, y distingue las operaciones de consulta de las de escritura. Se acredita creando dos perfiles con permisos distintos y comprobando que cada uno accede sólo a lo suyo.</w:t>
            </w:r>
          </w:p>
          <w:p>
            <w:pPr>
              <w:pStyle w:val="ListParagraph"/>
              <w:numPr>
                <w:ilvl w:val="0"/>
                <w:numId w:val="2"/>
              </w:numPr>
              <w:spacing w:after="60" w:line="264"/>
            </w:pPr>
            <w:r>
              <w:rPr>
                <w:rFonts w:ascii="Georgia" w:cs="Georgia" w:eastAsia="Georgia" w:hAnsi="Georgia"/>
                <w:sz w:val="20"/>
                <w:szCs w:val="20"/>
              </w:rPr>
              <w:t xml:space="preserve">Toda consulta y toda acción realizada a través de la interfaz queda registrada con identificación del agente actuante, de la persona usuaria responsable, de la marca temporal y de los datos afectados. El registro es exportable en formato abierto y se conserva conforme a la política municipal, por un período no inferior a [X; se recomienda VEINTICUATRO (24)] meses, en coherencia con el plazo que para el mismo registro fija la cláusula DT-7·v3, apartado 3.c).</w:t>
            </w:r>
          </w:p>
          <w:p>
            <w:pPr>
              <w:pStyle w:val="ListParagraph"/>
              <w:numPr>
                <w:ilvl w:val="0"/>
                <w:numId w:val="2"/>
              </w:numPr>
              <w:spacing w:after="60" w:line="264"/>
            </w:pPr>
            <w:r>
              <w:rPr>
                <w:rFonts w:ascii="Georgia" w:cs="Georgia" w:eastAsia="Georgia" w:hAnsi="Georgia"/>
                <w:sz w:val="20"/>
                <w:szCs w:val="20"/>
              </w:rPr>
              <w:t xml:space="preserve">La documentación técnica de la interfaz está publicada y versionada, y comprende la especificación de las funciones, el modelo de permisos, el diccionario de datos y las instrucciones de despliegue.</w:t>
            </w:r>
          </w:p>
          <w:p>
            <w:pPr>
              <w:pStyle w:val="ListParagraph"/>
              <w:numPr>
                <w:ilvl w:val="0"/>
                <w:numId w:val="2"/>
              </w:numPr>
              <w:spacing w:after="60" w:line="264"/>
            </w:pPr>
            <w:r>
              <w:rPr>
                <w:rFonts w:ascii="Georgia" w:cs="Georgia" w:eastAsia="Georgia" w:hAnsi="Georgia"/>
                <w:sz w:val="20"/>
                <w:szCs w:val="20"/>
              </w:rPr>
              <w:t xml:space="preserve">El Ayuntamiento dispone de un entorno de pruebas con datos ficticios o anonimizados que permite verificar los criterios anteriores sin afectar al entorno de producción.</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Prueba de aceptación ejecutada por los servicios municipales sobre el entorno de pruebas, con ejecución efectiva de cada función y de cada criterio, documentada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ET-2. OPERACIÓN AUTÓNOMA SUPERVISADA</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Capacidad de la solución para ejecutar, a instancia de un agente de inteligencia artificial, secuencias de operaciones sobre los módulos contratados, dentro de límites configurables por el Ayuntamiento y bajo supervisión humana.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Los límites de actuación son configurables por el Ayuntamiento y permiten habilitar y deshabilitar de forma independiente cada operación susceptible de ser ejecutada por un agente. Se acredita deshabilitando una operación y comprobando que deja de estar disponible.</w:t>
            </w:r>
          </w:p>
          <w:p>
            <w:pPr>
              <w:pStyle w:val="ListParagraph"/>
              <w:numPr>
                <w:ilvl w:val="0"/>
                <w:numId w:val="2"/>
              </w:numPr>
              <w:spacing w:after="60" w:line="264"/>
            </w:pPr>
            <w:r>
              <w:rPr>
                <w:rFonts w:ascii="Georgia" w:cs="Georgia" w:eastAsia="Georgia" w:hAnsi="Georgia"/>
                <w:sz w:val="20"/>
                <w:szCs w:val="20"/>
              </w:rPr>
              <w:t xml:space="preserve">Las operaciones con efecto jurídico o económico requieren en todos los casos validación expresa de la persona competente antes de su ejecución, sin que exista configuración alguna que permita lo contrario. Se acredita intentando ejecutar una de ellas sin validación y comprobando que el sistema lo impide.</w:t>
            </w:r>
          </w:p>
          <w:p>
            <w:pPr>
              <w:pStyle w:val="ListParagraph"/>
              <w:numPr>
                <w:ilvl w:val="0"/>
                <w:numId w:val="2"/>
              </w:numPr>
              <w:spacing w:after="60" w:line="264"/>
            </w:pPr>
            <w:r>
              <w:rPr>
                <w:rFonts w:ascii="Georgia" w:cs="Georgia" w:eastAsia="Georgia" w:hAnsi="Georgia"/>
                <w:sz w:val="20"/>
                <w:szCs w:val="20"/>
              </w:rPr>
              <w:t xml:space="preserve">Existe un mecanismo de suspensión inmediata de la operación de agentes, accionable desde la propia solución por una persona usuaria del Ayuntamiento con perfil de administración, sin necesidad de solicitud, aviso ni intervención humana del adjudicatario, y cuyo efecto se produce en un plazo no superior a [X; se recomienda CINCO (5)] minutos. Se acredita accionándolo en el entorno de pruebas y comprobando que ninguna operación posterior se ejecuta.</w:t>
            </w:r>
          </w:p>
          <w:p>
            <w:pPr>
              <w:pStyle w:val="ListParagraph"/>
              <w:numPr>
                <w:ilvl w:val="0"/>
                <w:numId w:val="2"/>
              </w:numPr>
              <w:spacing w:after="60" w:line="264"/>
            </w:pPr>
            <w:r>
              <w:rPr>
                <w:rFonts w:ascii="Georgia" w:cs="Georgia" w:eastAsia="Georgia" w:hAnsi="Georgia"/>
                <w:sz w:val="20"/>
                <w:szCs w:val="20"/>
              </w:rPr>
              <w:t xml:space="preserve">Toda operación ejecutada por un agente es reversible desde la propia solución por una persona usuaria con perfil competente. Se acredita </w:t>
            </w:r>
            <w:r>
              <w:rPr>
                <w:rFonts w:ascii="Georgia" w:cs="Georgia" w:eastAsia="Georgia" w:hAnsi="Georgia"/>
                <w:b/>
                <w:bCs/>
                <w:sz w:val="20"/>
                <w:szCs w:val="20"/>
              </w:rPr>
              <w:t xml:space="preserve">revirtiendo efectivamente</w:t>
            </w:r>
            <w:r>
              <w:rPr>
                <w:rFonts w:ascii="Georgia" w:cs="Georgia" w:eastAsia="Georgia" w:hAnsi="Georgia"/>
                <w:sz w:val="20"/>
                <w:szCs w:val="20"/>
              </w:rPr>
              <w:t xml:space="preserve">, en la prueba de aceptación, al menos una operación de cada tipo habilitado, y comprobando que la reversión queda registrada conforme a ET-3.</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Demostración sobre el entorno de pruebas, con verificación de cada criterio mediante ejecución efectiva y documentación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ET-3. TRAZABILIDAD Y AUDITORÍA DE LA ACTUACIÓN DE AGENTES</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Registro íntegro y consultable de la actuación de agentes de inteligencia artificial sobre los datos y procesos del Ayuntamiento.</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El registro recoge consultas, propuestas y acciones, distinguiendo unas de otras.</w:t>
            </w:r>
          </w:p>
          <w:p>
            <w:pPr>
              <w:pStyle w:val="ListParagraph"/>
              <w:numPr>
                <w:ilvl w:val="0"/>
                <w:numId w:val="2"/>
              </w:numPr>
              <w:spacing w:after="60" w:line="264"/>
            </w:pPr>
            <w:r>
              <w:rPr>
                <w:rFonts w:ascii="Georgia" w:cs="Georgia" w:eastAsia="Georgia" w:hAnsi="Georgia"/>
                <w:sz w:val="20"/>
                <w:szCs w:val="20"/>
              </w:rPr>
              <w:t xml:space="preserve">El registro opera en modo sólo-anexado: la solución no ofrece, en ninguno de sus perfiles de administración, función alguna de modificación o borrado selectivo de asientos del registro. Las operaciones de purga por política de retención son configurables por el Ayuntamiento y quedan a su vez registradas. Se acredita revisando el catálogo de funciones de administración y comprobando en el entorno de pruebas que no existe tal función.</w:t>
            </w:r>
          </w:p>
          <w:p>
            <w:pPr>
              <w:pStyle w:val="ListParagraph"/>
              <w:numPr>
                <w:ilvl w:val="0"/>
                <w:numId w:val="2"/>
              </w:numPr>
              <w:spacing w:after="60" w:line="264"/>
            </w:pPr>
            <w:r>
              <w:rPr>
                <w:rFonts w:ascii="Georgia" w:cs="Georgia" w:eastAsia="Georgia" w:hAnsi="Georgia"/>
                <w:sz w:val="20"/>
                <w:szCs w:val="20"/>
              </w:rPr>
              <w:t xml:space="preserve">La solución entrega al Ayuntamiento, con periodicidad [X; se recomienda DIARIA], una copia exportada del registro acompañada de un resumen criptográfico que permita al Ayuntamiento detectar por sí mismo cualquier alteración posterior. Se acredita comprobando la entrega y verificando el resumen sobre una copia.</w:t>
            </w:r>
          </w:p>
          <w:p>
            <w:pPr>
              <w:pStyle w:val="ListParagraph"/>
              <w:numPr>
                <w:ilvl w:val="0"/>
                <w:numId w:val="2"/>
              </w:numPr>
              <w:spacing w:after="60" w:line="264"/>
            </w:pPr>
            <w:r>
              <w:rPr>
                <w:rFonts w:ascii="Georgia" w:cs="Georgia" w:eastAsia="Georgia" w:hAnsi="Georgia"/>
                <w:sz w:val="20"/>
                <w:szCs w:val="20"/>
              </w:rPr>
              <w:t xml:space="preserve">El registro es consultable por los servicios municipales mediante herramienta propia de la solución y exportable en formato estándar y abierto, sin intervención del adjudicatario.</w:t>
            </w:r>
          </w:p>
          <w:p>
            <w:pPr>
              <w:pStyle w:val="ListParagraph"/>
              <w:numPr>
                <w:ilvl w:val="0"/>
                <w:numId w:val="2"/>
              </w:numPr>
              <w:spacing w:after="60" w:line="264"/>
            </w:pPr>
            <w:r>
              <w:rPr>
                <w:rFonts w:ascii="Georgia" w:cs="Georgia" w:eastAsia="Georgia" w:hAnsi="Georgia"/>
                <w:sz w:val="20"/>
                <w:szCs w:val="20"/>
              </w:rPr>
              <w:t xml:space="preserve">El registro permite reconstruir, para cualquier operación registrada, el agente actuante, la persona usuaria responsable, la marca temporal y los datos consultados o modificados.</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Verificación documental, revisión del catálogo de funciones de administración y prueba de exportación y de verificación del resumen criptográfico sobre el entorno de pruebas.</w:t>
            </w:r>
          </w:p>
        </w:tc>
      </w:tr>
    </w:tbl>
    <w:p>
      <w:pPr>
        <w:spacing w:after="220"/>
      </w:pPr>
    </w:p>
    <w:p>
      <w:pPr>
        <w:spacing w:after="140" w:line="276"/>
      </w:pPr>
      <w:r>
        <w:rPr>
          <w:rFonts w:ascii="Calibri" w:cs="Calibri" w:eastAsia="Calibri" w:hAnsi="Calibri"/>
          <w:b/>
          <w:bCs/>
          <w:sz w:val="21"/>
          <w:szCs w:val="21"/>
        </w:rPr>
        <w:t xml:space="preserve">Nota de alcance sobre ET-2, fuera del texto que se copia al pliego.</w:t>
      </w:r>
      <w:r>
        <w:rPr>
          <w:rFonts w:ascii="Calibri" w:cs="Calibri" w:eastAsia="Calibri" w:hAnsi="Calibri"/>
          <w:sz w:val="21"/>
          <w:szCs w:val="21"/>
        </w:rPr>
        <w:t xml:space="preserve"> El pliego identifica expresamente qué operaciones se habilitan a los agentes: la exigencia no consiste en habilitarlas todas. Cuando el objeto del contrato sostenga procedimientos con efecto económico o registral —contabilidad, recaudación, padrón, registro—, la recomendación es habilitar únicamente operaciones sin ese efecto y dejar la escritura para una licitación posterior, con el catálogo actualizado y el circuito de autorización resuelto. Una exigencia acotada que se cumple vale más que una amplia que se incumple desde el primer año.</w:t>
      </w:r>
    </w:p>
    <w:p>
      <w:pPr>
        <w:pStyle w:val="Heading3"/>
        <w:keepNext/>
        <w:spacing w:after="140" w:before="320"/>
      </w:pPr>
      <w:r>
        <w:rPr>
          <w:rFonts w:ascii="Georgia" w:cs="Georgia" w:eastAsia="Georgia" w:hAnsi="Georgia"/>
          <w:b/>
          <w:bCs/>
          <w:color w:val="2F5496"/>
          <w:sz w:val="22"/>
          <w:szCs w:val="22"/>
        </w:rPr>
        <w:t xml:space="preserve">V.A.3 Qué se ha corregido respecto de la propuesta de origen, y por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original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Redacción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4: «Las actuaciones ejecutadas son reversibles, </w:t>
            </w:r>
            <w:r>
              <w:rPr>
                <w:rFonts w:ascii="Calibri" w:cs="Calibri" w:eastAsia="Calibri" w:hAnsi="Calibri"/>
                <w:b/>
                <w:bCs/>
                <w:sz w:val="18"/>
                <w:szCs w:val="18"/>
              </w:rPr>
              <w:t xml:space="preserve">o consta el procedimiento documentado</w:t>
            </w:r>
            <w:r>
              <w:rPr>
                <w:rFonts w:ascii="Calibri" w:cs="Calibri" w:eastAsia="Calibri" w:hAnsi="Calibri"/>
                <w:b w:val="false"/>
                <w:bCs w:val="false"/>
                <w:sz w:val="18"/>
                <w:szCs w:val="18"/>
              </w:rPr>
              <w:t xml:space="preserve"> para revertir sus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alternativa hace el criterio no binario: un documento describiendo un procedimiento no acredita que la reversión funcione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alternativa. Se acredita revirtiendo efectivamente una operación de cada tipo en la prueba de aceptación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 suspensión «accionable por el Ayuntamiento </w:t>
            </w:r>
            <w:r>
              <w:rPr>
                <w:rFonts w:ascii="Calibri" w:cs="Calibri" w:eastAsia="Calibri" w:hAnsi="Calibri"/>
                <w:b/>
                <w:bCs/>
                <w:sz w:val="18"/>
                <w:szCs w:val="18"/>
              </w:rPr>
              <w:t xml:space="preserve">sin intervención del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una solución operada por el adjudicatario, la exigencia leída literalmente es de imposible acreditación: todo el sistema está bajo su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reformula como capacidad concreta: función accionable desde la solución por un perfil municipal, sin solicitud ni aviso previo, con efecto en un plazo máximo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1: registro «</w:t>
            </w:r>
            <w:r>
              <w:rPr>
                <w:rFonts w:ascii="Calibri" w:cs="Calibri" w:eastAsia="Calibri" w:hAnsi="Calibri"/>
                <w:b/>
                <w:bCs/>
                <w:sz w:val="18"/>
                <w:szCs w:val="18"/>
              </w:rPr>
              <w:t xml:space="preserve">inalterable por el propio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acreditar una imposibilidad absoluta sobre un sistema que el propio adjudicatario administra. Un criterio de aceptación que nadie puede acreditar no protege: restringe la concurrencia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por tres controles verificables: modo sólo-anexado, ausencia de función de modificación o borrado selectivo en los perfiles de administración, y entrega periódica de copia con resumen criptográfico que permite al Ayuntamiento detectar alteraciones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criterio 1: relación de módulos abierta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ámbito universal rompe la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relación de módulos, de funciones mínimas y de funciones adicionales ofertables se publica cerrada y numerada en el apartado inicial del Apéndice técnico 2 · Exigencias tecnológicas determinadas, que es su </w:t>
            </w:r>
            <w:r>
              <w:rPr>
                <w:rFonts w:ascii="Calibri" w:cs="Calibri" w:eastAsia="Calibri" w:hAnsi="Calibri"/>
                <w:b/>
                <w:bCs/>
                <w:sz w:val="18"/>
                <w:szCs w:val="18"/>
              </w:rPr>
              <w:t xml:space="preserve">única</w:t>
            </w:r>
            <w:r>
              <w:rPr>
                <w:rFonts w:ascii="Calibri" w:cs="Calibri" w:eastAsia="Calibri" w:hAnsi="Calibri"/>
                <w:b w:val="false"/>
                <w:bCs w:val="false"/>
                <w:sz w:val="18"/>
                <w:szCs w:val="18"/>
              </w:rPr>
              <w:t xml:space="preserve"> sede en el pliego (Anexo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V.A.4 Procedimiento de revisión anual</w:t>
      </w:r>
    </w:p>
    <w:p>
      <w:pPr>
        <w:pStyle w:val="ListParagraph"/>
        <w:numPr>
          <w:ilvl w:val="0"/>
          <w:numId w:val="2"/>
        </w:numPr>
        <w:spacing w:after="70" w:line="268"/>
      </w:pPr>
      <w:r>
        <w:rPr>
          <w:rFonts w:ascii="Calibri" w:cs="Calibri" w:eastAsia="Calibri" w:hAnsi="Calibri"/>
          <w:sz w:val="21"/>
          <w:szCs w:val="21"/>
        </w:rPr>
        <w:t xml:space="preserve">Con anterioridad al inicio de cada ejercicio, los servicios técnicos municipales elaboran una </w:t>
      </w:r>
      <w:r>
        <w:rPr>
          <w:rFonts w:ascii="Calibri" w:cs="Calibri" w:eastAsia="Calibri" w:hAnsi="Calibri"/>
          <w:b/>
          <w:bCs/>
          <w:sz w:val="21"/>
          <w:szCs w:val="21"/>
        </w:rPr>
        <w:t xml:space="preserve">propuesta de actualización</w:t>
      </w:r>
      <w:r>
        <w:rPr>
          <w:rFonts w:ascii="Calibri" w:cs="Calibri" w:eastAsia="Calibri" w:hAnsi="Calibri"/>
          <w:sz w:val="21"/>
          <w:szCs w:val="21"/>
        </w:rPr>
        <w:t xml:space="preserve">, identificando las capacidades que pasan a ser exigibles, las que se mantienen y las que se suprimen por haberse generalizado o quedado superadas.</w:t>
      </w:r>
    </w:p>
    <w:p>
      <w:pPr>
        <w:pStyle w:val="ListParagraph"/>
        <w:numPr>
          <w:ilvl w:val="0"/>
          <w:numId w:val="2"/>
        </w:numPr>
        <w:spacing w:after="70" w:line="268"/>
      </w:pPr>
      <w:r>
        <w:rPr>
          <w:rFonts w:ascii="Calibri" w:cs="Calibri" w:eastAsia="Calibri" w:hAnsi="Calibri"/>
          <w:sz w:val="21"/>
          <w:szCs w:val="21"/>
        </w:rPr>
        <w:t xml:space="preserve">La propuesta se acompaña del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que acredita que las exigencias son alcanzables en el plazo previsto por una pluralidad de operadores. Cuando se articule mediante consulta preliminar del mercado, se está a lo previsto en la Parte V, V.4.13 —que regula cómo se publica y cómo se documenta— y en la Parte IV, M3, que explica por qué su carácter anual y centralizado es lo que acredita la neutralidad. El modelo de anuncio y de informe está en el Anexo XXII. No se reproduce aquí ese régimen: sólo se hace constar que su documentación sirve a la vez para todos los expedientes del ejercicio.</w:t>
      </w:r>
    </w:p>
    <w:p>
      <w:pPr>
        <w:pStyle w:val="ListParagraph"/>
        <w:numPr>
          <w:ilvl w:val="0"/>
          <w:numId w:val="2"/>
        </w:numPr>
        <w:spacing w:after="70" w:line="268"/>
      </w:pPr>
      <w:r>
        <w:rPr>
          <w:rFonts w:ascii="Calibri" w:cs="Calibri" w:eastAsia="Calibri" w:hAnsi="Calibri"/>
          <w:sz w:val="21"/>
          <w:szCs w:val="21"/>
        </w:rPr>
        <w:t xml:space="preserve">La propuesta se somete al </w:t>
      </w:r>
      <w:r>
        <w:rPr>
          <w:rFonts w:ascii="Calibri" w:cs="Calibri" w:eastAsia="Calibri" w:hAnsi="Calibri"/>
          <w:b/>
          <w:bCs/>
          <w:sz w:val="21"/>
          <w:szCs w:val="21"/>
        </w:rPr>
        <w:t xml:space="preserve">informe del órgano al que corresponda el informe jurídico</w:t>
      </w:r>
      <w:r>
        <w:rPr>
          <w:rFonts w:ascii="Calibri" w:cs="Calibri" w:eastAsia="Calibri" w:hAnsi="Calibri"/>
          <w:sz w:val="21"/>
          <w:szCs w:val="21"/>
        </w:rPr>
        <w:t xml:space="preserve"> (Asesoría Jurídica en municipios de gran población; Secretaría en el régimen común).</w:t>
      </w:r>
    </w:p>
    <w:p>
      <w:pPr>
        <w:pStyle w:val="ListParagraph"/>
        <w:numPr>
          <w:ilvl w:val="0"/>
          <w:numId w:val="2"/>
        </w:numPr>
        <w:spacing w:after="70" w:line="268"/>
      </w:pPr>
      <w:r>
        <w:rPr>
          <w:rFonts w:ascii="Calibri" w:cs="Calibri" w:eastAsia="Calibri" w:hAnsi="Calibri"/>
          <w:sz w:val="21"/>
          <w:szCs w:val="21"/>
        </w:rPr>
        <w:t xml:space="preserve">El catálogo actualizado se aprueba por </w:t>
      </w:r>
      <w:r>
        <w:rPr>
          <w:rFonts w:ascii="Calibri" w:cs="Calibri" w:eastAsia="Calibri" w:hAnsi="Calibri"/>
          <w:b/>
          <w:bCs/>
          <w:sz w:val="21"/>
          <w:szCs w:val="21"/>
        </w:rPr>
        <w:t xml:space="preserve">el órgano competente identificado en el acuerdo del Anexo VIII</w:t>
      </w:r>
      <w:r>
        <w:rPr>
          <w:rFonts w:ascii="Calibri" w:cs="Calibri" w:eastAsia="Calibri" w:hAnsi="Calibri"/>
          <w:sz w:val="21"/>
          <w:szCs w:val="21"/>
        </w:rPr>
        <w:t xml:space="preserve">, y se publica en el perfil de contratante con su número de versión y su fecha antes de incorporarse a ningún pliego.</w:t>
      </w:r>
    </w:p>
    <w:p>
      <w:pPr>
        <w:pStyle w:val="ListParagraph"/>
        <w:numPr>
          <w:ilvl w:val="0"/>
          <w:numId w:val="2"/>
        </w:numPr>
        <w:spacing w:after="70" w:line="268"/>
      </w:pPr>
      <w:r>
        <w:rPr>
          <w:rFonts w:ascii="Calibri" w:cs="Calibri" w:eastAsia="Calibri" w:hAnsi="Calibri"/>
          <w:sz w:val="21"/>
          <w:szCs w:val="21"/>
        </w:rPr>
        <w:t xml:space="preserve">La revisión </w:t>
      </w:r>
      <w:r>
        <w:rPr>
          <w:rFonts w:ascii="Calibri" w:cs="Calibri" w:eastAsia="Calibri" w:hAnsi="Calibri"/>
          <w:b/>
          <w:bCs/>
          <w:sz w:val="21"/>
          <w:szCs w:val="21"/>
        </w:rPr>
        <w:t xml:space="preserve">no</w:t>
      </w:r>
      <w:r>
        <w:rPr>
          <w:rFonts w:ascii="Calibri" w:cs="Calibri" w:eastAsia="Calibri" w:hAnsi="Calibri"/>
          <w:sz w:val="21"/>
          <w:szCs w:val="21"/>
        </w:rPr>
        <w:t xml:space="preserve"> reabre el clausulado: el articulado es estable y el catálogo es volátil. Esa separación es lo que permite que la revisión anual ocurra de verdad.</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 · TABLA DE DEPENDENCIAS</w:t>
      </w:r>
    </w:p>
    <w:p>
      <w:pPr>
        <w:spacing w:after="140" w:line="276"/>
      </w:pPr>
      <w:r>
        <w:rPr>
          <w:rFonts w:ascii="Calibri" w:cs="Calibri" w:eastAsia="Calibri" w:hAnsi="Calibri"/>
          <w:sz w:val="21"/>
          <w:szCs w:val="21"/>
        </w:rPr>
        <w:t xml:space="preserve">Función: evitar el pliego contradictorio. Cuando una cláusula se marca NO APLICA, sus menciones sobreviven en el resto del documento: en el cuadro de penalidades, en la lista de obligaciones esenciales, en el baremo, en la declaración responsable y en las remisiones internas. Un pliego que penaliza el incumplimiento de una cláusula que no ha incorporado es un pliego indeterminado.</w:t>
      </w:r>
    </w:p>
    <w:p>
      <w:pPr>
        <w:spacing w:after="140" w:line="276"/>
      </w:pPr>
      <w:r>
        <w:rPr>
          <w:rFonts w:ascii="Calibri" w:cs="Calibri" w:eastAsia="Calibri" w:hAnsi="Calibri"/>
          <w:b/>
          <w:bCs/>
          <w:sz w:val="21"/>
          <w:szCs w:val="21"/>
        </w:rPr>
        <w:t xml:space="preserve">Regla de ejecución:</w:t>
      </w:r>
      <w:r>
        <w:rPr>
          <w:rFonts w:ascii="Calibri" w:cs="Calibri" w:eastAsia="Calibri" w:hAnsi="Calibri"/>
          <w:sz w:val="21"/>
          <w:szCs w:val="21"/>
        </w:rPr>
        <w:t xml:space="preserve"> la depuración se hace </w:t>
      </w:r>
      <w:r>
        <w:rPr>
          <w:rFonts w:ascii="Calibri" w:cs="Calibri" w:eastAsia="Calibri" w:hAnsi="Calibri"/>
          <w:b/>
          <w:bCs/>
          <w:sz w:val="21"/>
          <w:szCs w:val="21"/>
        </w:rPr>
        <w:t xml:space="preserve">antes</w:t>
      </w:r>
      <w:r>
        <w:rPr>
          <w:rFonts w:ascii="Calibri" w:cs="Calibri" w:eastAsia="Calibri" w:hAnsi="Calibri"/>
          <w:sz w:val="21"/>
          <w:szCs w:val="21"/>
        </w:rPr>
        <w:t xml:space="preserve"> de aprobar el pliego, se marca en la casilla de cierre de la ficha del Anexo II, y consiste en </w:t>
      </w:r>
      <w:r>
        <w:rPr>
          <w:rFonts w:ascii="Calibri" w:cs="Calibri" w:eastAsia="Calibri" w:hAnsi="Calibri"/>
          <w:b/>
          <w:bCs/>
          <w:sz w:val="21"/>
          <w:szCs w:val="21"/>
        </w:rPr>
        <w:t xml:space="preserve">suprimir</w:t>
      </w:r>
      <w:r>
        <w:rPr>
          <w:rFonts w:ascii="Calibri" w:cs="Calibri" w:eastAsia="Calibri" w:hAnsi="Calibri"/>
          <w:sz w:val="21"/>
          <w:szCs w:val="21"/>
        </w:rPr>
        <w:t xml:space="preserve">, no en dejar el texto «por si acaso». Y cuando la supresión afecta a un criterio de adjudicación, el baremo se </w:t>
      </w:r>
      <w:r>
        <w:rPr>
          <w:rFonts w:ascii="Calibri" w:cs="Calibri" w:eastAsia="Calibri" w:hAnsi="Calibri"/>
          <w:b/>
          <w:bCs/>
          <w:sz w:val="21"/>
          <w:szCs w:val="21"/>
        </w:rPr>
        <w:t xml:space="preserve">recompone antes de publicar el anuncio</w:t>
      </w:r>
      <w:r>
        <w:rPr>
          <w:rFonts w:ascii="Calibri" w:cs="Calibri" w:eastAsia="Calibri" w:hAnsi="Calibri"/>
          <w:sz w:val="21"/>
          <w:szCs w:val="21"/>
        </w:rPr>
        <w:t xml:space="preserve">; una vez publicado el pliego, el reescalado está prohibido (Parte I, §7.8.b).</w:t>
      </w:r>
    </w:p>
    <w:p>
      <w:pPr>
        <w:spacing w:after="140" w:line="276"/>
      </w:pPr>
      <w:r>
        <w:rPr>
          <w:rFonts w:ascii="Calibri" w:cs="Calibri" w:eastAsia="Calibri" w:hAnsi="Calibri"/>
          <w:b/>
          <w:bCs/>
          <w:sz w:val="21"/>
          <w:szCs w:val="21"/>
        </w:rPr>
        <w:t xml:space="preserve">Ésta es la tabla única de dependencias del documento.</w:t>
      </w:r>
      <w:r>
        <w:rPr>
          <w:rFonts w:ascii="Calibri" w:cs="Calibri" w:eastAsia="Calibri" w:hAnsi="Calibri"/>
          <w:sz w:val="21"/>
          <w:szCs w:val="21"/>
        </w:rPr>
        <w:t xml:space="preserve"> Las Partes 0 a V remiten a ella y no contienen ninguna otra.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llegar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spacing w:after="140" w:line="276"/>
      </w:pPr>
      <w:r>
        <w:rPr>
          <w:rFonts w:ascii="Calibri" w:cs="Calibri" w:eastAsia="Calibri" w:hAnsi="Calibri"/>
          <w:b/>
          <w:bCs/>
          <w:sz w:val="21"/>
          <w:szCs w:val="21"/>
        </w:rPr>
        <w:t xml:space="preserve">Aviso sobre DT-6·v3.</w:t>
      </w:r>
      <w:r>
        <w:rPr>
          <w:rFonts w:ascii="Calibri" w:cs="Calibri" w:eastAsia="Calibri" w:hAnsi="Calibri"/>
          <w:sz w:val="21"/>
          <w:szCs w:val="21"/>
        </w:rPr>
        <w:t xml:space="preserve"> Marcar DT-6·v3 como NO APLICA en un contrato que comprenda sistemas de información del sector público contradice el art. 2.3, párrafo segundo, del RD 311/2022, que ordena que los pliegos contemplen los requisitos necesarios para asegurar la conformidad con el Esquema Nacional de Seguridad. La supresión sólo cabe cuando el objeto quede materialmente fuera de ese ámbito, y se motiva.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marca NO APLICA…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…hay que suprimir o ajustar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puede marcarse NO APLICA</w:t>
            </w:r>
            <w:r>
              <w:rPr>
                <w:rFonts w:ascii="Calibri" w:cs="Calibri" w:eastAsia="Calibri" w:hAnsi="Calibri"/>
                <w:b w:val="false"/>
                <w:bCs w:val="false"/>
                <w:sz w:val="18"/>
                <w:szCs w:val="18"/>
              </w:rPr>
              <w:t xml:space="preserve"> en ningún pliego que mencione un producto, protocolo, norma, red o marca. Si el pliego no menciona ninguno, decae por falta de objeto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al reparto de papeles en DT-4·v3 y DT-7·v3 · criterio E del baremo (plan de gobernanza) · apartado correspondiente de la declaración responsable · fila del cuadro de penalidades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criterio del baremo que, en su caso, hubiera valorado esa capacidad</w:t>
            </w:r>
            <w:r>
              <w:rPr>
                <w:rFonts w:ascii="Calibri" w:cs="Calibri" w:eastAsia="Calibri" w:hAnsi="Calibri"/>
                <w:b w:val="false"/>
                <w:bCs w:val="false"/>
                <w:sz w:val="18"/>
                <w:szCs w:val="18"/>
              </w:rPr>
              <w:t xml:space="preserve">, si el órgano de contratación lo hubiera añadido (con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nunca reescalado una vez publicado el pliego: Parte I, §7.8.b) · fila del cuadro maestro · fila de penalidades · toda mención a redes o infraestructuras nominadas · entradas del glosario que sólo la sirvan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inventario criptográfico y plan de transición · fila de penalidades · mención en la declaración responsable · toda referencia a algoritmos o normas criptográficas nominadas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H del baremo</w:t>
            </w:r>
            <w:r>
              <w:rPr>
                <w:rFonts w:ascii="Calibri" w:cs="Calibri" w:eastAsia="Calibri" w:hAnsi="Calibri"/>
                <w:b w:val="false"/>
                <w:bCs w:val="false"/>
                <w:sz w:val="18"/>
                <w:szCs w:val="18"/>
              </w:rPr>
              <w:t xml:space="preserve"> (procesos automatizados adicionales de la lista cerrada) y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 lista cerrada de procesos del PPT · fila de penalidades · apartado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Excepción del régimen de equivalencia para los servicios comunes de obligada utilización </w:t>
            </w:r>
            <w:r>
              <w:rPr>
                <w:rFonts w:ascii="Calibri" w:cs="Calibri" w:eastAsia="Calibri" w:hAnsi="Calibri"/>
                <w:b/>
                <w:bCs/>
                <w:sz w:val="18"/>
                <w:szCs w:val="18"/>
              </w:rPr>
              <w:t xml:space="preserve">relacionados en DT-5·v3, apartado 2</w:t>
            </w:r>
            <w:r>
              <w:rPr>
                <w:rFonts w:ascii="Calibri" w:cs="Calibri" w:eastAsia="Calibri" w:hAnsi="Calibri"/>
                <w:b w:val="false"/>
                <w:bCs w:val="false"/>
                <w:sz w:val="18"/>
                <w:szCs w:val="18"/>
              </w:rPr>
              <w:t xml:space="preserve"> (queda sin objeto) · requisito de integración con el directorio corporativo de ET-1 criterio 2 · referencias de ADM-8·v3 a la portabilidad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Acreditación de conformidad de ADM-1·v3 · umbral de activación de ADM-11·v3: </w:t>
            </w:r>
            <w:r>
              <w:rPr>
                <w:rFonts w:ascii="Calibri" w:cs="Calibri" w:eastAsia="Calibri" w:hAnsi="Calibri"/>
                <w:b/>
                <w:bCs/>
                <w:sz w:val="18"/>
                <w:szCs w:val="18"/>
              </w:rPr>
              <w:t xml:space="preserve">ADM-11·v3 decae por completo</w:t>
            </w:r>
            <w:r>
              <w:rPr>
                <w:rFonts w:ascii="Calibri" w:cs="Calibri" w:eastAsia="Calibri" w:hAnsi="Calibri"/>
                <w:b w:val="false"/>
                <w:bCs w:val="false"/>
                <w:sz w:val="18"/>
                <w:szCs w:val="18"/>
              </w:rPr>
              <w:t xml:space="preserve">, porque la categoría ALTA en disponibilidad es una de las cuatro circunstancias acumulativas de su apartado 1 y la lista tasada de servicios no es una vía alternativa · fila de penalidades · casilla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ET-1, ET-2 y ET-3 completas</w:t>
            </w:r>
            <w:r>
              <w:rPr>
                <w:rFonts w:ascii="Calibri" w:cs="Calibri" w:eastAsia="Calibri" w:hAnsi="Calibri"/>
                <w:b w:val="false"/>
                <w:bCs w:val="false"/>
                <w:sz w:val="18"/>
                <w:szCs w:val="18"/>
              </w:rPr>
              <w:t xml:space="preserve"> y su transcripción en el PPT · </w:t>
            </w:r>
            <w:r>
              <w:rPr>
                <w:rFonts w:ascii="Calibri" w:cs="Calibri" w:eastAsia="Calibri" w:hAnsi="Calibri"/>
                <w:b/>
                <w:bCs/>
                <w:sz w:val="18"/>
                <w:szCs w:val="18"/>
              </w:rPr>
              <w:t xml:space="preserve">criterios A y B del baremo</w:t>
            </w:r>
            <w:r>
              <w:rPr>
                <w:rFonts w:ascii="Calibri" w:cs="Calibri" w:eastAsia="Calibri" w:hAnsi="Calibri"/>
                <w:b w:val="false"/>
                <w:bCs w:val="false"/>
                <w:sz w:val="18"/>
                <w:szCs w:val="18"/>
              </w:rPr>
              <w:t xml:space="preserve"> y recomposición del baremo antes de publicar el anuncio · caso de uso de la demostración, si versa sobre la interfaz · alcance de ADM-2·v3 · filas de penalidades · lista de obligaciones esenciales de ADM-6·v3 · apartado de la declaración responsable · Plan Anual de ADM-10·v3 en lo referido a la interfaz</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Contenido del depósito de ADM-11·v3 · vinculación del plazo de garantía al </w:t>
            </w:r>
            <w:r>
              <w:rPr>
                <w:rFonts w:ascii="Calibri" w:cs="Calibri" w:eastAsia="Calibri" w:hAnsi="Calibri"/>
                <w:b/>
                <w:bCs/>
                <w:sz w:val="18"/>
                <w:szCs w:val="18"/>
              </w:rPr>
              <w:t xml:space="preserve">acta de reversión (DT-8·v3, apartado 8) o, en su defecto, al vencimiento del plazo previsto en dicho apartado para levantarla</w:t>
            </w:r>
            <w:r>
              <w:rPr>
                <w:rFonts w:ascii="Calibri" w:cs="Calibri" w:eastAsia="Calibri" w:hAnsi="Calibri"/>
                <w:b w:val="false"/>
                <w:bCs w:val="false"/>
                <w:sz w:val="18"/>
                <w:szCs w:val="18"/>
              </w:rPr>
              <w:t xml:space="preserve"> · filas de penalidades · lista de esenciales · apartado de la declaración responsable · referencias de ADM-8·v3 al inventario de componentes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 el Anexo V y su transcripción</w:t>
            </w:r>
            <w:r>
              <w:rPr>
                <w:rFonts w:ascii="Calibri" w:cs="Calibri" w:eastAsia="Calibri" w:hAnsi="Calibri"/>
                <w:b w:val="false"/>
                <w:bCs w:val="false"/>
                <w:sz w:val="18"/>
                <w:szCs w:val="18"/>
              </w:rPr>
              <w:t xml:space="preserve"> —esto es, el apartado 2 del Apéndice técnico 2, no el apartado 1, que lo exige DT-7·v3 por sí sola— · ADM-2·v3 completa (queda sin alcance) · ADM-3·v3 en lo referido a plazos del catálogo · filas de penalidades · lista de esenciales · ADM-14·v3, que sólo opera sobre capacidades no determinadas en el catálogo. </w:t>
            </w:r>
            <w:r>
              <w:rPr>
                <w:rFonts w:ascii="Calibri" w:cs="Calibri" w:eastAsia="Calibri" w:hAnsi="Calibri"/>
                <w:b/>
                <w:bCs/>
                <w:sz w:val="18"/>
                <w:szCs w:val="18"/>
              </w:rPr>
              <w:t xml:space="preserve">Los criterios A y B del baremo no decaen por esta sola marca</w:t>
            </w:r>
            <w:r>
              <w:rPr>
                <w:rFonts w:ascii="Calibri" w:cs="Calibri" w:eastAsia="Calibri" w:hAnsi="Calibri"/>
                <w:b w:val="false"/>
                <w:bCs w:val="false"/>
                <w:sz w:val="18"/>
                <w:szCs w:val="18"/>
              </w:rPr>
              <w:t xml:space="preserve">: miden sobre la relación de módulos y funciones del apartado 1 del Apéndice técnico 2 y sobre el plazo de DT-7·v3, apartado 5, y decaen únicamente si se marca NO APLICA DT-7·v3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(bloque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Casilla de la declaración responsable sobre obtención de la certificación · fila de penalidades · cuadro de certificaciones y equivalencias del Anexo XXI. </w:t>
            </w:r>
            <w:r>
              <w:rPr>
                <w:rFonts w:ascii="Calibri" w:cs="Calibri" w:eastAsia="Calibri" w:hAnsi="Calibri"/>
                <w:b/>
                <w:bCs/>
                <w:sz w:val="18"/>
                <w:szCs w:val="18"/>
              </w:rPr>
              <w:t xml:space="preserve">No afecta al criterio E</w:t>
            </w:r>
            <w:r>
              <w:rPr>
                <w:rFonts w:ascii="Calibri" w:cs="Calibri" w:eastAsia="Calibri" w:hAnsi="Calibri"/>
                <w:b w:val="false"/>
                <w:bCs w:val="false"/>
                <w:sz w:val="18"/>
                <w:szCs w:val="18"/>
              </w:rPr>
              <w:t xml:space="preserve">, que valora el plan del contrato y no la certificación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en lo referido a plazos de adaptación · filas de penalidades por incumplimiento del catálogo · lista de esenciales · hitos de ADM-10·v3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 bloque 2</w:t>
            </w:r>
            <w:r>
              <w:rPr>
                <w:rFonts w:ascii="Calibri" w:cs="Calibri" w:eastAsia="Calibri" w:hAnsi="Calibri"/>
                <w:b w:val="false"/>
                <w:bCs w:val="false"/>
                <w:sz w:val="18"/>
                <w:szCs w:val="18"/>
              </w:rPr>
              <w:t xml:space="preserve"> (bolsa de evolutivos)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F del baremo</w:t>
            </w:r>
            <w:r>
              <w:rPr>
                <w:rFonts w:ascii="Calibri" w:cs="Calibri" w:eastAsia="Calibri" w:hAnsi="Calibri"/>
                <w:b w:val="false"/>
                <w:bCs w:val="false"/>
                <w:sz w:val="18"/>
                <w:szCs w:val="18"/>
              </w:rPr>
              <w:t xml:space="preserve"> (precio unitario ponderado) y recomposición del baremo antes de publicar el anuncio · Cuadro de Precios Unitarios, salvo que se conserve para ADM-14·v3 · partida correspondiente del presupuesto base de licitación y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probatorio de las actas en el sistema de acreditación de ADM-2·v3 (hay que sustituirlo por otro medio tasado) · fecha cierta de los hitos esenciales de ADM-6·v3 · periodicidad de verificación del Anexo 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columna «verificable conforme a ADM-9·v3» de los criterios del baremo · el guion, la relación cerrada y numerada de elementos verificables y la matriz de comprobación · las reglas de momento procedimental del PCAP · el apartado de la declaración responsable. </w:t>
            </w:r>
            <w:r>
              <w:rPr>
                <w:rFonts w:ascii="Calibri" w:cs="Calibri" w:eastAsia="Calibri" w:hAnsi="Calibri"/>
                <w:b/>
                <w:bCs/>
                <w:sz w:val="18"/>
                <w:szCs w:val="18"/>
              </w:rPr>
              <w:t xml:space="preserve">No arrastra la supresión de ningún criterio</w:t>
            </w:r>
            <w:r>
              <w:rPr>
                <w:rFonts w:ascii="Calibri" w:cs="Calibri" w:eastAsia="Calibri" w:hAnsi="Calibri"/>
                <w:b w:val="false"/>
                <w:bCs w:val="false"/>
                <w:sz w:val="18"/>
                <w:szCs w:val="18"/>
              </w:rPr>
              <w:t xml:space="preserve">: ADM-9·v3 no reparte puntos, y los criterios que comprueba se valoran igual sobre la memoria técnica escrita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Hitos aprobados como esenciales en ADM-6·v3 · modelo de Plan Anual de Evolución Tecnológica del Anexo XIV · fila de penalidades por falta de presentación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sobre constitución, actualización, verificación y liberación del depósito · lista de esenciales · </w:t>
            </w:r>
            <w:r>
              <w:rPr>
                <w:rFonts w:ascii="Calibri" w:cs="Calibri" w:eastAsia="Calibri" w:hAnsi="Calibri"/>
                <w:b/>
                <w:bCs/>
                <w:sz w:val="18"/>
                <w:szCs w:val="18"/>
              </w:rPr>
              <w:t xml:space="preserve">partida del presupuesto base de licitación</w:t>
            </w:r>
            <w:r>
              <w:rPr>
                <w:rFonts w:ascii="Calibri" w:cs="Calibri" w:eastAsia="Calibri" w:hAnsi="Calibri"/>
                <w:b w:val="false"/>
                <w:bCs w:val="false"/>
                <w:sz w:val="18"/>
                <w:szCs w:val="18"/>
              </w:rPr>
              <w:t xml:space="preserve"> y recálculo del valor estimado · apartado de la declaración responsable · referencia de DT-8·v3 al contenido depositado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 lista de esenciales · </w:t>
            </w:r>
            <w:r>
              <w:rPr>
                <w:rFonts w:ascii="Calibri" w:cs="Calibri" w:eastAsia="Calibri" w:hAnsi="Calibri"/>
                <w:b/>
                <w:bCs/>
                <w:sz w:val="18"/>
                <w:szCs w:val="18"/>
              </w:rPr>
              <w:t xml:space="preserve">número de accesos incluidos en el precio</w:t>
            </w:r>
            <w:r>
              <w:rPr>
                <w:rFonts w:ascii="Calibri" w:cs="Calibri" w:eastAsia="Calibri" w:hAnsi="Calibri"/>
                <w:b w:val="false"/>
                <w:bCs w:val="false"/>
                <w:sz w:val="18"/>
                <w:szCs w:val="18"/>
              </w:rPr>
              <w:t xml:space="preserve"> y su reflejo en el presupuesto · apartado de la declaración responsable · referencia del informe de necesidad a la necesidad declarada por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esenciales · apartado de declaración de sistemas de IA en la oferta · fila de penalidades · referencia a la política municipal de uso de inteligencia artificial generativa del Anexo XVI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Recálculo del valor estimado</w:t>
            </w:r>
            <w:r>
              <w:rPr>
                <w:rFonts w:ascii="Calibri" w:cs="Calibri" w:eastAsia="Calibri" w:hAnsi="Calibri"/>
                <w:b w:val="false"/>
                <w:bCs w:val="false"/>
                <w:sz w:val="18"/>
                <w:szCs w:val="18"/>
              </w:rPr>
              <w:t xml:space="preserve"> (arts. 101.2.c y 101.5) y comprobación de umbrales · Cuadro de Precios Unitarios, salvo que se conserve para ADM-3·v3, bloque 2 · apartado de la declaración responsable · anuncio de licitación</w:t>
            </w:r>
          </w:p>
        </w:tc>
      </w:tr>
    </w:tbl>
    <w:p>
      <w:pPr>
        <w:spacing w:after="200"/>
      </w:pPr>
    </w:p>
    <w:p>
      <w:pPr>
        <w:spacing w:after="140" w:line="276"/>
      </w:pPr>
      <w:r>
        <w:rPr>
          <w:rFonts w:ascii="Calibri" w:cs="Calibri" w:eastAsia="Calibri" w:hAnsi="Calibri"/>
          <w:b/>
          <w:bCs/>
          <w:sz w:val="21"/>
          <w:szCs w:val="21"/>
        </w:rPr>
        <w:t xml:space="preserve">Dependencias en sentido inverso</w:t>
      </w:r>
      <w:r>
        <w:rPr>
          <w:rFonts w:ascii="Calibri" w:cs="Calibri" w:eastAsia="Calibri" w:hAnsi="Calibri"/>
          <w:sz w:val="21"/>
          <w:szCs w:val="21"/>
        </w:rPr>
        <w:t xml:space="preserve"> —cláusulas que no pueden incorporarse solas—: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incorpora…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 obligatorio incorporar también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o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el acuerdo de origen institucional si no hay norma ni petición del gestor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A, B o H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prescripción técnica que fija el mínimo del que esos criterios miden el exceso, con su lista cerrada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(inventario de componentes: sin él no se sabe qué se deposita) y la partida de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y el Anexo V transcrito (sin catálogo, la condición especial de ejecución carece de alcance)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de esenciales por ley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declaración expresa en el PCAP de que el contrato implica cesión de datos o tratamiento por cuenta del responsable. Sin ese supuesto, esas obligaciones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son esenciales y declararlo sería un defecto del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criterio del baremo cuya exactitud comprueba, con la relación cerrada y numerada de elementos verificables publicada en el pliego, y la regla de momento procedimental en el PCAP</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 · DECLARACIÓN RESPONSABLE DEL LICITADOR (MODELO)</w:t>
      </w:r>
    </w:p>
    <w:p>
      <w:pPr>
        <w:spacing w:after="140" w:line="276"/>
      </w:pPr>
      <w:r>
        <w:rPr>
          <w:rFonts w:ascii="Calibri" w:cs="Calibri" w:eastAsia="Calibri" w:hAnsi="Calibri"/>
          <w:b/>
          <w:bCs/>
          <w:sz w:val="21"/>
          <w:szCs w:val="21"/>
        </w:rPr>
        <w:t xml:space="preserve">Instrucciones de uso, previas al texto.</w:t>
      </w:r>
      <w:r>
        <w:rPr>
          <w:rFonts w:ascii="Calibri" w:cs="Calibri" w:eastAsia="Calibri" w:hAnsi="Calibri"/>
          <w:sz w:val="21"/>
          <w:szCs w:val="21"/>
        </w:rPr>
        <w:t xml:space="preserve"> (1) Esta declaración </w:t>
      </w:r>
      <w:r>
        <w:rPr>
          <w:rFonts w:ascii="Calibri" w:cs="Calibri" w:eastAsia="Calibri" w:hAnsi="Calibri"/>
          <w:b/>
          <w:bCs/>
          <w:sz w:val="21"/>
          <w:szCs w:val="21"/>
        </w:rPr>
        <w:t xml:space="preserve">no sustituye</w:t>
      </w:r>
      <w:r>
        <w:rPr>
          <w:rFonts w:ascii="Calibri" w:cs="Calibri" w:eastAsia="Calibri" w:hAnsi="Calibri"/>
          <w:sz w:val="21"/>
          <w:szCs w:val="21"/>
        </w:rPr>
        <w:t xml:space="preserve"> a la declaración responsable ni al documento europeo único de contratación que exija el PCAP con carácter general: es una declaración adicional referida exclusivamente a las cláusulas de este catálogo. (2) Se presenta en el sobre que el PCAP determine y </w:t>
      </w:r>
      <w:r>
        <w:rPr>
          <w:rFonts w:ascii="Calibri" w:cs="Calibri" w:eastAsia="Calibri" w:hAnsi="Calibri"/>
          <w:b/>
          <w:bCs/>
          <w:sz w:val="21"/>
          <w:szCs w:val="21"/>
        </w:rPr>
        <w:t xml:space="preserve">no puntúa</w:t>
      </w:r>
      <w:r>
        <w:rPr>
          <w:rFonts w:ascii="Calibri" w:cs="Calibri" w:eastAsia="Calibri" w:hAnsi="Calibri"/>
          <w:sz w:val="21"/>
          <w:szCs w:val="21"/>
        </w:rPr>
        <w:t xml:space="preserve">: nada de lo declarado en ella puede valorarse como criterio de adjudicación. (3) </w:t>
      </w:r>
      <w:r>
        <w:rPr>
          <w:rFonts w:ascii="Calibri" w:cs="Calibri" w:eastAsia="Calibri" w:hAnsi="Calibri"/>
          <w:b/>
          <w:bCs/>
          <w:sz w:val="21"/>
          <w:szCs w:val="21"/>
        </w:rPr>
        <w:t xml:space="preserve">Se depura con la tabla de dependencias del Anexo VI antes de incorporarla al pliego</w:t>
      </w:r>
      <w:r>
        <w:rPr>
          <w:rFonts w:ascii="Calibri" w:cs="Calibri" w:eastAsia="Calibri" w:hAnsi="Calibri"/>
          <w:sz w:val="21"/>
          <w:szCs w:val="21"/>
        </w:rPr>
        <w:t xml:space="preserve">: cada apartado lleva una casilla de supresión y el apartado referido a una cláusula marcada NO APLICA se suprime, no se deja. (4) Ningún apartado puede exigir la aceptación en bloque de causas de resolución ni la renuncia a discutir su procedencia.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DECLARACIÓN RESPONSABLE RELATIVA A LAS CLÁUSULAS DE INTELIGENCIA ARTIFICIAL Y TECNOLOGÍAS DEEP TECH</w:t>
            </w:r>
          </w:p>
          <w:p>
            <w:pPr>
              <w:spacing w:after="100" w:line="264"/>
            </w:pPr>
            <w:r>
              <w:rPr>
                <w:rFonts w:ascii="Georgia" w:cs="Georgia" w:eastAsia="Georgia" w:hAnsi="Georgia"/>
                <w:sz w:val="20"/>
                <w:szCs w:val="20"/>
              </w:rPr>
              <w:t xml:space="preserve">D./D.ª ………………………………, con documento de identidad n.º …………………, en nombre y representación de la empresa ………………………………, con NIF …………………, en relación con el expediente de contratación ………………………………, </w:t>
            </w:r>
            <w:r>
              <w:rPr>
                <w:rFonts w:ascii="Georgia" w:cs="Georgia" w:eastAsia="Georgia" w:hAnsi="Georgia"/>
                <w:b/>
                <w:bCs/>
                <w:sz w:val="20"/>
                <w:szCs w:val="20"/>
              </w:rPr>
              <w:t xml:space="preserve">DECLARA</w:t>
            </w:r>
            <w:r>
              <w:rPr>
                <w:rFonts w:ascii="Georgia" w:cs="Georgia" w:eastAsia="Georgia" w:hAnsi="Georgia"/>
                <w:sz w:val="20"/>
                <w:szCs w:val="20"/>
              </w:rPr>
              <w:t xml:space="preserve"> bajo su responsabilidad:</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w:t>
            </w:r>
            <w:r>
              <w:rPr>
                <w:rFonts w:ascii="Georgia" w:cs="Georgia" w:eastAsia="Georgia" w:hAnsi="Georgia"/>
                <w:sz w:val="20"/>
                <w:szCs w:val="20"/>
              </w:rPr>
              <w:t xml:space="preserve"> Que conoce y acepta las cláusulas de inteligencia artificial y tecnologías deep tech incorporadas al pliego de prescripciones técnicas y al pliego de cláusulas administrativas particulares de este expediente, así como el Catálogo de Exigencias Tecnológicas Determinadas transcrito en el pliego técnico, versión ………, de fecha ……………, y que ha tenido en cuenta el coste de su cumplimiento al formular su oferta.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2.</w:t>
            </w:r>
            <w:r>
              <w:rPr>
                <w:rFonts w:ascii="Georgia" w:cs="Georgia" w:eastAsia="Georgia" w:hAnsi="Georgia"/>
                <w:sz w:val="20"/>
                <w:szCs w:val="20"/>
              </w:rPr>
              <w:t xml:space="preserve"> Que se compromete a entregar las capacidades exigidas en dicho Catálogo, con los criterios de aceptación y en los plazos que en él se establecen, entendiéndose retribuidas con el precio ofertado y sin que su cumplimiento dé lugar a facturación adicional.</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3.</w:t>
            </w:r>
            <w:r>
              <w:rPr>
                <w:rFonts w:ascii="Georgia" w:cs="Georgia" w:eastAsia="Georgia" w:hAnsi="Georgia"/>
                <w:sz w:val="20"/>
                <w:szCs w:val="20"/>
              </w:rPr>
              <w:t xml:space="preserve"> Que dispone de un sistema de gestión de la inteligencia artificial conforme a la norma indicada en el pliego, </w:t>
            </w:r>
            <w:r>
              <w:rPr>
                <w:rFonts w:ascii="Georgia" w:cs="Georgia" w:eastAsia="Georgia" w:hAnsi="Georgia"/>
                <w:b/>
                <w:bCs/>
                <w:sz w:val="20"/>
                <w:szCs w:val="20"/>
              </w:rPr>
              <w:t xml:space="preserve">con la designación y el año que en él constan</w:t>
            </w:r>
            <w:r>
              <w:rPr>
                <w:rFonts w:ascii="Georgia" w:cs="Georgia" w:eastAsia="Georgia" w:hAnsi="Georgia"/>
                <w:sz w:val="20"/>
                <w:szCs w:val="20"/>
              </w:rPr>
              <w:t xml:space="preserve">, o que acredita el cumplimiento mediante las pruebas de las medidas equivalentes del artículo 93.2 de la Ley 9/2017; o, en su defecto, que se compromete a obtener dicha certificación en el plazo máximo de [X; se recomienda DOCE (12)] meses desde la formalización, aplicando entretanto medidas equivalentes documentadas de gobernanza que describe en el documento que se adjunta.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4.</w:t>
            </w:r>
            <w:r>
              <w:rPr>
                <w:rFonts w:ascii="Georgia" w:cs="Georgia" w:eastAsia="Georgia" w:hAnsi="Georgia"/>
                <w:sz w:val="20"/>
                <w:szCs w:val="20"/>
              </w:rPr>
              <w:t xml:space="preserve"> Que la relación de sistemas de inteligencia artificial que empleará en la ejecución del contrato es la que consta en el cuadro adjunto, con expresión, para cada uno, de proveedor, ubicación de almacenamiento y tratamiento, plazos de retención, tratamiento de metadatos, existencia y alcance de mecanismos que excluyan el contenido del usuario del entrenamiento de modelos y posibilidad de configuración de las revisiones humanas por el proveedor; que la mantendrá actualizada; y que no introducirá información municipal no pública en sistemas no autorizados expresamente por el Ayuntamiento.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5.</w:t>
            </w:r>
            <w:r>
              <w:rPr>
                <w:rFonts w:ascii="Georgia" w:cs="Georgia" w:eastAsia="Georgia" w:hAnsi="Georgia"/>
                <w:sz w:val="20"/>
                <w:szCs w:val="20"/>
              </w:rPr>
              <w:t xml:space="preserve"> Que entregará el Inventario de Componentes en el plazo previsto en el pliego, el Plan de Reversibilidad en el plazo de [X; se recomienda TRES (3)] meses desde la formalización, y que participará en el ensayo de reversibilidad en los términos del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6.</w:t>
            </w:r>
            <w:r>
              <w:rPr>
                <w:rFonts w:ascii="Georgia" w:cs="Georgia" w:eastAsia="Georgia" w:hAnsi="Georgia"/>
                <w:sz w:val="20"/>
                <w:szCs w:val="20"/>
              </w:rPr>
              <w:t xml:space="preserve"> Que acepta el régimen de depósito de código y continuidad del servicio previsto en el pliego y, cuando no sea titular de los derechos sobre el producto base, que aporta o se compromete a aportar el compromiso del titular en los términos allí establecidos.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7.</w:t>
            </w:r>
            <w:r>
              <w:rPr>
                <w:rFonts w:ascii="Georgia" w:cs="Georgia" w:eastAsia="Georgia" w:hAnsi="Georgia"/>
                <w:sz w:val="20"/>
                <w:szCs w:val="20"/>
              </w:rPr>
              <w:t xml:space="preserve"> Que facilitará el acceso de los órganos de control municipales a los datos de ejecución en los términos y con el número de accesos previstos en el pliego, sin coste adicional y sin tarificación por consulta, durante toda la vigencia del contrato y de sus prórrogas.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8.</w:t>
            </w:r>
            <w:r>
              <w:rPr>
                <w:rFonts w:ascii="Georgia" w:cs="Georgia" w:eastAsia="Georgia" w:hAnsi="Georgia"/>
                <w:sz w:val="20"/>
                <w:szCs w:val="20"/>
              </w:rPr>
              <w:t xml:space="preserve"> Que, cuando su oferta proponga una solución equivalente a alguna de las referencias contenidas en el pliego, aporta con la oferta la prueba de la equivalencia por cualquier medio adecuado, siendo consciente de que dicha prueba es carga suya.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9.</w:t>
            </w:r>
            <w:r>
              <w:rPr>
                <w:rFonts w:ascii="Georgia" w:cs="Georgia" w:eastAsia="Georgia" w:hAnsi="Georgia"/>
                <w:sz w:val="20"/>
                <w:szCs w:val="20"/>
              </w:rPr>
              <w:t xml:space="preserve"> Que conoce el cuadro de penalidades y la relación de obligaciones calificadas como esenciales que figura en el pliego de cláusulas administrativas particulares, y el régimen de resolución al que su incumplimiento puede dar lugar, conforme a la Ley 9/2017.</w:t>
            </w:r>
          </w:p>
          <w:p>
            <w:pPr>
              <w:spacing w:after="100" w:line="264"/>
            </w:pPr>
            <w:r>
              <w:rPr>
                <w:rFonts w:ascii="Georgia" w:cs="Georgia" w:eastAsia="Georgia" w:hAnsi="Georgia"/>
                <w:sz w:val="20"/>
                <w:szCs w:val="20"/>
              </w:rPr>
              <w:t xml:space="preserve">En ……………………, a …… de …………………… de 20…… (firma y sello)</w:t>
            </w:r>
          </w:p>
          <w:p>
            <w:pPr>
              <w:spacing w:after="100" w:line="264"/>
            </w:pPr>
            <w:r>
              <w:rPr>
                <w:rFonts w:ascii="Georgia" w:cs="Georgia" w:eastAsia="Georgia" w:hAnsi="Georgia"/>
                <w:i/>
                <w:iCs/>
                <w:sz w:val="20"/>
                <w:szCs w:val="20"/>
              </w:rPr>
              <w:t xml:space="preserve">Cuadro del apartado 4 — sistemas de inteligencia artificial empleados en la ejecución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Sistema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Proveedor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Ubicación de tratamiento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Retención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Metadatos y telemetría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Exclusión de entrenamiento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Revisión humana por el proveedor</w:t>
                  </w:r>
                </w:p>
              </w:tc>
            </w:tr>
          </w:tbl>
          <w:p>
            <w:pPr>
              <w:spacing w:after="80"/>
            </w:pPr>
          </w:p>
        </w:tc>
      </w:tr>
    </w:tbl>
    <w:p>
      <w:pPr>
        <w:spacing w:after="220"/>
      </w:pPr>
    </w:p>
    <w:p>
      <w:pPr>
        <w:spacing w:after="140" w:line="276"/>
      </w:pPr>
      <w:r>
        <w:rPr>
          <w:rFonts w:ascii="Calibri" w:cs="Calibri" w:eastAsia="Calibri" w:hAnsi="Calibri"/>
          <w:b/>
          <w:bCs/>
          <w:sz w:val="21"/>
          <w:szCs w:val="21"/>
        </w:rPr>
        <w:t xml:space="preserve">Qué se ha eliminado respecto del modelo de la versión anterior, y por qué:</w:t>
      </w:r>
      <w:r>
        <w:rPr>
          <w:rFonts w:ascii="Calibri" w:cs="Calibri" w:eastAsia="Calibri" w:hAnsi="Calibri"/>
          <w:sz w:val="21"/>
          <w:szCs w:val="21"/>
        </w:rPr>
        <w:t xml:space="preserve"> el compromiso de entregar un producto designado por el nombre de un protocolo, que ha pasado a formularse por función; la aceptación anticipada de la obsolescencia tecnológica como causa de resolución, que era la aceptación en bloque de una causa de contenido indeterminado; y el compromiso de realizar la demostración, que no es una obligación del contrato sino una regla del procedimiento de licitación, con su efecto propio.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VIII · MODELO DE ACUERDO DEL ÓRGANO DE GOBIERNO</w:t>
      </w:r>
    </w:p>
    <w:p>
      <w:pPr>
        <w:spacing w:after="140" w:line="276"/>
      </w:pPr>
      <w:r>
        <w:rPr>
          <w:rFonts w:ascii="Calibri" w:cs="Calibri" w:eastAsia="Calibri" w:hAnsi="Calibri"/>
          <w:b/>
          <w:bCs/>
          <w:sz w:val="21"/>
          <w:szCs w:val="21"/>
        </w:rPr>
        <w:t xml:space="preserve">Para qué sirve este acuerdo, dicho sin rodeos.</w:t>
      </w:r>
      <w:r>
        <w:rPr>
          <w:rFonts w:ascii="Calibri" w:cs="Calibri" w:eastAsia="Calibri" w:hAnsi="Calibri"/>
          <w:sz w:val="21"/>
          <w:szCs w:val="21"/>
        </w:rPr>
        <w:t xml:space="preserve"> Hay exigencias de este catálogo que ninguna norma impone y que ningún gestor va a pedir. Sin un acto institucional que las asuma, la ficha de necesidad de cada expediente se rellenará con el mismo párrafo, que es la definición de justificación estereotipada. Este acuerdo es el eslabón que convierte esa exigencia en una política municipal aprobada, de la que un expediente concreto puede derivar. </w:t>
      </w:r>
      <w:r>
        <w:rPr>
          <w:rFonts w:ascii="Calibri" w:cs="Calibri" w:eastAsia="Calibri" w:hAnsi="Calibri"/>
          <w:b/>
          <w:bCs/>
          <w:sz w:val="21"/>
          <w:szCs w:val="21"/>
        </w:rPr>
        <w:t xml:space="preserve">Sin él, las cláusulas de origen institucional van a NO APLICA.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ACUERDO DEL [ÓRGANO DE GOBIERNO MUNICIPAL COMPETENTE] POR EL QUE SE APRUEBAN EL PLAN MUNICIPAL DE MODERNIZACIÓN TECNOLÓGICA Y EL CATÁLOGO DE CLÁUSULAS DE INTELIGENCIA ARTIFICIAL Y DEEP TECH, Y SE CREA EL CIRCUITO DE REVISIÓN ANUAL DE SUS EXIGENCIAS TECNOLÓGICAS</w:t>
      </w:r>
    </w:p>
    <w:p>
      <w:pPr>
        <w:spacing w:after="140" w:line="276"/>
      </w:pPr>
      <w:r>
        <w:rPr>
          <w:rFonts w:ascii="Calibri" w:cs="Calibri" w:eastAsia="Calibri" w:hAnsi="Calibri"/>
          <w:b/>
          <w:bCs/>
          <w:sz w:val="21"/>
          <w:szCs w:val="21"/>
        </w:rPr>
        <w:t xml:space="preserve">ANTECEDENTES</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Ayuntamiento contrata soluciones tecnológicas cuya vida útil excede de la duración de los contratos que las sostienen. La experiencia acredita que, sin previsión contractual expresa, la solución permanece durante toda la vigencia en el estado en que se contrató y que la recuperación de los datos al término del contrato resulta costosa y, en ocasiones, dependiente de la voluntad del proveedor saliente.</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Determinadas exigencias que este Ayuntamiento considera necesarias para su funcionamiento futuro no vienen impuestas por ninguna norma en vigor ni pueden ser formuladas por los servicios gestores, por exceder de su ámbito funcional. Corresponde a este órgano determinar si el Ayuntamiento las asume como objetivo propio, con qué alcance y con qué calendario, para que puedan ser incorporadas a los expedientes de contratación con una relación directa, clara y proporcional con el objeto de cada contrato, en los términos del artículo 116.4.e) de la Ley 9/2017.</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Consta en el expediente el informe del [servicio promotor], el informe del órgano al que corresponde el informe jurídico preceptivo y el informe de la Intervención sobre las repercusiones económicas y presupuestarias del plan.</w:t>
      </w:r>
    </w:p>
    <w:p>
      <w:pPr>
        <w:spacing w:after="140" w:line="276"/>
      </w:pPr>
      <w:r>
        <w:rPr>
          <w:rFonts w:ascii="Calibri" w:cs="Calibri" w:eastAsia="Calibri" w:hAnsi="Calibri"/>
          <w:b/>
          <w:bCs/>
          <w:sz w:val="21"/>
          <w:szCs w:val="21"/>
        </w:rPr>
        <w:t xml:space="preserve">ACUERDA</w:t>
      </w:r>
    </w:p>
    <w:p>
      <w:pPr>
        <w:spacing w:after="140" w:line="276"/>
      </w:pPr>
      <w:r>
        <w:rPr>
          <w:rFonts w:ascii="Calibri" w:cs="Calibri" w:eastAsia="Calibri" w:hAnsi="Calibri"/>
          <w:b/>
          <w:bCs/>
          <w:sz w:val="21"/>
          <w:szCs w:val="21"/>
        </w:rPr>
        <w:t xml:space="preserve">Primero. Aprobar el Plan Municipal de Modernización Tecnológica [período]</w:t>
      </w:r>
      <w:r>
        <w:rPr>
          <w:rFonts w:ascii="Calibri" w:cs="Calibri" w:eastAsia="Calibri" w:hAnsi="Calibri"/>
          <w:sz w:val="21"/>
          <w:szCs w:val="21"/>
        </w:rPr>
        <w:t xml:space="preserve">, cuyos objetivos son: (a) que las soluciones contratadas puedan ser consultadas, operadas y auditadas por asistentes y agentes de inteligencia artificial bajo control municipal, con supervisión humana y trazabilidad completa; (b) que el Ayuntamiento conserve en todo momento la titularidad y la disponibilidad efectiva de sus datos y de los desarrollos específicos que financia; (c) que la sustitución de un proveedor sea posible sin pérdida de información ni interrupción del servicio; y (d) que los órganos de control interno dispongan del mismo acceso a los datos de ejecución que los órganos gestores. Se aprueba asimismo el calendario del plan que figura como anexo.</w:t>
      </w:r>
    </w:p>
    <w:p>
      <w:pPr>
        <w:spacing w:after="140" w:line="276"/>
      </w:pPr>
      <w:r>
        <w:rPr>
          <w:rFonts w:ascii="Calibri" w:cs="Calibri" w:eastAsia="Calibri" w:hAnsi="Calibri"/>
          <w:b/>
          <w:bCs/>
          <w:sz w:val="21"/>
          <w:szCs w:val="21"/>
        </w:rPr>
        <w:t xml:space="preserve">Segundo. Aprobar el Catálogo de Cláusulas de Inteligencia Artificial y Deep Tech, versión 3.0</w:t>
      </w:r>
      <w:r>
        <w:rPr>
          <w:rFonts w:ascii="Calibri" w:cs="Calibri" w:eastAsia="Calibri" w:hAnsi="Calibri"/>
          <w:sz w:val="21"/>
          <w:szCs w:val="21"/>
        </w:rPr>
        <w:t xml:space="preserve">, como instrumento de </w:t>
      </w:r>
      <w:r>
        <w:rPr>
          <w:rFonts w:ascii="Calibri" w:cs="Calibri" w:eastAsia="Calibri" w:hAnsi="Calibri"/>
          <w:b/>
          <w:bCs/>
          <w:sz w:val="21"/>
          <w:szCs w:val="21"/>
        </w:rPr>
        <w:t xml:space="preserve">aplicación motivada</w:t>
      </w:r>
      <w:r>
        <w:rPr>
          <w:rFonts w:ascii="Calibri" w:cs="Calibri" w:eastAsia="Calibri" w:hAnsi="Calibri"/>
          <w:sz w:val="21"/>
          <w:szCs w:val="21"/>
        </w:rPr>
        <w:t xml:space="preserve"> y no de incorporación automática. Ninguna de sus cláusulas se incorpora a un pliego sin la ficha de aplicabilidad firmada y el informe de necesidad correspondientes al expediente de que se trate.</w:t>
      </w:r>
    </w:p>
    <w:p>
      <w:pPr>
        <w:spacing w:after="140" w:line="276"/>
      </w:pPr>
      <w:r>
        <w:rPr>
          <w:rFonts w:ascii="Calibri" w:cs="Calibri" w:eastAsia="Calibri" w:hAnsi="Calibri"/>
          <w:b/>
          <w:bCs/>
          <w:sz w:val="21"/>
          <w:szCs w:val="21"/>
        </w:rPr>
        <w:t xml:space="preserve">Tercero. Aprobar el Catálogo de Exigencias Tecnológicas Determinadas del ejercicio 2026-2027, versión 1.0</w:t>
      </w:r>
      <w:r>
        <w:rPr>
          <w:rFonts w:ascii="Calibri" w:cs="Calibri" w:eastAsia="Calibri" w:hAnsi="Calibri"/>
          <w:sz w:val="21"/>
          <w:szCs w:val="21"/>
        </w:rPr>
        <w:t xml:space="preserve">, que se acompaña, y que se transcribirá físicamente en los pliegos de prescripciones técnicas de las licitaciones que se convoquen a partir de la fecha de este acuerdo, sin que las revisiones posteriores afecten a los contratos ya licitados.</w:t>
      </w:r>
    </w:p>
    <w:p>
      <w:pPr>
        <w:spacing w:after="140" w:line="276"/>
      </w:pPr>
      <w:r>
        <w:rPr>
          <w:rFonts w:ascii="Calibri" w:cs="Calibri" w:eastAsia="Calibri" w:hAnsi="Calibri"/>
          <w:b/>
          <w:bCs/>
          <w:sz w:val="21"/>
          <w:szCs w:val="21"/>
        </w:rPr>
        <w:t xml:space="preserve">Cuarto. Designar</w:t>
      </w:r>
      <w:r>
        <w:rPr>
          <w:rFonts w:ascii="Calibri" w:cs="Calibri" w:eastAsia="Calibri" w:hAnsi="Calibri"/>
          <w:sz w:val="21"/>
          <w:szCs w:val="21"/>
        </w:rPr>
        <w:t xml:space="preserve"> a [órgano o unidad] como competente para aprobar la revisión anual del Catálogo de Exigencias Tecnológicas, previo contraste de mercado documentado e informe jurídico, sin necesidad de modificar el Catálogo de Cláusulas. La revisión se aprobará antes del inicio de cada ejercicio.</w:t>
      </w:r>
    </w:p>
    <w:p>
      <w:pPr>
        <w:spacing w:after="140" w:line="276"/>
      </w:pPr>
      <w:r>
        <w:rPr>
          <w:rFonts w:ascii="Calibri" w:cs="Calibri" w:eastAsia="Calibri" w:hAnsi="Calibri"/>
          <w:b/>
          <w:bCs/>
          <w:sz w:val="21"/>
          <w:szCs w:val="21"/>
        </w:rPr>
        <w:t xml:space="preserve">Quinto. Ordenar la realización, con periodicidad anual y carácter centralizado, del contraste de mercado</w:t>
      </w:r>
      <w:r>
        <w:rPr>
          <w:rFonts w:ascii="Calibri" w:cs="Calibri" w:eastAsia="Calibri" w:hAnsi="Calibri"/>
          <w:sz w:val="21"/>
          <w:szCs w:val="21"/>
        </w:rPr>
        <w:t xml:space="preserve"> que ha de acompañar a la revisión del Catálogo de Exigencias Tecnológicas, pudiendo articularse mediante consulta preliminar del mercado publicada conforme al artículo 115 de la Ley 9/2017, cuya documentación se reutilizará en los expedientes del ejercicio.</w:t>
      </w:r>
    </w:p>
    <w:p>
      <w:pPr>
        <w:spacing w:after="140" w:line="276"/>
      </w:pPr>
      <w:r>
        <w:rPr>
          <w:rFonts w:ascii="Calibri" w:cs="Calibri" w:eastAsia="Calibri" w:hAnsi="Calibri"/>
          <w:b/>
          <w:bCs/>
          <w:sz w:val="21"/>
          <w:szCs w:val="21"/>
        </w:rPr>
        <w:t xml:space="preserve">Sexto. Aprobar la asignación de responsabilidades de verificación</w:t>
      </w:r>
      <w:r>
        <w:rPr>
          <w:rFonts w:ascii="Calibri" w:cs="Calibri" w:eastAsia="Calibri" w:hAnsi="Calibri"/>
          <w:sz w:val="21"/>
          <w:szCs w:val="21"/>
        </w:rPr>
        <w:t xml:space="preserve"> que figura como anexo, con designación de actor municipal y periodicidad para cada exigencia, y tomar conocimiento de la estimación de carga anual que comporta. No se incorporará a ningún pliego una exigencia cuya verificación carezca de actor designado.</w:t>
      </w:r>
    </w:p>
    <w:p>
      <w:pPr>
        <w:spacing w:after="140" w:line="276"/>
      </w:pPr>
      <w:r>
        <w:rPr>
          <w:rFonts w:ascii="Calibri" w:cs="Calibri" w:eastAsia="Calibri" w:hAnsi="Calibri"/>
          <w:b/>
          <w:bCs/>
          <w:sz w:val="21"/>
          <w:szCs w:val="21"/>
        </w:rPr>
        <w:t xml:space="preserve">Séptimo. Aprobar la política municipal de uso de sistemas de inteligencia artificial por el personal del Ayuntamiento</w:t>
      </w:r>
      <w:r>
        <w:rPr>
          <w:rFonts w:ascii="Calibri" w:cs="Calibri" w:eastAsia="Calibri" w:hAnsi="Calibri"/>
          <w:sz w:val="21"/>
          <w:szCs w:val="21"/>
        </w:rPr>
        <w:t xml:space="preserve">, que se acompaña, como compromiso recíproco de las obligaciones que se imponen a los contratistas.</w:t>
      </w:r>
    </w:p>
    <w:p>
      <w:pPr>
        <w:spacing w:after="140" w:line="276"/>
      </w:pPr>
      <w:r>
        <w:rPr>
          <w:rFonts w:ascii="Calibri" w:cs="Calibri" w:eastAsia="Calibri" w:hAnsi="Calibri"/>
          <w:b/>
          <w:bCs/>
          <w:sz w:val="21"/>
          <w:szCs w:val="21"/>
        </w:rPr>
        <w:t xml:space="preserve">Octavo. Ordenar la publicación</w:t>
      </w:r>
      <w:r>
        <w:rPr>
          <w:rFonts w:ascii="Calibri" w:cs="Calibri" w:eastAsia="Calibri" w:hAnsi="Calibri"/>
          <w:sz w:val="21"/>
          <w:szCs w:val="21"/>
        </w:rPr>
        <w:t xml:space="preserve"> del Catálogo de Cláusulas y del Catálogo de Exigencias Tecnológicas en el perfil de contratante y en el portal de transparencia municipal, en formato reutilizable, para su empleo por otras administraciones públicas.</w:t>
      </w:r>
    </w:p>
    <w:p>
      <w:pPr>
        <w:spacing w:after="140" w:line="276"/>
      </w:pPr>
      <w:r>
        <w:rPr>
          <w:rFonts w:ascii="Calibri" w:cs="Calibri" w:eastAsia="Calibri" w:hAnsi="Calibri"/>
          <w:b/>
          <w:bCs/>
          <w:sz w:val="21"/>
          <w:szCs w:val="21"/>
        </w:rPr>
        <w:t xml:space="preserve">Noveno. Encomendar al [servicio promotor] la evaluación</w:t>
      </w:r>
      <w:r>
        <w:rPr>
          <w:rFonts w:ascii="Calibri" w:cs="Calibri" w:eastAsia="Calibri" w:hAnsi="Calibri"/>
          <w:sz w:val="21"/>
          <w:szCs w:val="21"/>
        </w:rPr>
        <w:t xml:space="preserve"> de la primera aplicación del catálogo, mediante informes a los seis y a los doce meses sobre concurrencia obtenida, incidencias, recursos interpuestos y carga real de verificación, con propuesta motivada de ajuste del catálogo, del anexo anual y de los valores por defecto de sus parámetros.</w:t>
      </w:r>
    </w:p>
    <w:p>
      <w:pPr>
        <w:spacing w:after="140" w:line="276"/>
      </w:pPr>
      <w:r>
        <w:rPr>
          <w:rFonts w:ascii="Calibri" w:cs="Calibri" w:eastAsia="Calibri" w:hAnsi="Calibri"/>
          <w:b/>
          <w:bCs/>
          <w:sz w:val="21"/>
          <w:szCs w:val="21"/>
        </w:rPr>
        <w:t xml:space="preserve">Décimo.</w:t>
      </w:r>
      <w:r>
        <w:rPr>
          <w:rFonts w:ascii="Calibri" w:cs="Calibri" w:eastAsia="Calibri" w:hAnsi="Calibri"/>
          <w:sz w:val="21"/>
          <w:szCs w:val="21"/>
        </w:rPr>
        <w:t xml:space="preserve"> Dar traslado del presente acuerdo a los servicios gestores, al órgano al que corresponde el informe jurídico preceptivo y a la Intervención General.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de reutilización.</w:t>
      </w:r>
      <w:r>
        <w:rPr>
          <w:rFonts w:ascii="Calibri" w:cs="Calibri" w:eastAsia="Calibri" w:hAnsi="Calibri"/>
          <w:sz w:val="21"/>
          <w:szCs w:val="21"/>
        </w:rPr>
        <w:t xml:space="preserve"> El órgano competente para adoptar este acuerdo y para aprobar la revisión anual depende del régimen de cada entidad y de su cuadro de delegaciones. Determínese antes de aprobar: un catálogo aprobado por órgano incompetente no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es un papel, y el defecto se descubre cuando ya está en un pliego recurrido.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IX · DECLARACIÓN DE CONFLICTO DE INTERÉS Y DE PARTICIPACIÓN PREVIA EN LA PREPARACIÓN</w:t>
      </w:r>
    </w:p>
    <w:p>
      <w:pPr>
        <w:spacing w:after="140" w:line="276"/>
      </w:pPr>
      <w:r>
        <w:rPr>
          <w:rFonts w:ascii="Calibri" w:cs="Calibri" w:eastAsia="Calibri" w:hAnsi="Calibri"/>
          <w:sz w:val="21"/>
          <w:szCs w:val="21"/>
        </w:rPr>
        <w:t xml:space="preserve">Este anexo contiene dos declaraciones distintas que se cumplimentan por separado, más el cuadro de medidas. La primera se refiere a quienes intervienen en el procedimiento por parte del poder adjudicador (art. 64 LCSP); la segunda, a quienes han participado en la preparación y podrían después licitar o estar vinculados a un licitador (art. 70 LCSP).</w:t>
      </w:r>
    </w:p>
    <w:p>
      <w:pPr>
        <w:spacing w:after="140" w:line="276"/>
      </w:pPr>
      <w:r>
        <w:rPr>
          <w:rFonts w:ascii="Calibri" w:cs="Calibri" w:eastAsia="Calibri" w:hAnsi="Calibri"/>
          <w:b/>
          <w:bCs/>
          <w:sz w:val="21"/>
          <w:szCs w:val="21"/>
        </w:rPr>
        <w:t xml:space="preserve">Por qué se hace por iniciativa propia y antes de aprobar.</w:t>
      </w:r>
      <w:r>
        <w:rPr>
          <w:rFonts w:ascii="Calibri" w:cs="Calibri" w:eastAsia="Calibri" w:hAnsi="Calibri"/>
          <w:sz w:val="21"/>
          <w:szCs w:val="21"/>
        </w:rPr>
        <w:t xml:space="preserve"> Un conflicto revelado y neutralizado por el propio expediente es un dato del expediente. El mismo conflicto descubierto por un recurrente deja de ser una cuestión técnica y pasa a ser una imputación de favorecimiento. Pero conviene decir también lo que la declaración no hace: </w:t>
      </w:r>
      <w:r>
        <w:rPr>
          <w:rFonts w:ascii="Calibri" w:cs="Calibri" w:eastAsia="Calibri" w:hAnsi="Calibri"/>
          <w:b/>
          <w:bCs/>
          <w:sz w:val="21"/>
          <w:szCs w:val="21"/>
        </w:rPr>
        <w:t xml:space="preserve">declarar no basta.</w:t>
      </w:r>
      <w:r>
        <w:rPr>
          <w:rFonts w:ascii="Calibri" w:cs="Calibri" w:eastAsia="Calibri" w:hAnsi="Calibri"/>
          <w:sz w:val="21"/>
          <w:szCs w:val="21"/>
        </w:rPr>
        <w:t xml:space="preserve"> El art. 70.1 no pide declarar, pide adoptar medidas adecuadas para que la participación previa no falsee la competencia y dejar constancia de ellas. La declaración sin las medidas del cuadro C es una intención.</w:t>
      </w:r>
    </w:p>
    <w:p>
      <w:pPr>
        <w:spacing w:after="140" w:line="276"/>
      </w:pPr>
      <w:r>
        <w:rPr>
          <w:rFonts w:ascii="Calibri" w:cs="Calibri" w:eastAsia="Calibri" w:hAnsi="Calibri"/>
          <w:sz w:val="21"/>
          <w:szCs w:val="21"/>
        </w:rPr>
        <w:t xml:space="preserve">---- INICIO DEL MODELO A ----</w:t>
      </w:r>
    </w:p>
    <w:p>
      <w:pPr>
        <w:spacing w:after="140" w:line="276"/>
      </w:pPr>
      <w:r>
        <w:rPr>
          <w:rFonts w:ascii="Calibri" w:cs="Calibri" w:eastAsia="Calibri" w:hAnsi="Calibri"/>
          <w:b/>
          <w:bCs/>
          <w:sz w:val="21"/>
          <w:szCs w:val="21"/>
        </w:rPr>
        <w:t xml:space="preserve">DECLARACIÓN DE AUSENCIA O EXISTENCIA DE CONFLICTO DE INTERÉS (art. 64 LCSP)</w:t>
      </w:r>
    </w:p>
    <w:p>
      <w:pPr>
        <w:spacing w:after="140" w:line="276"/>
      </w:pPr>
      <w:r>
        <w:rPr>
          <w:rFonts w:ascii="Calibri" w:cs="Calibri" w:eastAsia="Calibri" w:hAnsi="Calibri"/>
          <w:sz w:val="21"/>
          <w:szCs w:val="21"/>
        </w:rPr>
        <w:t xml:space="preserve">D./D.ª ………………………………, con documento de identidad n.º …………………, en su condición de [cargo o función: miembro del órgano de contratación / miembro de la mesa / técnico redactor de los pliegos / asesor externo / miembro del comité de expertos], en relación con [el Catálogo de Cláusulas de IA y Deep Tech, versión 3.0 / el expediente de contratación n.º ………], </w:t>
      </w:r>
      <w:r>
        <w:rPr>
          <w:rFonts w:ascii="Calibri" w:cs="Calibri" w:eastAsia="Calibri" w:hAnsi="Calibri"/>
          <w:b/>
          <w:bCs/>
          <w:sz w:val="21"/>
          <w:szCs w:val="21"/>
        </w:rPr>
        <w:t xml:space="preserve">DECLARA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no</w:t>
      </w:r>
      <w:r>
        <w:rPr>
          <w:rFonts w:ascii="Calibri" w:cs="Calibri" w:eastAsia="Calibri" w:hAnsi="Calibri"/>
          <w:sz w:val="21"/>
          <w:szCs w:val="21"/>
        </w:rPr>
        <w:t xml:space="preserve"> tiene, directa ni indirectamente, interés financiero, económico o personal alguno que pudiera parecer que compromete su imparcialidad e independencia en este procedimiento.</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sí</w:t>
      </w:r>
      <w:r>
        <w:rPr>
          <w:rFonts w:ascii="Calibri" w:cs="Calibri" w:eastAsia="Calibri" w:hAnsi="Calibri"/>
          <w:sz w:val="21"/>
          <w:szCs w:val="21"/>
        </w:rPr>
        <w:t xml:space="preserve"> concurre la siguiente circunstancia, que declara por iniciativa propia: ……………………………………………………………………………</w:t>
      </w:r>
    </w:p>
    <w:p>
      <w:pPr>
        <w:spacing w:after="140" w:line="276"/>
      </w:pPr>
      <w:r>
        <w:rPr>
          <w:rFonts w:ascii="Calibri" w:cs="Calibri" w:eastAsia="Calibri" w:hAnsi="Calibri"/>
          <w:sz w:val="21"/>
          <w:szCs w:val="21"/>
        </w:rPr>
        <w:t xml:space="preserve">En particular, y en su caso, declara: (a) su relación laboral, mercantil, societaria o de asesoramiento, actual o en los [dos] últimos años, con empresas u organizaciones que operen en el mercado al que se refieren las exigencias tecnológicas del catálogo; (b) su pertenencia a asociaciones, consorcios, fundaciones o entidades promotoras de infraestructuras, redes, protocolos o estándares mencionados en el documento, aunque sea a título ilustrativo; (c) cualquier participación en el capital o en los órganos de administración de esas entidades; y (d) cualquier retribución percibida de ellas.</w:t>
      </w:r>
    </w:p>
    <w:p>
      <w:pPr>
        <w:spacing w:after="140" w:line="276"/>
      </w:pPr>
      <w:r>
        <w:rPr>
          <w:rFonts w:ascii="Calibri" w:cs="Calibri" w:eastAsia="Calibri" w:hAnsi="Calibri"/>
          <w:sz w:val="21"/>
          <w:szCs w:val="21"/>
        </w:rPr>
        <w:t xml:space="preserve">Y se compromete a comunicar de inmediato cualquier circunstancia sobrevenida, y a abstenerse de intervenir cuando proceda.</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w:t>
      </w:r>
    </w:p>
    <w:p>
      <w:pPr>
        <w:spacing w:after="140" w:line="276"/>
      </w:pPr>
      <w:r>
        <w:rPr>
          <w:rFonts w:ascii="Calibri" w:cs="Calibri" w:eastAsia="Calibri" w:hAnsi="Calibri"/>
          <w:b/>
          <w:bCs/>
          <w:sz w:val="21"/>
          <w:szCs w:val="21"/>
        </w:rPr>
        <w:t xml:space="preserve">DECLARACIÓN DE PARTICIPACIÓN PREVIA EN LA PREPARACIÓN (art. 70 LCSP)</w:t>
      </w:r>
    </w:p>
    <w:p>
      <w:pPr>
        <w:spacing w:after="140" w:line="276"/>
      </w:pPr>
      <w:r>
        <w:rPr>
          <w:rFonts w:ascii="Calibri" w:cs="Calibri" w:eastAsia="Calibri" w:hAnsi="Calibri"/>
          <w:sz w:val="21"/>
          <w:szCs w:val="21"/>
        </w:rPr>
        <w:t xml:space="preserve">D./D.ª ………………………………, en nombre propio / en representación de ………………………………, </w:t>
      </w:r>
      <w:r>
        <w:rPr>
          <w:rFonts w:ascii="Calibri" w:cs="Calibri" w:eastAsia="Calibri" w:hAnsi="Calibri"/>
          <w:b/>
          <w:bCs/>
          <w:sz w:val="21"/>
          <w:szCs w:val="21"/>
        </w:rPr>
        <w:t xml:space="preserve">DECLARA</w:t>
      </w:r>
      <w:r>
        <w:rPr>
          <w:rFonts w:ascii="Calibri" w:cs="Calibri" w:eastAsia="Calibri" w:hAnsi="Calibri"/>
          <w:sz w:val="21"/>
          <w:szCs w:val="21"/>
        </w:rPr>
        <w:t xml:space="preserve"> haber participado en la preparación del [catálogo / expediente] mediante: [redacción, asesoramiento, respuesta a consulta preliminar del mercado, aportación de documentación técnica, u otra], en las fechas y con el alcance siguientes: ……………………………</w:t>
      </w:r>
    </w:p>
    <w:p>
      <w:pPr>
        <w:spacing w:after="140" w:line="276"/>
      </w:pPr>
      <w:r>
        <w:rPr>
          <w:rFonts w:ascii="Calibri" w:cs="Calibri" w:eastAsia="Calibri" w:hAnsi="Calibri"/>
          <w:sz w:val="21"/>
          <w:szCs w:val="21"/>
        </w:rPr>
        <w:t xml:space="preserve">Y manifiesta conocer que: (a) esta participación no determina por sí sola su exclusión de las licitaciones que se convoquen; (b) la exclusión sólo procede cuando no exista otro medio de garantizar la igualdad de trato y previa audiencia en la que pueda probar que su participación no falsea la competencia; y (c) toda la información que aportó y que resulte relevante para las licitaciones será puesta a disposición del resto de licitadores.</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b/>
          <w:bCs/>
          <w:sz w:val="21"/>
          <w:szCs w:val="21"/>
        </w:rPr>
        <w:t xml:space="preserve">Cuadro C · Medidas adoptadas para que la participación previa no falsee la competencia.</w:t>
      </w:r>
      <w:r>
        <w:rPr>
          <w:rFonts w:ascii="Calibri" w:cs="Calibri" w:eastAsia="Calibri" w:hAnsi="Calibri"/>
          <w:sz w:val="21"/>
          <w:szCs w:val="21"/>
        </w:rPr>
        <w:t xml:space="preserve"> Reproduce, en forma de hoja de comprobación, </w:t>
      </w:r>
      <w:r>
        <w:rPr>
          <w:rFonts w:ascii="Calibri" w:cs="Calibri" w:eastAsia="Calibri" w:hAnsi="Calibri"/>
          <w:b/>
          <w:bCs/>
          <w:sz w:val="21"/>
          <w:szCs w:val="21"/>
        </w:rPr>
        <w:t xml:space="preserve">las doce medidas del §M7.3 de la Parte IV</w:t>
      </w:r>
      <w:r>
        <w:rPr>
          <w:rFonts w:ascii="Calibri" w:cs="Calibri" w:eastAsia="Calibri" w:hAnsi="Calibri"/>
          <w:sz w:val="21"/>
          <w:szCs w:val="21"/>
        </w:rPr>
        <w:t xml:space="preserve">, que es donde se explican y se motivan. No hay dos listas de medidas: ésta es la operativa y aquélla la razonada. Se deja constancia de su estado en el expediente y en el informe específico del contrato, conforme al art. 70.1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Medida (§M7.3)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Constancia documental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Eliminación material de toda preferencia por una infraestructura, red, protocolo o producto concretos, y reformulación por capacidades funcionales, sin inciso que permita reintroducirla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Cláusulas DT-0·v3, DT-2·v3, DT-5·v3 y DT-7·v3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puntuar la pertenencia a una red o infraestructura nominada y de configurarla como requisito o criterio de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mención nominativa operativa en el articulado; las normas técnicas se citan al amparo del art. 126.5.b) LCSP con admisión de equivalentes y de las pruebas del art. 93.2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Barrido documental incorporado al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puntuación de la tenencia previa: certificaciones, experiencia y disponibilidad presente de medios a fecha de licitación (art.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Abstención de los asesores externos intervinientes en mesas de contratación, comités de expertos y valoración de ofertas de los expedientes que apliquen 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íntegra y anticipada del catálogo y de sus anexos, con antelación a cualquier licitación que los aplique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Perfil de contratante y portal de transparencia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abierta (art. 115 LCSP), con publicación del informe de conclusiones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XXII; Parte V, V.4.13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Autolimitación recomendada: abstención de licitar de asesores externos y entidades en que participen durante [X; se recomienda 12] meses desde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contratación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pese a lo anterior alguno concurriera: puesta a disposición de todos los licitadores de la información derivada de la participación previa, plazos suficientes y </w:t>
            </w:r>
            <w:r>
              <w:rPr>
                <w:rFonts w:ascii="Calibri" w:cs="Calibri" w:eastAsia="Calibri" w:hAnsi="Calibri"/>
                <w:b/>
                <w:bCs/>
                <w:sz w:val="18"/>
                <w:szCs w:val="18"/>
              </w:rPr>
              <w:t xml:space="preserve">audiencia previa a cualquier exclusión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de la autoría: constancia de quién propuso cada previsión referida a una tecnología en la que un interviniente tenga interés declarado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Emisión del informe jurídico y de la nota de fiscalización conociendo ya esta declaración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toda administración que copie el catálogo repite la declaración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la administración que lo reutilice</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 cuando la exigencia tecnológica sea nueva en el mercado local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Anexo X, parámetro 25</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los modelos A y B firmadas y fechadas,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bl>
    <w:p>
      <w:pPr>
        <w:spacing w:after="200"/>
      </w:pPr>
    </w:p>
    <w:p>
      <w:pPr>
        <w:spacing w:after="140" w:line="276"/>
      </w:pPr>
      <w:r>
        <w:rPr>
          <w:rFonts w:ascii="Calibri" w:cs="Calibri" w:eastAsia="Calibri" w:hAnsi="Calibri"/>
          <w:b/>
          <w:bCs/>
          <w:sz w:val="21"/>
          <w:szCs w:val="21"/>
        </w:rPr>
        <w:t xml:space="preserve">Advertencia final del anexo.</w:t>
      </w:r>
      <w:r>
        <w:rPr>
          <w:rFonts w:ascii="Calibri" w:cs="Calibri" w:eastAsia="Calibri" w:hAnsi="Calibri"/>
          <w:sz w:val="21"/>
          <w:szCs w:val="21"/>
        </w:rPr>
        <w:t xml:space="preserve"> Estas declaraciones deben estar </w:t>
      </w:r>
      <w:r>
        <w:rPr>
          <w:rFonts w:ascii="Calibri" w:cs="Calibri" w:eastAsia="Calibri" w:hAnsi="Calibri"/>
          <w:b/>
          <w:bCs/>
          <w:sz w:val="21"/>
          <w:szCs w:val="21"/>
        </w:rPr>
        <w:t xml:space="preserve">firmadas por personas identificadas</w:t>
      </w:r>
      <w:r>
        <w:rPr>
          <w:rFonts w:ascii="Calibri" w:cs="Calibri" w:eastAsia="Calibri" w:hAnsi="Calibri"/>
          <w:sz w:val="21"/>
          <w:szCs w:val="21"/>
        </w:rPr>
        <w:t xml:space="preserve"> e incorporadas al expediente antes de la aprobación. Una declaración prometida en una memoria y no aportada no produce ningún efecto, salvo el de acreditar que se conocía la necesidad de hacerla. La regla vale también para este documento: los modelos A y B </w:t>
      </w:r>
      <w:r>
        <w:rPr>
          <w:rFonts w:ascii="Calibri" w:cs="Calibri" w:eastAsia="Calibri" w:hAnsi="Calibri"/>
          <w:b/>
          <w:bCs/>
          <w:sz w:val="21"/>
          <w:szCs w:val="21"/>
        </w:rPr>
        <w:t xml:space="preserve">de quienes lo firman</w:t>
      </w:r>
      <w:r>
        <w:rPr>
          <w:rFonts w:ascii="Calibri" w:cs="Calibri" w:eastAsia="Calibri" w:hAnsi="Calibri"/>
          <w:sz w:val="21"/>
          <w:szCs w:val="21"/>
        </w:rPr>
        <w:t xml:space="preserve"> se cumplimentan con nombre, empresas y relación concreta, se fechan y </w:t>
      </w:r>
      <w:r>
        <w:rPr>
          <w:rFonts w:ascii="Calibri" w:cs="Calibri" w:eastAsia="Calibri" w:hAnsi="Calibri"/>
          <w:b/>
          <w:bCs/>
          <w:sz w:val="21"/>
          <w:szCs w:val="21"/>
        </w:rPr>
        <w:t xml:space="preserve">se publican junto al catálogo</w:t>
      </w:r>
      <w:r>
        <w:rPr>
          <w:rFonts w:ascii="Calibri" w:cs="Calibri" w:eastAsia="Calibri" w:hAnsi="Calibri"/>
          <w:sz w:val="21"/>
          <w:szCs w:val="21"/>
        </w:rPr>
        <w:t xml:space="preserve">. Publicar el catálogo antes que las declaraciones invierte el orden que el propio apartado M7.1 de la Parte IV defiende.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 · TABLA CONSOLIDADA DE PARÁMETROS</w:t>
      </w:r>
    </w:p>
    <w:p>
      <w:pPr>
        <w:spacing w:after="140" w:line="276"/>
      </w:pPr>
      <w:r>
        <w:rPr>
          <w:rFonts w:ascii="Calibri" w:cs="Calibri" w:eastAsia="Calibri" w:hAnsi="Calibri"/>
          <w:sz w:val="21"/>
          <w:szCs w:val="21"/>
        </w:rPr>
        <w:t xml:space="preserve">Función: que nadie tenga que abrir una consulta para cada corchete de decisión económica, de calendario o de configuración del expediente. Todos ellos aparecen aquí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con quién lo fija y con el caso en que debe moverse. </w:t>
      </w:r>
      <w:r>
        <w:rPr>
          <w:rFonts w:ascii="Calibri" w:cs="Calibri" w:eastAsia="Calibri" w:hAnsi="Calibri"/>
          <w:b/>
          <w:bCs/>
          <w:sz w:val="21"/>
          <w:szCs w:val="21"/>
        </w:rPr>
        <w:t xml:space="preserve">Lo que este anexo no consolida</w:t>
      </w:r>
      <w:r>
        <w:rPr>
          <w:rFonts w:ascii="Calibri" w:cs="Calibri" w:eastAsia="Calibri" w:hAnsi="Calibri"/>
          <w:sz w:val="21"/>
          <w:szCs w:val="21"/>
        </w:rPr>
        <w:t xml:space="preserve"> son los plazos y umbrales de trámite interno que cada cláusula administrativa fija dentro de su propio texto de pliego: su sede es la cláusula, y allí se consultan. El apartado X.1 cierra con la relación de cuáles son y dónde están. Un catálogo de decisiones sin valores por defecto es un catálogo de retrasos.</w:t>
      </w:r>
    </w:p>
    <w:p>
      <w:pPr>
        <w:spacing w:after="140" w:line="276"/>
      </w:pPr>
      <w:r>
        <w:rPr>
          <w:rFonts w:ascii="Calibri" w:cs="Calibri" w:eastAsia="Calibri" w:hAnsi="Calibri"/>
          <w:b/>
          <w:bCs/>
          <w:sz w:val="21"/>
          <w:szCs w:val="21"/>
        </w:rPr>
        <w:t xml:space="preserve">Regla de precedencia, que es la primera que hay que leer.</w:t>
      </w:r>
      <w:r>
        <w:rPr>
          <w:rFonts w:ascii="Calibri" w:cs="Calibri" w:eastAsia="Calibri" w:hAnsi="Calibri"/>
          <w:sz w:val="21"/>
          <w:szCs w:val="21"/>
        </w:rPr>
        <w:t xml:space="preserve"> Esta tabla </w:t>
      </w:r>
      <w:r>
        <w:rPr>
          <w:rFonts w:ascii="Calibri" w:cs="Calibri" w:eastAsia="Calibri" w:hAnsi="Calibri"/>
          <w:b/>
          <w:bCs/>
          <w:sz w:val="21"/>
          <w:szCs w:val="21"/>
        </w:rPr>
        <w:t xml:space="preserve">reproduce</w:t>
      </w:r>
      <w:r>
        <w:rPr>
          <w:rFonts w:ascii="Calibri" w:cs="Calibri" w:eastAsia="Calibri" w:hAnsi="Calibri"/>
          <w:sz w:val="21"/>
          <w:szCs w:val="21"/>
        </w:rPr>
        <w:t xml:space="preserve"> los valores que fijan las cláusulas; no los decide. Ante cualquier divergencia entre una fila de este anexo y el texto de la cláusula, </w:t>
      </w:r>
      <w:r>
        <w:rPr>
          <w:rFonts w:ascii="Calibri" w:cs="Calibri" w:eastAsia="Calibri" w:hAnsi="Calibri"/>
          <w:b/>
          <w:bCs/>
          <w:sz w:val="21"/>
          <w:szCs w:val="21"/>
        </w:rPr>
        <w:t xml:space="preserve">manda la cláusula</w:t>
      </w:r>
      <w:r>
        <w:rPr>
          <w:rFonts w:ascii="Calibri" w:cs="Calibri" w:eastAsia="Calibri" w:hAnsi="Calibri"/>
          <w:sz w:val="21"/>
          <w:szCs w:val="21"/>
        </w:rPr>
        <w:t xml:space="preserve">, y la fila se corrige.</w:t>
      </w:r>
    </w:p>
    <w:p>
      <w:pPr>
        <w:spacing w:after="140" w:line="276"/>
      </w:pPr>
      <w:r>
        <w:rPr>
          <w:rFonts w:ascii="Calibri" w:cs="Calibri" w:eastAsia="Calibri" w:hAnsi="Calibri"/>
          <w:b/>
          <w:bCs/>
          <w:sz w:val="21"/>
          <w:szCs w:val="21"/>
        </w:rPr>
        <w:t xml:space="preserve">Regla de uso:</w:t>
      </w:r>
      <w:r>
        <w:rPr>
          <w:rFonts w:ascii="Calibri" w:cs="Calibri" w:eastAsia="Calibri" w:hAnsi="Calibri"/>
          <w:sz w:val="21"/>
          <w:szCs w:val="21"/>
        </w:rPr>
        <w:t xml:space="preserve"> el valor por defecto se aplica salvo que concurra el supuesto de la última columna. Cuando se aparte de él, el expediente lo motiva en una línea. Cuando el parámetro afecte al precio, al valor estimado o a las penalidades, la motivación es obligatoria en todo caso.</w:t>
      </w:r>
    </w:p>
    <w:p>
      <w:pPr>
        <w:pStyle w:val="Heading3"/>
        <w:keepNext/>
        <w:spacing w:after="140" w:before="320"/>
      </w:pPr>
      <w:r>
        <w:rPr>
          <w:rFonts w:ascii="Georgia" w:cs="Georgia" w:eastAsia="Georgia" w:hAnsi="Georgia"/>
          <w:b/>
          <w:bCs/>
          <w:color w:val="2F5496"/>
          <w:sz w:val="22"/>
          <w:szCs w:val="22"/>
        </w:rPr>
        <w:t xml:space="preserve">X.1 Parámetros del articulado y del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fija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información y responsable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hay valor por defecto</w:t>
            </w:r>
            <w:r>
              <w:rPr>
                <w:rFonts w:ascii="Calibri" w:cs="Calibri" w:eastAsia="Calibri" w:hAnsi="Calibri"/>
                <w:b w:val="false"/>
                <w:bCs w:val="false"/>
                <w:sz w:val="18"/>
                <w:szCs w:val="18"/>
              </w:rPr>
              <w:t xml:space="preserve">: resulta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fija a priori. Escribir la categoría antes del análisis es el defecto que anula 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las exigencias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ET-2,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6 sólo si el contraste de mercado acredita que varios operadores ya lo ofrecen. </w:t>
            </w:r>
            <w:r>
              <w:rPr>
                <w:rFonts w:ascii="Calibri" w:cs="Calibri" w:eastAsia="Calibri" w:hAnsi="Calibri"/>
                <w:b/>
                <w:bCs/>
                <w:sz w:val="18"/>
                <w:szCs w:val="18"/>
              </w:rPr>
              <w:t xml:space="preserve">Nunca más de 18 meses ni más que la duración inicial del contrato</w:t>
            </w:r>
            <w:r>
              <w:rPr>
                <w:rFonts w:ascii="Calibri" w:cs="Calibri" w:eastAsia="Calibri" w:hAnsi="Calibri"/>
                <w:b w:val="false"/>
                <w:bCs w:val="false"/>
                <w:sz w:val="18"/>
                <w:szCs w:val="18"/>
              </w:rPr>
              <w:t xml:space="preserve">: más allá, la obligación se agota fuera de la vigencia útil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comunicación de una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r>
              <w:rPr>
                <w:rFonts w:ascii="Calibri" w:cs="Calibri" w:eastAsia="Calibri" w:hAnsi="Calibri"/>
                <w:b w:val="false"/>
                <w:bCs w:val="false"/>
                <w:sz w:val="18"/>
                <w:szCs w:val="18"/>
              </w:rPr>
              <w:t xml:space="preserve"> desde su disponibilidad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en soluciones con ciclos de publicación largos y despliegue por oleadas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registros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 y ET-1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y 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Reducible a 12 </w:t>
            </w: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cuando el sistema no sostenga funciones de control interno ni actos susceptibles de impugnación. El valor de la cláusula técnica y el del criterio de aceptación deben ser el mismo (Anexo V, regla V.A.1.7)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exportación del registro con resumen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si el volumen lo justifica y el análisis de riesgos lo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máximo de efecto de la suspensión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60 minutos en soluciones con procesamiento por lotes. Nunca «a la mayor brevedad»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Más en entidades con mayor plantilla de control. </w:t>
            </w:r>
            <w:r>
              <w:rPr>
                <w:rFonts w:ascii="Calibri" w:cs="Calibri" w:eastAsia="Calibri" w:hAnsi="Calibri"/>
                <w:b/>
                <w:bCs/>
                <w:sz w:val="18"/>
                <w:szCs w:val="18"/>
              </w:rPr>
              <w:t xml:space="preserve">Nunca 0</w:t>
            </w:r>
            <w:r>
              <w:rPr>
                <w:rFonts w:ascii="Calibri" w:cs="Calibri" w:eastAsia="Calibri" w:hAnsi="Calibri"/>
                <w:b w:val="false"/>
                <w:bCs w:val="false"/>
                <w:sz w:val="18"/>
                <w:szCs w:val="18"/>
              </w:rPr>
              <w:t xml:space="preserve">: sin número, la discusión vuelve al modelo de licenciamiento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Permanencia del acceso de control tras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extinción o hasta la fecha del </w:t>
            </w: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de DT-8·v3, apartado 8, o el vencimiento del plazo previsto para levantarla, lo que ocurra después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Inventario de Componentes y periodicidad de actualización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w:t>
            </w:r>
            <w:r>
              <w:rPr>
                <w:rFonts w:ascii="Calibri" w:cs="Calibri" w:eastAsia="Calibri" w:hAnsi="Calibri"/>
                <w:b w:val="false"/>
                <w:bCs w:val="false"/>
                <w:sz w:val="18"/>
                <w:szCs w:val="18"/>
              </w:rPr>
              <w:t xml:space="preserve"> desde la formalización y, después, </w:t>
            </w:r>
            <w:r>
              <w:rPr>
                <w:rFonts w:ascii="Calibri" w:cs="Calibri" w:eastAsia="Calibri" w:hAnsi="Calibri"/>
                <w:b/>
                <w:bCs/>
                <w:sz w:val="18"/>
                <w:szCs w:val="18"/>
              </w:rPr>
              <w:t xml:space="preserve">con cada versión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sustituye por una periodicidad fija: la actualización se anuda a la puesta en producción, que es el hecho que altera el inventario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ensayo real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Cada 24 meses</w:t>
            </w:r>
            <w:r>
              <w:rPr>
                <w:rFonts w:ascii="Calibri" w:cs="Calibri" w:eastAsia="Calibri" w:hAnsi="Calibri"/>
                <w:b w:val="false"/>
                <w:bCs w:val="false"/>
                <w:sz w:val="18"/>
                <w:szCs w:val="18"/>
              </w:rPr>
              <w:t xml:space="preserve">, y en todo caso durante el último año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12 meses en sistemas de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durante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 y el plazo se recoge en DT-8·v3.5 y en la definición de la Parte I, §5.2.d). No caben prórrogas que el texto de pliego no prevea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subsanación previo a la calificación del incumplimiento como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mes</w:t>
            </w:r>
            <w:r>
              <w:rPr>
                <w:rFonts w:ascii="Calibri" w:cs="Calibri" w:eastAsia="Calibri" w:hAnsi="Calibri"/>
                <w:b w:val="false"/>
                <w:bCs w:val="false"/>
                <w:sz w:val="18"/>
                <w:szCs w:val="18"/>
              </w:rPr>
              <w:t xml:space="preserve"> desde el requerimiento fehaciente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Ampliable por causa acreditada no imputable al 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 por retraso en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Los tramos de ADM-5·v3, apartado 2, literalmente</w:t>
            </w:r>
            <w:r>
              <w:rPr>
                <w:rFonts w:ascii="Calibri" w:cs="Calibri" w:eastAsia="Calibri" w:hAnsi="Calibri"/>
                <w:b w:val="false"/>
                <w:bCs w:val="false"/>
                <w:sz w:val="18"/>
                <w:szCs w:val="18"/>
              </w:rPr>
              <w:t xml:space="preserve">: leve, hasta el 0,5 %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grave, del 0,5 al 3 %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muy grave, del 3 al 6 % del </w:t>
            </w:r>
            <w:r>
              <w:rPr>
                <w:rFonts w:ascii="Calibri" w:cs="Calibri" w:eastAsia="Calibri" w:hAnsi="Calibri"/>
                <w:b/>
                <w:bCs/>
                <w:sz w:val="18"/>
                <w:szCs w:val="18"/>
              </w:rPr>
              <w:t xml:space="preserve">precio del contrato</w:t>
            </w:r>
            <w:r>
              <w:rPr>
                <w:rFonts w:ascii="Calibri" w:cs="Calibri" w:eastAsia="Calibri" w:hAnsi="Calibri"/>
                <w:b w:val="false"/>
                <w:bCs w:val="false"/>
                <w:sz w:val="18"/>
                <w:szCs w:val="18"/>
              </w:rPr>
              <w:t xml:space="preserve">. El tramo grave se aplica por cada mes o fracción de retraso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recalibra aquí: la base de cálculo y la unidad las fija ADM-5·v3. Límites legales infranqueables: cada penalidad no puede superar el 10 % del precio y el conjunto el 50 %, IVA excluido (art. 192.1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máxima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90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120 en objetos con más de cinco tareas en el guion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bloque de IA y tecnología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25 % del total del PCAP recomendado; 40 % límite absoluto, no superable en ningún caso</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15 % cuando el componente tecnológico sea accesorio. Entre el 25 % y el 40 %, motivación expresa en la memoria de criterios. Por encima del 40 %, no cabe motivación: el baremo es inválido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criterio de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Ajustable, con el límite del 51 % de criterios cualitativos en prestaciones de carácter intelectual (art. 145.4)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Suelo del plazo puntuable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que la puntuación premie plazos que nadie puede cumplir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apartado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 del presupuesto base de licitación de la duración inicial, sin IVA</w:t>
            </w:r>
            <w:r>
              <w:rPr>
                <w:rFonts w:ascii="Calibri" w:cs="Calibri" w:eastAsia="Calibri" w:hAnsi="Calibri"/>
                <w:b w:val="false"/>
                <w:bCs w:val="false"/>
                <w:sz w:val="18"/>
                <w:szCs w:val="18"/>
              </w:rPr>
              <w:t xml:space="preserve">, en horas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superior al 10 % de esa misma base. Sólo en contratos de desarrollo o mantenimiento de aplicaciones (art. 308.3 LCSP). Si el contrato prevé prórrogas, el pliego dice </w:t>
            </w:r>
            <w:r>
              <w:rPr>
                <w:rFonts w:ascii="Calibri" w:cs="Calibri" w:eastAsia="Calibri" w:hAnsi="Calibri"/>
                <w:b/>
                <w:bCs/>
                <w:sz w:val="18"/>
                <w:szCs w:val="18"/>
              </w:rPr>
              <w:t xml:space="preserve">expresamente</w:t>
            </w:r>
            <w:r>
              <w:rPr>
                <w:rFonts w:ascii="Calibri" w:cs="Calibri" w:eastAsia="Calibri" w:hAnsi="Calibri"/>
                <w:b w:val="false"/>
                <w:bCs w:val="false"/>
                <w:sz w:val="18"/>
                <w:szCs w:val="18"/>
              </w:rPr>
              <w:t xml:space="preserve"> si la bolsa se dota también para cada anualidad prorrogada y por qué importe. Está </w:t>
            </w:r>
            <w:r>
              <w:rPr>
                <w:rFonts w:ascii="Calibri" w:cs="Calibri" w:eastAsia="Calibri" w:hAnsi="Calibri"/>
                <w:b/>
                <w:bCs/>
                <w:sz w:val="18"/>
                <w:szCs w:val="18"/>
              </w:rPr>
              <w:t xml:space="preserve">dentro</w:t>
            </w:r>
            <w:r>
              <w:rPr>
                <w:rFonts w:ascii="Calibri" w:cs="Calibri" w:eastAsia="Calibri" w:hAnsi="Calibri"/>
                <w:b w:val="false"/>
                <w:bCs w:val="false"/>
                <w:sz w:val="18"/>
                <w:szCs w:val="18"/>
              </w:rPr>
              <w:t xml:space="preserve"> del presupuesto base de licitación y, con él,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Porcentaje de la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 por defecto no se incorpora.</w:t>
            </w:r>
            <w:r>
              <w:rPr>
                <w:rFonts w:ascii="Calibri" w:cs="Calibri" w:eastAsia="Calibri" w:hAnsi="Calibri"/>
                <w:b w:val="false"/>
                <w:bCs w:val="false"/>
                <w:sz w:val="18"/>
                <w:szCs w:val="18"/>
              </w:rPr>
              <w:t xml:space="preserve"> Si se incorpora: «[X, en ningún caso superior al VEINTE] por ciento», con recomendación de </w:t>
            </w:r>
            <w:r>
              <w:rPr>
                <w:rFonts w:ascii="Calibri" w:cs="Calibri" w:eastAsia="Calibri" w:hAnsi="Calibri"/>
                <w:b/>
                <w:bCs/>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catálogo no cubra necesidades identificadas, exista Cuadro de Precios Unitarios y el valor estimado resultante no cruce un umbral sin que el expediente lo asuma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activación del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Las cuatro circunstancias del apartado 1 de ADM-11·v3, de concurrencia acumulativa</w:t>
            </w:r>
            <w:r>
              <w:rPr>
                <w:rFonts w:ascii="Calibri" w:cs="Calibri" w:eastAsia="Calibri" w:hAnsi="Calibri"/>
                <w:b w:val="false"/>
                <w:bCs w:val="false"/>
                <w:sz w:val="18"/>
                <w:szCs w:val="18"/>
              </w:rPr>
              <w:t xml:space="preserve">: (a) categoría ALTA en la dimensión de </w:t>
            </w:r>
            <w:r>
              <w:rPr>
                <w:rFonts w:ascii="Calibri" w:cs="Calibri" w:eastAsia="Calibri" w:hAnsi="Calibri"/>
                <w:b/>
                <w:bCs/>
                <w:sz w:val="18"/>
                <w:szCs w:val="18"/>
              </w:rPr>
              <w:t xml:space="preserve">disponibilidad</w:t>
            </w:r>
            <w:r>
              <w:rPr>
                <w:rFonts w:ascii="Calibri" w:cs="Calibri" w:eastAsia="Calibri" w:hAnsi="Calibri"/>
                <w:b w:val="false"/>
                <w:bCs w:val="false"/>
                <w:sz w:val="18"/>
                <w:szCs w:val="18"/>
              </w:rPr>
              <w:t xml:space="preserve">; (b) valor estimado superior a </w:t>
            </w:r>
            <w:r>
              <w:rPr>
                <w:rFonts w:ascii="Calibri" w:cs="Calibri" w:eastAsia="Calibri" w:hAnsi="Calibri"/>
                <w:b/>
                <w:bCs/>
                <w:sz w:val="18"/>
                <w:szCs w:val="18"/>
              </w:rPr>
              <w:t xml:space="preserve">300.000 €</w:t>
            </w:r>
            <w:r>
              <w:rPr>
                <w:rFonts w:ascii="Calibri" w:cs="Calibri" w:eastAsia="Calibri" w:hAnsi="Calibri"/>
                <w:b w:val="false"/>
                <w:bCs w:val="false"/>
                <w:sz w:val="18"/>
                <w:szCs w:val="18"/>
              </w:rPr>
              <w:t xml:space="preserve">; (c) servicio de la lista tasada (padrón, tributos, recaudación, contabilidad, gestión de expedientes, sede); y (d) estudio de mercado que acredite que no hay alternativa sustituible en menos de 6 meses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 defecto de cualquiera de ellas, la cláusula se marca NO APLICA.</w:t>
            </w:r>
            <w:r>
              <w:rPr>
                <w:rFonts w:ascii="Calibri" w:cs="Calibri" w:eastAsia="Calibri" w:hAnsi="Calibri"/>
                <w:b w:val="false"/>
                <w:bCs w:val="false"/>
                <w:sz w:val="18"/>
                <w:szCs w:val="18"/>
              </w:rPr>
              <w:t xml:space="preserve"> No son vías alternativas. Rebajar el umbral económico exige motivación en la memoria: el depósito tiene coste y va al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aplicación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 </w:t>
            </w:r>
            <w:r>
              <w:rPr>
                <w:rFonts w:ascii="Calibri" w:cs="Calibri" w:eastAsia="Calibri" w:hAnsi="Calibri"/>
                <w:b/>
                <w:bCs/>
                <w:sz w:val="18"/>
                <w:szCs w:val="18"/>
              </w:rPr>
              <w:t xml:space="preserve">200.000 €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el procedimiento abreviado y sólo cabe en el simplificado dentro de los topes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Comisión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menor cuantía; trimestral el primer año tras una implantación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operadores que deben poder cumplir una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contraste arroja menos de 3, la exigencia </w:t>
            </w:r>
            <w:r>
              <w:rPr>
                <w:rFonts w:ascii="Calibri" w:cs="Calibri" w:eastAsia="Calibri" w:hAnsi="Calibri"/>
                <w:b/>
                <w:bCs/>
                <w:sz w:val="18"/>
                <w:szCs w:val="18"/>
              </w:rPr>
              <w:t xml:space="preserve">no se incorpora</w:t>
            </w:r>
            <w:r>
              <w:rPr>
                <w:rFonts w:ascii="Calibri" w:cs="Calibri" w:eastAsia="Calibri" w:hAnsi="Calibri"/>
                <w:b w:val="false"/>
                <w:bCs w:val="false"/>
                <w:sz w:val="18"/>
                <w:szCs w:val="18"/>
              </w:rPr>
              <w:t xml:space="preserve"> ese ejercicio: se aplaza al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días naturales</w:t>
            </w:r>
            <w:r>
              <w:rPr>
                <w:rFonts w:ascii="Calibri" w:cs="Calibri" w:eastAsia="Calibri" w:hAnsi="Calibri"/>
                <w:b w:val="false"/>
                <w:bCs w:val="false"/>
                <w:sz w:val="18"/>
                <w:szCs w:val="18"/>
              </w:rPr>
              <w:t xml:space="preserve"> sobre el mínimo legal cuando el pliego incorpore por primera vez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obtención de la certificación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 con medidas equivalentes documentadas entretanto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Variante abierta</w:t>
            </w:r>
            <w:r>
              <w:rPr>
                <w:rFonts w:ascii="Calibri" w:cs="Calibri" w:eastAsia="Calibri" w:hAnsi="Calibri"/>
                <w:b w:val="false"/>
                <w:bCs w:val="false"/>
                <w:sz w:val="18"/>
                <w:szCs w:val="18"/>
              </w:rPr>
              <w:t xml:space="preserve"> (la del texto de la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archivos de registro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 que activa 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 criptográfica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 técnico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de esos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de vulnerabilidades por severidad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con que debe estar disponible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r>
              <w:rPr>
                <w:rFonts w:ascii="Calibri" w:cs="Calibri" w:eastAsia="Calibri" w:hAnsi="Calibri"/>
                <w:b w:val="false"/>
                <w:bCs w:val="false"/>
                <w:sz w:val="18"/>
                <w:szCs w:val="18"/>
              </w:rPr>
              <w:t xml:space="preserve">, con silencio a favor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el acta de reversión o desde el vencimiento del plazo para levantarla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y cláusulas DT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o 30 días</w:t>
            </w:r>
            <w:r>
              <w:rPr>
                <w:rFonts w:ascii="Calibri" w:cs="Calibri" w:eastAsia="Calibri" w:hAnsi="Calibri"/>
                <w:b w:val="false"/>
                <w:bCs w:val="false"/>
                <w:sz w:val="18"/>
                <w:szCs w:val="18"/>
              </w:rPr>
              <w:t xml:space="preserve">,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bl>
    <w:p>
      <w:pPr>
        <w:spacing w:after="200"/>
      </w:pPr>
    </w:p>
    <w:p>
      <w:pPr>
        <w:spacing w:after="140" w:line="276"/>
      </w:pPr>
      <w:r>
        <w:rPr>
          <w:rFonts w:ascii="Calibri" w:cs="Calibri" w:eastAsia="Calibri" w:hAnsi="Calibri"/>
          <w:b/>
          <w:bCs/>
          <w:sz w:val="21"/>
          <w:szCs w:val="21"/>
        </w:rPr>
        <w:t xml:space="preserve">Qué no está aquí, y dónde está.</w:t>
      </w:r>
      <w:r>
        <w:rPr>
          <w:rFonts w:ascii="Calibri" w:cs="Calibri" w:eastAsia="Calibri" w:hAnsi="Calibri"/>
          <w:sz w:val="21"/>
          <w:szCs w:val="21"/>
        </w:rPr>
        <w:t xml:space="preserve"> Los plazos y umbrales de trámite interno de las cláusulas administrativas no se consolidan en esta tabla: </w:t>
      </w:r>
      <w:r>
        <w:rPr>
          <w:rFonts w:ascii="Calibri" w:cs="Calibri" w:eastAsia="Calibri" w:hAnsi="Calibri"/>
          <w:b/>
          <w:bCs/>
          <w:sz w:val="21"/>
          <w:szCs w:val="21"/>
        </w:rPr>
        <w:t xml:space="preserve">su sede es el texto de pliego de la cláusula que los fija</w:t>
      </w:r>
      <w:r>
        <w:rPr>
          <w:rFonts w:ascii="Calibri" w:cs="Calibri" w:eastAsia="Calibri" w:hAnsi="Calibri"/>
          <w:sz w:val="21"/>
          <w:szCs w:val="21"/>
        </w:rPr>
        <w:t xml:space="preserve">, con su valor recomendado, y allí se consultan y se mueven. Son cuatro, y ésta es la relación completa: </w:t>
      </w:r>
      <w:r>
        <w:rPr>
          <w:rFonts w:ascii="Calibri" w:cs="Calibri" w:eastAsia="Calibri" w:hAnsi="Calibri"/>
          <w:b/>
          <w:bCs/>
          <w:sz w:val="21"/>
          <w:szCs w:val="21"/>
        </w:rPr>
        <w:t xml:space="preserve">audiencia previa a la imposición de una penalidad</w:t>
      </w:r>
      <w:r>
        <w:rPr>
          <w:rFonts w:ascii="Calibri" w:cs="Calibri" w:eastAsia="Calibri" w:hAnsi="Calibri"/>
          <w:sz w:val="21"/>
          <w:szCs w:val="21"/>
        </w:rPr>
        <w:t xml:space="preserve">, ADM-5·v3, apartado 4; </w:t>
      </w:r>
      <w:r>
        <w:rPr>
          <w:rFonts w:ascii="Calibri" w:cs="Calibri" w:eastAsia="Calibri" w:hAnsi="Calibri"/>
          <w:b/>
          <w:bCs/>
          <w:sz w:val="21"/>
          <w:szCs w:val="21"/>
        </w:rPr>
        <w:t xml:space="preserve">umbral de penalidades acumuladas que obliga a valorar expresamente la resolución</w:t>
      </w:r>
      <w:r>
        <w:rPr>
          <w:rFonts w:ascii="Calibri" w:cs="Calibri" w:eastAsia="Calibri" w:hAnsi="Calibri"/>
          <w:sz w:val="21"/>
          <w:szCs w:val="21"/>
        </w:rPr>
        <w:t xml:space="preserve">, ADM-5·v3, apartado 5; </w:t>
      </w:r>
      <w:r>
        <w:rPr>
          <w:rFonts w:ascii="Calibri" w:cs="Calibri" w:eastAsia="Calibri" w:hAnsi="Calibri"/>
          <w:b/>
          <w:bCs/>
          <w:sz w:val="21"/>
          <w:szCs w:val="21"/>
        </w:rPr>
        <w:t xml:space="preserve">audiencia previa a la liberación del depósito de código</w:t>
      </w:r>
      <w:r>
        <w:rPr>
          <w:rFonts w:ascii="Calibri" w:cs="Calibri" w:eastAsia="Calibri" w:hAnsi="Calibri"/>
          <w:sz w:val="21"/>
          <w:szCs w:val="21"/>
        </w:rPr>
        <w:t xml:space="preserve">, ADM-11·v3, apartado 6; y </w:t>
      </w:r>
      <w:r>
        <w:rPr>
          <w:rFonts w:ascii="Calibri" w:cs="Calibri" w:eastAsia="Calibri" w:hAnsi="Calibri"/>
          <w:b/>
          <w:bCs/>
          <w:sz w:val="21"/>
          <w:szCs w:val="21"/>
        </w:rPr>
        <w:t xml:space="preserve">umbrales de duración y de valor estimado por debajo de los cuales no se constituye la Comisión de Seguimiento</w:t>
      </w:r>
      <w:r>
        <w:rPr>
          <w:rFonts w:ascii="Calibri" w:cs="Calibri" w:eastAsia="Calibri" w:hAnsi="Calibri"/>
          <w:sz w:val="21"/>
          <w:szCs w:val="21"/>
        </w:rPr>
        <w:t xml:space="preserve">, ADM-4·v3, epígrafe 7. No se duplican aquí a propósito: dos redacciones del mismo plazo es el defecto que la regla de precedencia de este anexo existe para evitar. Cuando un plazo de trámite </w:t>
      </w:r>
      <w:r>
        <w:rPr>
          <w:rFonts w:ascii="Calibri" w:cs="Calibri" w:eastAsia="Calibri" w:hAnsi="Calibri"/>
          <w:b/>
          <w:bCs/>
          <w:sz w:val="21"/>
          <w:szCs w:val="21"/>
        </w:rPr>
        <w:t xml:space="preserve">sí</w:t>
      </w:r>
      <w:r>
        <w:rPr>
          <w:rFonts w:ascii="Calibri" w:cs="Calibri" w:eastAsia="Calibri" w:hAnsi="Calibri"/>
          <w:sz w:val="21"/>
          <w:szCs w:val="21"/>
        </w:rPr>
        <w:t xml:space="preserve"> figura en la tabla anterior —el mes de subsanación previo a la calificación del incumplimiento como esencial, fila 13—, la tabla lo reproduce y no lo decide: manda la cláusula.</w:t>
      </w:r>
    </w:p>
    <w:p>
      <w:pPr>
        <w:pStyle w:val="Heading3"/>
        <w:keepNext/>
        <w:spacing w:after="140" w:before="320"/>
      </w:pPr>
      <w:r>
        <w:rPr>
          <w:rFonts w:ascii="Georgia" w:cs="Georgia" w:eastAsia="Georgia" w:hAnsi="Georgia"/>
          <w:b/>
          <w:bCs/>
          <w:color w:val="2F5496"/>
          <w:sz w:val="22"/>
          <w:szCs w:val="22"/>
        </w:rPr>
        <w:t xml:space="preserve">X.2 Umbrales y límites legales</w:t>
      </w:r>
    </w:p>
    <w:p>
      <w:pPr>
        <w:spacing w:after="140" w:line="276"/>
      </w:pPr>
      <w:r>
        <w:rPr>
          <w:rFonts w:ascii="Calibri" w:cs="Calibri" w:eastAsia="Calibri" w:hAnsi="Calibri"/>
          <w:sz w:val="21"/>
          <w:szCs w:val="21"/>
        </w:rPr>
        <w:t xml:space="preserve">Se recogen con su precepto. </w:t>
      </w:r>
      <w:r>
        <w:rPr>
          <w:rFonts w:ascii="Calibri" w:cs="Calibri" w:eastAsia="Calibri" w:hAnsi="Calibri"/>
          <w:b/>
          <w:bCs/>
          <w:sz w:val="21"/>
          <w:szCs w:val="21"/>
        </w:rPr>
        <w:t xml:space="preserve">Antes de publicar, compruébese la redacción vigente</w:t>
      </w:r>
      <w:r>
        <w:rPr>
          <w:rFonts w:ascii="Calibri" w:cs="Calibri" w:eastAsia="Calibri" w:hAnsi="Calibri"/>
          <w:sz w:val="21"/>
          <w:szCs w:val="21"/>
        </w:rPr>
        <w:t xml:space="preserve">: los umbrales de la Unión Europea se revisan cada dos años y los del procedimiento se han modificado en el pasado. Se separan los que </w:t>
      </w:r>
      <w:r>
        <w:rPr>
          <w:rFonts w:ascii="Calibri" w:cs="Calibri" w:eastAsia="Calibri" w:hAnsi="Calibri"/>
          <w:b/>
          <w:bCs/>
          <w:sz w:val="21"/>
          <w:szCs w:val="21"/>
        </w:rPr>
        <w:t xml:space="preserve">determinan el procedimiento y el acceso al recurso</w:t>
      </w:r>
      <w:r>
        <w:rPr>
          <w:rFonts w:ascii="Calibri" w:cs="Calibri" w:eastAsia="Calibri" w:hAnsi="Calibri"/>
          <w:sz w:val="21"/>
          <w:szCs w:val="21"/>
        </w:rPr>
        <w:t xml:space="preserve"> —que son los cuatro umbrales de la Parte V, V.4.10, fuente única— de los </w:t>
      </w:r>
      <w:r>
        <w:rPr>
          <w:rFonts w:ascii="Calibri" w:cs="Calibri" w:eastAsia="Calibri" w:hAnsi="Calibri"/>
          <w:b/>
          <w:bCs/>
          <w:sz w:val="21"/>
          <w:szCs w:val="21"/>
        </w:rPr>
        <w:t xml:space="preserve">límites legales de cuantía</w:t>
      </w:r>
      <w:r>
        <w:rPr>
          <w:rFonts w:ascii="Calibri" w:cs="Calibri" w:eastAsia="Calibri" w:hAnsi="Calibri"/>
          <w:sz w:val="21"/>
          <w:szCs w:val="21"/>
        </w:rPr>
        <w:t xml:space="preserve">, que no son umbrales de procedimiento y no se manejan como tales.</w:t>
      </w:r>
    </w:p>
    <w:p>
      <w:pPr>
        <w:spacing w:after="140" w:line="276"/>
      </w:pPr>
      <w:r>
        <w:rPr>
          <w:rFonts w:ascii="Calibri" w:cs="Calibri" w:eastAsia="Calibri" w:hAnsi="Calibri"/>
          <w:b/>
          <w:bCs/>
          <w:sz w:val="21"/>
          <w:szCs w:val="21"/>
        </w:rPr>
        <w:t xml:space="preserve">X.2.a · Umbrales que determinan el procedimiento y el recurso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Caducidad / 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15.000 € en servicios y suministros; inferior a 40.000 €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Compruébese la redacción vigente. Reglas específicas del catálogo para menores en la Parte I, §2.4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60.000 € de valor estimado en servicios y suministros; 80.000 €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prestaciones de carácter intelectual; no admite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en servicios y suministros; superior a 3.000.000 € en obras y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son directamente recurribles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216.000 € en servicios y suministros adjudicados por entidades distintas de la Administración General del Estado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Compruébese antes de cada uso</w:t>
            </w:r>
            <w:r>
              <w:rPr>
                <w:rFonts w:ascii="Calibri" w:cs="Calibri" w:eastAsia="Calibri" w:hAnsi="Calibri"/>
                <w:b w:val="false"/>
                <w:bCs w:val="false"/>
                <w:sz w:val="18"/>
                <w:szCs w:val="18"/>
              </w:rPr>
              <w:t xml:space="preserve">: se actualiza cada dos años. El importe vigente en obras y concesiones es 5.404.000 €</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 autónomo)</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100.000 € de valor estimado en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Coincide en cuantía con el del recurso especial. Además, tope de juicio de valor del art. 159.1.b): 25 % general, 45 % en prestaciones de carácter intelectual</w:t>
            </w:r>
          </w:p>
        </w:tc>
      </w:tr>
    </w:tbl>
    <w:p>
      <w:pPr>
        <w:spacing w:after="200"/>
      </w:pPr>
    </w:p>
    <w:p>
      <w:pPr>
        <w:spacing w:after="140" w:line="276"/>
      </w:pPr>
      <w:r>
        <w:rPr>
          <w:rFonts w:ascii="Calibri" w:cs="Calibri" w:eastAsia="Calibri" w:hAnsi="Calibri"/>
          <w:b/>
          <w:bCs/>
          <w:sz w:val="21"/>
          <w:szCs w:val="21"/>
        </w:rPr>
        <w:t xml:space="preserve">X.2.b · Límites legales de cuantía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Límite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material de la inversión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intervención de la comprobación material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 del precio por cada penalidad; 50 % del precio en su conjunto,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no parámetro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cualitativos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51 % como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del precio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La modificación no puede suponer nuevos precios unitarios no previstos (art. 204.1.b)</w:t>
            </w:r>
          </w:p>
        </w:tc>
      </w:tr>
    </w:tbl>
    <w:p>
      <w:pPr>
        <w:spacing w:after="200"/>
      </w:pPr>
    </w:p>
    <w:p>
      <w:pPr>
        <w:pStyle w:val="Heading3"/>
        <w:keepNext/>
        <w:spacing w:after="140" w:before="320"/>
      </w:pPr>
      <w:r>
        <w:rPr>
          <w:rFonts w:ascii="Georgia" w:cs="Georgia" w:eastAsia="Georgia" w:hAnsi="Georgia"/>
          <w:b/>
          <w:bCs/>
          <w:color w:val="2F5496"/>
          <w:sz w:val="22"/>
          <w:szCs w:val="22"/>
        </w:rPr>
        <w:t xml:space="preserve">X.3 Modelo mínimo del Cuadro de Precios Unitarios</w:t>
      </w:r>
    </w:p>
    <w:p>
      <w:pPr>
        <w:spacing w:after="140" w:line="276"/>
      </w:pPr>
      <w:r>
        <w:rPr>
          <w:rFonts w:ascii="Calibri" w:cs="Calibri" w:eastAsia="Calibri" w:hAnsi="Calibri"/>
          <w:sz w:val="21"/>
          <w:szCs w:val="21"/>
        </w:rPr>
        <w:t xml:space="preserve">El Cuadro de Precios Unitarios se presenta </w:t>
      </w:r>
      <w:r>
        <w:rPr>
          <w:rFonts w:ascii="Calibri" w:cs="Calibri" w:eastAsia="Calibri" w:hAnsi="Calibri"/>
          <w:b/>
          <w:bCs/>
          <w:sz w:val="21"/>
          <w:szCs w:val="21"/>
        </w:rPr>
        <w:t xml:space="preserve">con la oferta</w:t>
      </w:r>
      <w:r>
        <w:rPr>
          <w:rFonts w:ascii="Calibri" w:cs="Calibri" w:eastAsia="Calibri" w:hAnsi="Calibri"/>
          <w:sz w:val="21"/>
          <w:szCs w:val="21"/>
        </w:rPr>
        <w:t xml:space="preserve"> y sirve a dos cosas a la vez: fija el precio de la bolsa de servicios evolutivos (ADM-3·v3, bloque 2, al amparo del art. 308.3 LCSP, que permite definir el objeto por componentes de prestación con precio por unidades de actividad) y convierte una eventual modificación prevista en una multiplicación en lugar de una negociación. Se incorpora al PCAP como anexo propio del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CUADRO DE PRECIOS UNITARIOS</w:t>
            </w:r>
            <w:r>
              <w:rPr>
                <w:rFonts w:ascii="Georgia" w:cs="Georgia" w:eastAsia="Georgia" w:hAnsi="Georgia"/>
                <w:sz w:val="20"/>
                <w:szCs w:val="20"/>
              </w:rPr>
              <w:t xml:space="preserve"> </w:t>
            </w:r>
            <w:r>
              <w:rPr>
                <w:rFonts w:ascii="Georgia" w:cs="Georgia" w:eastAsia="Georgia" w:hAnsi="Georgia"/>
                <w:i/>
                <w:iCs/>
                <w:sz w:val="20"/>
                <w:szCs w:val="20"/>
              </w:rPr>
              <w:t xml:space="preserve">(se presenta con la oferta, en el sobre de criterios evaluables mediante fórmula)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profesional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Precio/hora (IVA excluido)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Ponderación a efectos del criterio de valoración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Analista-programador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35]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sistemas /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bl>
          <w:p>
            <w:pPr>
              <w:spacing w:after="8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de despliegue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 unitario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Puesta en producción de un módulo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Integración con un sistema municipal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Función adicional expuesta en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Jornada de formación presencial (7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La suma de las ponderaciones anteriores debe ser 100</w:t>
            </w:r>
            <w:r>
              <w:rPr>
                <w:rFonts w:ascii="Georgia" w:cs="Georgia" w:eastAsia="Georgia" w:hAnsi="Georgia"/>
                <w:sz w:val="20"/>
                <w:szCs w:val="20"/>
              </w:rPr>
              <w:t xml:space="preserve"> y responder a la cesta de consumo previsible del contrato, motivada en el expediente. Una ponderación que no refleje el consumo real convierte el criterio de precio unitario en un criterio arbitrario.</w:t>
            </w:r>
          </w:p>
          <w:p>
            <w:pPr>
              <w:spacing w:after="100" w:line="264"/>
            </w:pPr>
            <w:r>
              <w:rPr>
                <w:rFonts w:ascii="Georgia" w:cs="Georgia" w:eastAsia="Georgia" w:hAnsi="Georgia"/>
                <w:sz w:val="20"/>
                <w:szCs w:val="20"/>
              </w:rPr>
              <w:t xml:space="preserve">Los precios unitarios ofertados son fijos durante toda la vigencia del contrato y de sus prórrogas, sin perjuicio de la revisión de precios cuando proceda conforme al pliego. Las peticiones de servicio con cargo a la bolsa las cursa el responsable del contrato mediante encargo escrito con alcance, unidades y plazo; en ningún caso comportan el ejercicio de facultades de dirección sobre el personal del contratista. Las horas no consumidas al término del contrato no son facturables.</w:t>
            </w:r>
          </w:p>
        </w:tc>
      </w:tr>
    </w:tbl>
    <w:p>
      <w:pPr>
        <w:spacing w:after="220"/>
      </w:pPr>
    </w:p>
    <w:p>
      <w:pPr>
        <w:spacing w:after="140" w:line="276"/>
      </w:pPr>
      <w:r>
        <w:rPr>
          <w:rFonts w:ascii="Calibri" w:cs="Calibri" w:eastAsia="Calibri" w:hAnsi="Calibri"/>
          <w:b/>
          <w:bCs/>
          <w:sz w:val="21"/>
          <w:szCs w:val="21"/>
        </w:rPr>
        <w:t xml:space="preserve">Advertencia de fiscalización.</w:t>
      </w:r>
      <w:r>
        <w:rPr>
          <w:rFonts w:ascii="Calibri" w:cs="Calibri" w:eastAsia="Calibri" w:hAnsi="Calibri"/>
          <w:sz w:val="21"/>
          <w:szCs w:val="21"/>
        </w:rPr>
        <w:t xml:space="preserve"> Las dos preguntas que la Intervención hará sobre la bolsa son: si se abonan las horas no consumidas —no se abonan, y así consta arriba— y cómo se garantiza la determinación del objeto (art. 99.1 LCSP) si el contenido concreto se fija durante la ejecución. La respuesta está en el art. 308.3 LCSP: el objeto se define por componentes de prestación, con precio por unidades de actividad, y el pliego prevé expresamente la concreción de las funcionalidades durante la ejecución. Esa previsión debe figurar en el PCAP con esas palabras, y la bolsa </w:t>
      </w:r>
      <w:r>
        <w:rPr>
          <w:rFonts w:ascii="Calibri" w:cs="Calibri" w:eastAsia="Calibri" w:hAnsi="Calibri"/>
          <w:b/>
          <w:bCs/>
          <w:sz w:val="21"/>
          <w:szCs w:val="21"/>
        </w:rPr>
        <w:t xml:space="preserve">computa</w:t>
      </w:r>
      <w:r>
        <w:rPr>
          <w:rFonts w:ascii="Calibri" w:cs="Calibri" w:eastAsia="Calibri" w:hAnsi="Calibri"/>
          <w:sz w:val="21"/>
          <w:szCs w:val="21"/>
        </w:rPr>
        <w:t xml:space="preserve"> en el presupuesto base de licitación y en el valor estimado.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 · ANEXO DE VIGENCIA NORMATIVA</w:t>
      </w:r>
    </w:p>
    <w:p>
      <w:pPr>
        <w:spacing w:after="140" w:line="276"/>
      </w:pPr>
      <w:r>
        <w:rPr>
          <w:rFonts w:ascii="Calibri" w:cs="Calibri" w:eastAsia="Calibri" w:hAnsi="Calibri"/>
          <w:b/>
          <w:bCs/>
          <w:sz w:val="21"/>
          <w:szCs w:val="21"/>
        </w:rPr>
        <w:t xml:space="preserve">Fecha de corte: 1 de septiembre de 2026.</w:t>
      </w:r>
      <w:r>
        <w:rPr>
          <w:rFonts w:ascii="Calibri" w:cs="Calibri" w:eastAsia="Calibri" w:hAnsi="Calibri"/>
          <w:sz w:val="21"/>
          <w:szCs w:val="21"/>
        </w:rPr>
        <w:t xml:space="preserve"> Este anexo se revisa con periodicidad anual, junto con el Catálogo de Exigencias Tecnológicas. La versión aplicable a un contrato es la vigente en la fecha de aprobación de su expediente; su actualización posterior no altera las obligaciones del contrato ya adjudicado.</w:t>
      </w:r>
    </w:p>
    <w:p>
      <w:pPr>
        <w:spacing w:after="140" w:line="276"/>
      </w:pPr>
      <w:r>
        <w:rPr>
          <w:rFonts w:ascii="Calibri" w:cs="Calibri" w:eastAsia="Calibri" w:hAnsi="Calibri"/>
          <w:b/>
          <w:bCs/>
          <w:sz w:val="21"/>
          <w:szCs w:val="21"/>
        </w:rPr>
        <w:t xml:space="preserve">Por qué existe este anexo.</w:t>
      </w:r>
      <w:r>
        <w:rPr>
          <w:rFonts w:ascii="Calibri" w:cs="Calibri" w:eastAsia="Calibri" w:hAnsi="Calibri"/>
          <w:sz w:val="21"/>
          <w:szCs w:val="21"/>
        </w:rPr>
        <w:t xml:space="preserve"> Un pliego puede exigir más de lo que la ley exige hoy: eso es una decisión del órgano de contratación, y es legítima si es proporcionada y está motivada. Lo que no puede hacer es </w:t>
      </w:r>
      <w:r>
        <w:rPr>
          <w:rFonts w:ascii="Calibri" w:cs="Calibri" w:eastAsia="Calibri" w:hAnsi="Calibri"/>
          <w:b/>
          <w:bCs/>
          <w:sz w:val="21"/>
          <w:szCs w:val="21"/>
        </w:rPr>
        <w:t xml:space="preserve">presentar como obligación legal vigente lo que la norma todavía no impone</w:t>
      </w:r>
      <w:r>
        <w:rPr>
          <w:rFonts w:ascii="Calibri" w:cs="Calibri" w:eastAsia="Calibri" w:hAnsi="Calibri"/>
          <w:sz w:val="21"/>
          <w:szCs w:val="21"/>
        </w:rPr>
        <w:t xml:space="preserve">. La confusión entre ambas cosas es un problema de proporcionalidad y, en un documento publicado en abierto, un problema de credibilidad.</w:t>
      </w:r>
    </w:p>
    <w:p>
      <w:pPr>
        <w:pStyle w:val="Heading3"/>
        <w:keepNext/>
        <w:spacing w:after="140" w:before="320"/>
      </w:pPr>
      <w:r>
        <w:rPr>
          <w:rFonts w:ascii="Georgia" w:cs="Georgia" w:eastAsia="Georgia" w:hAnsi="Georgia"/>
          <w:b/>
          <w:bCs/>
          <w:color w:val="2F5496"/>
          <w:sz w:val="22"/>
          <w:szCs w:val="22"/>
        </w:rPr>
        <w:t xml:space="preserve">XI.1 El calendario del Reglamento de IA tras la modificación de 2026</w:t>
      </w:r>
    </w:p>
    <w:p>
      <w:pPr>
        <w:spacing w:after="140" w:line="276"/>
      </w:pPr>
      <w:r>
        <w:rPr>
          <w:rFonts w:ascii="Calibri" w:cs="Calibri" w:eastAsia="Calibri" w:hAnsi="Calibri"/>
          <w:sz w:val="21"/>
          <w:szCs w:val="21"/>
        </w:rPr>
        <w:t xml:space="preserve">El Reglamento (UE) 2024/1689 se cita en todo este documento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por el que se modifican los Reglamentos (UE) 2024/1689, (UE) 2018/1139 y (UE) 2023/1230, publicado en el Diario Oficial de la Unión Europea de 24 de julio de 2026 y en vigor desde el 27 de julio de 2026 (referencia del BOE: DOUE-L-2026-81147). Literal verificado del considerando que fija las nuevas fechas:</w:t>
      </w:r>
    </w:p>
    <w:p>
      <w:pPr>
        <w:pBdr>
          <w:left w:val="single" w:color="BFBFBF" w:sz="12" w:space="8"/>
        </w:pBdr>
        <w:spacing w:after="140" w:line="264"/>
        <w:ind w:left="400"/>
      </w:pPr>
      <w:r>
        <w:rPr>
          <w:rFonts w:ascii="Georgia" w:cs="Georgia" w:eastAsia="Georgia" w:hAnsi="Georgia"/>
          <w:i/>
          <w:iCs/>
          <w:color w:val="595959"/>
          <w:sz w:val="20"/>
          <w:szCs w:val="20"/>
        </w:rPr>
        <w:t xml:space="preserve">«procede fijar la fecha de aplicación del capítulo III, secciones 1, 2 y 3 el </w:t>
      </w:r>
      <w:r>
        <w:rPr>
          <w:rFonts w:ascii="Georgia" w:cs="Georgia" w:eastAsia="Georgia" w:hAnsi="Georgia"/>
          <w:b/>
          <w:bCs/>
          <w:i/>
          <w:iCs/>
          <w:color w:val="595959"/>
          <w:sz w:val="20"/>
          <w:szCs w:val="20"/>
        </w:rPr>
        <w:t xml:space="preserve">2 de diciembre de 2027</w:t>
      </w:r>
      <w:r>
        <w:rPr>
          <w:rFonts w:ascii="Georgia" w:cs="Georgia" w:eastAsia="Georgia" w:hAnsi="Georgia"/>
          <w:i/>
          <w:iCs/>
          <w:color w:val="595959"/>
          <w:sz w:val="20"/>
          <w:szCs w:val="20"/>
        </w:rPr>
        <w:t xml:space="preserve"> en el caso de los sistemas de IA clasificados como de alto riesgo en virtud del artículo 6, apartado 2, y el anexo III, y el </w:t>
      </w:r>
      <w:r>
        <w:rPr>
          <w:rFonts w:ascii="Georgia" w:cs="Georgia" w:eastAsia="Georgia" w:hAnsi="Georgia"/>
          <w:b/>
          <w:bCs/>
          <w:i/>
          <w:iCs/>
          <w:color w:val="595959"/>
          <w:sz w:val="20"/>
          <w:szCs w:val="20"/>
        </w:rPr>
        <w:t xml:space="preserve">2 de agosto de 2028</w:t>
      </w:r>
      <w:r>
        <w:rPr>
          <w:rFonts w:ascii="Georgia" w:cs="Georgia" w:eastAsia="Georgia" w:hAnsi="Georgia"/>
          <w:i/>
          <w:iCs/>
          <w:color w:val="595959"/>
          <w:sz w:val="20"/>
          <w:szCs w:val="20"/>
        </w:rPr>
        <w:t xml:space="preserve"> en el caso de los sistemas de IA clasificados como de alto riesgo en virtud del artículo 6, apartado 1, y del anexo I.»</w:t>
      </w:r>
    </w:p>
    <w:p>
      <w:pPr>
        <w:spacing w:after="140" w:line="276"/>
      </w:pPr>
      <w:r>
        <w:rPr>
          <w:rFonts w:ascii="Calibri" w:cs="Calibri" w:eastAsia="Calibri" w:hAnsi="Calibri"/>
          <w:b/>
          <w:bCs/>
          <w:sz w:val="21"/>
          <w:szCs w:val="21"/>
        </w:rPr>
        <w:t xml:space="preserve">Consecuencia directa que hay que tener presente al redactar cualquier pliego:</w:t>
      </w:r>
      <w:r>
        <w:rPr>
          <w:rFonts w:ascii="Calibri" w:cs="Calibri" w:eastAsia="Calibri" w:hAnsi="Calibri"/>
          <w:sz w:val="21"/>
          <w:szCs w:val="21"/>
        </w:rPr>
        <w:t xml:space="preserve"> los </w:t>
      </w:r>
      <w:r>
        <w:rPr>
          <w:rFonts w:ascii="Calibri" w:cs="Calibri" w:eastAsia="Calibri" w:hAnsi="Calibri"/>
          <w:b/>
          <w:bCs/>
          <w:sz w:val="21"/>
          <w:szCs w:val="21"/>
        </w:rPr>
        <w:t xml:space="preserve">artículos 26 y 27</w:t>
      </w:r>
      <w:r>
        <w:rPr>
          <w:rFonts w:ascii="Calibri" w:cs="Calibri" w:eastAsia="Calibri" w:hAnsi="Calibri"/>
          <w:sz w:val="21"/>
          <w:szCs w:val="21"/>
        </w:rPr>
        <w:t xml:space="preserve"> —obligaciones del responsable del despliegue y evaluación de impacto relativa a los derechos fundamentales— están en la </w:t>
      </w:r>
      <w:r>
        <w:rPr>
          <w:rFonts w:ascii="Calibri" w:cs="Calibri" w:eastAsia="Calibri" w:hAnsi="Calibri"/>
          <w:b/>
          <w:bCs/>
          <w:sz w:val="21"/>
          <w:szCs w:val="21"/>
        </w:rPr>
        <w:t xml:space="preserve">sección 3 del capítulo III</w:t>
      </w:r>
      <w:r>
        <w:rPr>
          <w:rFonts w:ascii="Calibri" w:cs="Calibri" w:eastAsia="Calibri" w:hAnsi="Calibri"/>
          <w:sz w:val="21"/>
          <w:szCs w:val="21"/>
        </w:rPr>
        <w:t xml:space="preserve">. A la fecha de corte de este anexo </w:t>
      </w:r>
      <w:r>
        <w:rPr>
          <w:rFonts w:ascii="Calibri" w:cs="Calibri" w:eastAsia="Calibri" w:hAnsi="Calibri"/>
          <w:b/>
          <w:bCs/>
          <w:sz w:val="21"/>
          <w:szCs w:val="21"/>
        </w:rPr>
        <w:t xml:space="preserve">no son exigibles</w:t>
      </w:r>
      <w:r>
        <w:rPr>
          <w:rFonts w:ascii="Calibri" w:cs="Calibri" w:eastAsia="Calibri" w:hAnsi="Calibri"/>
          <w:sz w:val="21"/>
          <w:szCs w:val="21"/>
        </w:rPr>
        <w:t xml:space="preserve">. Toda cláusula que se apoye en ellos se apoya en una obligación futura, y así debe decirlo.</w:t>
      </w:r>
    </w:p>
    <w:p>
      <w:pPr>
        <w:spacing w:after="140" w:line="276"/>
      </w:pPr>
      <w:r>
        <w:rPr>
          <w:rFonts w:ascii="Calibri" w:cs="Calibri" w:eastAsia="Calibri" w:hAnsi="Calibri"/>
          <w:b/>
          <w:bCs/>
          <w:sz w:val="21"/>
          <w:szCs w:val="21"/>
        </w:rPr>
        <w:t xml:space="preserve">Tres precisiones del texto nuevo que no pueden omitirse</w:t>
      </w:r>
      <w:r>
        <w:rPr>
          <w:rFonts w:ascii="Calibri" w:cs="Calibri" w:eastAsia="Calibri" w:hAnsi="Calibri"/>
          <w:sz w:val="21"/>
          <w:szCs w:val="21"/>
        </w:rPr>
        <w:t xml:space="preserve">, porque acotan el calendario anterior:</w:t>
      </w:r>
    </w:p>
    <w:p>
      <w:pPr>
        <w:pStyle w:val="ListParagraph"/>
        <w:numPr>
          <w:ilvl w:val="0"/>
          <w:numId w:val="2"/>
        </w:numPr>
        <w:spacing w:after="70" w:line="268"/>
      </w:pPr>
      <w:r>
        <w:rPr>
          <w:rFonts w:ascii="Calibri" w:cs="Calibri" w:eastAsia="Calibri" w:hAnsi="Calibri"/>
          <w:sz w:val="21"/>
          <w:szCs w:val="21"/>
        </w:rPr>
        <w:t xml:space="preserve">La letra c) del párrafo tercero del art. 113, en su redacción vigente, se aplica </w:t>
      </w:r>
      <w:r>
        <w:rPr>
          <w:rFonts w:ascii="Calibri" w:cs="Calibri" w:eastAsia="Calibri" w:hAnsi="Calibri"/>
          <w:b/>
          <w:bCs/>
          <w:sz w:val="21"/>
          <w:szCs w:val="21"/>
        </w:rPr>
        <w:t xml:space="preserve">«con excepción de su artículo 6, apartado 5»</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Se añade al mismo párrafo una </w:t>
      </w:r>
      <w:r>
        <w:rPr>
          <w:rFonts w:ascii="Calibri" w:cs="Calibri" w:eastAsia="Calibri" w:hAnsi="Calibri"/>
          <w:b/>
          <w:bCs/>
          <w:sz w:val="21"/>
          <w:szCs w:val="21"/>
        </w:rPr>
        <w:t xml:space="preserve">letra d)</w:t>
      </w:r>
      <w:r>
        <w:rPr>
          <w:rFonts w:ascii="Calibri" w:cs="Calibri" w:eastAsia="Calibri" w:hAnsi="Calibri"/>
          <w:sz w:val="21"/>
          <w:szCs w:val="21"/>
        </w:rPr>
        <w:t xml:space="preserve">: «los artículos 102 a 110 serán aplicables a partir del </w:t>
      </w:r>
      <w:r>
        <w:rPr>
          <w:rFonts w:ascii="Calibri" w:cs="Calibri" w:eastAsia="Calibri" w:hAnsi="Calibri"/>
          <w:b/>
          <w:bCs/>
          <w:sz w:val="21"/>
          <w:szCs w:val="21"/>
        </w:rPr>
        <w:t xml:space="preserve">27 de julio de 2026</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La aplicación desde el 2 de febrero de 2025 de las prácticas prohibidas </w:t>
      </w:r>
      <w:r>
        <w:rPr>
          <w:rFonts w:ascii="Calibri" w:cs="Calibri" w:eastAsia="Calibri" w:hAnsi="Calibri"/>
          <w:b/>
          <w:bCs/>
          <w:sz w:val="21"/>
          <w:szCs w:val="21"/>
        </w:rPr>
        <w:t xml:space="preserve">no alcanza</w:t>
      </w:r>
      <w:r>
        <w:rPr>
          <w:rFonts w:ascii="Calibri" w:cs="Calibri" w:eastAsia="Calibri" w:hAnsi="Calibri"/>
          <w:sz w:val="21"/>
          <w:szCs w:val="21"/>
        </w:rPr>
        <w:t xml:space="preserve"> al artículo 5, apartado 1, párrafo primero, letras b bis) y b ter), ni a los apartados 1 bis y 1 ter del mismo artículo, </w:t>
      </w:r>
      <w:r>
        <w:rPr>
          <w:rFonts w:ascii="Calibri" w:cs="Calibri" w:eastAsia="Calibri" w:hAnsi="Calibri"/>
          <w:b/>
          <w:bCs/>
          <w:sz w:val="21"/>
          <w:szCs w:val="21"/>
        </w:rPr>
        <w:t xml:space="preserve">aplicables desde el 2 de diciembre de 2026</w:t>
      </w:r>
      <w:r>
        <w:rPr>
          <w:rFonts w:ascii="Calibri" w:cs="Calibri" w:eastAsia="Calibri" w:hAnsi="Calibri"/>
          <w:sz w:val="21"/>
          <w:szCs w:val="21"/>
        </w:rPr>
        <w:t xml:space="preserve"> (art. 113, párrafo tercero, letra a), en su redacción vigente).</w:t>
      </w:r>
    </w:p>
    <w:p>
      <w:pPr>
        <w:spacing w:after="140" w:line="276"/>
      </w:pPr>
      <w:r>
        <w:rPr>
          <w:rFonts w:ascii="Calibri" w:cs="Calibri" w:eastAsia="Calibri" w:hAnsi="Calibri"/>
          <w:b/>
          <w:bCs/>
          <w:sz w:val="21"/>
          <w:szCs w:val="21"/>
        </w:rPr>
        <w:t xml:space="preserve">Y una cuestión que queda resuelta, para que no se arrastre como pendiente:</w:t>
      </w:r>
      <w:r>
        <w:rPr>
          <w:rFonts w:ascii="Calibri" w:cs="Calibri" w:eastAsia="Calibri" w:hAnsi="Calibri"/>
          <w:sz w:val="21"/>
          <w:szCs w:val="21"/>
        </w:rPr>
        <w:t xml:space="preserve"> el </w:t>
      </w:r>
      <w:r>
        <w:rPr>
          <w:rFonts w:ascii="Calibri" w:cs="Calibri" w:eastAsia="Calibri" w:hAnsi="Calibri"/>
          <w:b/>
          <w:bCs/>
          <w:sz w:val="21"/>
          <w:szCs w:val="21"/>
        </w:rPr>
        <w:t xml:space="preserve">artículo 49</w:t>
      </w:r>
      <w:r>
        <w:rPr>
          <w:rFonts w:ascii="Calibri" w:cs="Calibri" w:eastAsia="Calibri" w:hAnsi="Calibri"/>
          <w:sz w:val="21"/>
          <w:szCs w:val="21"/>
        </w:rPr>
        <w:t xml:space="preserve"> (registro de sistemas de alto riesgo) está en la </w:t>
      </w:r>
      <w:r>
        <w:rPr>
          <w:rFonts w:ascii="Calibri" w:cs="Calibri" w:eastAsia="Calibri" w:hAnsi="Calibri"/>
          <w:b/>
          <w:bCs/>
          <w:sz w:val="21"/>
          <w:szCs w:val="21"/>
        </w:rPr>
        <w:t xml:space="preserve">sección 5</w:t>
      </w:r>
      <w:r>
        <w:rPr>
          <w:rFonts w:ascii="Calibri" w:cs="Calibri" w:eastAsia="Calibri" w:hAnsi="Calibri"/>
          <w:sz w:val="21"/>
          <w:szCs w:val="21"/>
        </w:rPr>
        <w:t xml:space="preserve"> del capítulo III y </w:t>
      </w:r>
      <w:r>
        <w:rPr>
          <w:rFonts w:ascii="Calibri" w:cs="Calibri" w:eastAsia="Calibri" w:hAnsi="Calibri"/>
          <w:b/>
          <w:bCs/>
          <w:sz w:val="21"/>
          <w:szCs w:val="21"/>
        </w:rPr>
        <w:t xml:space="preserve">no entra en el aplazamiento</w:t>
      </w:r>
      <w:r>
        <w:rPr>
          <w:rFonts w:ascii="Calibri" w:cs="Calibri" w:eastAsia="Calibri" w:hAnsi="Calibri"/>
          <w:sz w:val="21"/>
          <w:szCs w:val="21"/>
        </w:rPr>
        <w:t xml:space="preserve">, que sólo alcanza a las secciones 1, 2 y 3.</w:t>
      </w:r>
    </w:p>
    <w:p>
      <w:pPr>
        <w:pStyle w:val="Heading3"/>
        <w:keepNext/>
        <w:spacing w:after="140" w:before="320"/>
      </w:pPr>
      <w:r>
        <w:rPr>
          <w:rFonts w:ascii="Georgia" w:cs="Georgia" w:eastAsia="Georgia" w:hAnsi="Georgia"/>
          <w:b/>
          <w:bCs/>
          <w:color w:val="2F5496"/>
          <w:sz w:val="22"/>
          <w:szCs w:val="22"/>
        </w:rPr>
        <w:t xml:space="preserve">XI.2 Las dos columnas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Ya exigible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Anticipado voluntariamente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IA y alfabetización en materia de IA (arts. 4 y 5 del Reglamento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02/02/2025, </w:t>
            </w:r>
            <w:r>
              <w:rPr>
                <w:rFonts w:ascii="Calibri" w:cs="Calibri" w:eastAsia="Calibri" w:hAnsi="Calibri"/>
                <w:b/>
                <w:bCs/>
                <w:sz w:val="18"/>
                <w:szCs w:val="18"/>
              </w:rPr>
              <w:t xml:space="preserve">con excepción del artículo 5, apartado 1, párrafo primero, letras b bis) y b ter), y de los apartados 1 bis y 1 ter del mismo artículo, aplicables desde el 02/12/2026</w:t>
            </w:r>
            <w:r>
              <w:rPr>
                <w:rFonts w:ascii="Calibri" w:cs="Calibri" w:eastAsia="Calibri" w:hAnsi="Calibri"/>
                <w:b w:val="false"/>
                <w:bCs w:val="false"/>
                <w:sz w:val="18"/>
                <w:szCs w:val="18"/>
              </w:rPr>
              <w:t xml:space="preserve"> (art. 113, párr. 3.º, letra a),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02/08/2025, </w:t>
            </w:r>
            <w:r>
              <w:rPr>
                <w:rFonts w:ascii="Calibri" w:cs="Calibri" w:eastAsia="Calibri" w:hAnsi="Calibri"/>
                <w:b/>
                <w:bCs/>
                <w:sz w:val="18"/>
                <w:szCs w:val="18"/>
              </w:rPr>
              <w:t xml:space="preserve">con la salvedad del artículo 101</w:t>
            </w:r>
            <w:r>
              <w:rPr>
                <w:rFonts w:ascii="Calibri" w:cs="Calibri" w:eastAsia="Calibri" w:hAnsi="Calibri"/>
                <w:b w:val="false"/>
                <w:bCs w:val="false"/>
                <w:sz w:val="18"/>
                <w:szCs w:val="18"/>
              </w:rPr>
              <w:t xml:space="preserve">, cuya aplicación se difiere en los términos del art. 113, párr. 3.º, letra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 transparencia sobre interacción con sistemas de IA y contenido generado (art. 50)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02/08/2026, con el régimen transitorio del art. 111 para sistemas ya introducidos en 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Exigibles el 02/12/2027 (art. 6.2 y anexo III) y el 02/08/2028 (art. 6.1 y anexo I), </w:t>
            </w:r>
            <w:r>
              <w:rPr>
                <w:rFonts w:ascii="Calibri" w:cs="Calibri" w:eastAsia="Calibri" w:hAnsi="Calibri"/>
                <w:b/>
                <w:bCs/>
                <w:sz w:val="18"/>
                <w:szCs w:val="18"/>
              </w:rPr>
              <w:t xml:space="preserve">con excepción del art. 6, apartado 5</w:t>
            </w:r>
            <w:r>
              <w:rPr>
                <w:rFonts w:ascii="Calibri" w:cs="Calibri" w:eastAsia="Calibri" w:hAnsi="Calibri"/>
                <w:b w:val="false"/>
                <w:bCs w:val="false"/>
                <w:sz w:val="18"/>
                <w:szCs w:val="18"/>
              </w:rPr>
              <w:t xml:space="preserve">, y sin perjuicio de que los arts. 102 a 110 se apliquen desde el 27/07/2026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hoy que el adjudicatario </w:t>
            </w:r>
            <w:r>
              <w:rPr>
                <w:rFonts w:ascii="Calibri" w:cs="Calibri" w:eastAsia="Calibri" w:hAnsi="Calibri"/>
                <w:b/>
                <w:bCs/>
                <w:sz w:val="18"/>
                <w:szCs w:val="18"/>
              </w:rPr>
              <w:t xml:space="preserve">entregue los medios</w:t>
            </w:r>
            <w:r>
              <w:rPr>
                <w:rFonts w:ascii="Calibri" w:cs="Calibri" w:eastAsia="Calibri" w:hAnsi="Calibri"/>
                <w:b w:val="false"/>
                <w:bCs w:val="false"/>
                <w:sz w:val="18"/>
                <w:szCs w:val="18"/>
              </w:rPr>
              <w:t xml:space="preserve"> para que el Ayuntamiento pueda cumplirlas cuando lo sean —instrucciones de uso, información para la evaluación de impacto, registros exportables, mecanismo de suspensión y punto de contacto—. Se anticipa porque el contrato durará más que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(RGPD y LOPDGDD)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determinación de órganos de especificaciones, programación, supervisión, control de calidad y auditoría del código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cuando el Ayuntamiento acuerde una actuación automatizada (art. 41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anticipa la </w:t>
            </w:r>
            <w:r>
              <w:rPr>
                <w:rFonts w:ascii="Calibri" w:cs="Calibri" w:eastAsia="Calibri" w:hAnsi="Calibri"/>
                <w:b/>
                <w:bCs/>
                <w:sz w:val="18"/>
                <w:szCs w:val="18"/>
              </w:rPr>
              <w:t xml:space="preserve">disponibilidad de la información técnica</w:t>
            </w:r>
            <w:r>
              <w:rPr>
                <w:rFonts w:ascii="Calibri" w:cs="Calibri" w:eastAsia="Calibri" w:hAnsi="Calibri"/>
                <w:b w:val="false"/>
                <w:bCs w:val="false"/>
                <w:sz w:val="18"/>
                <w:szCs w:val="18"/>
              </w:rPr>
              <w:t xml:space="preserve"> que permita hacerlo, aunque hoy no haya actuación automatizada acordada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311/2022, art. 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y cesión de aplicaciones a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157 y 158 Ley 40/2015; art. 308.1 LCSP;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TRLRHL; RD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previsión contractual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(norma de gobernanza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condición especial de ejecución con compromiso de obtención. Se hace constar que esa certificación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otorga presunción de conformidad con el Reglamento de IA: la presunción corresponde a las normas armonizadas cuyas referencias se publican en el Diario Oficial (art. 40 del Reglamento)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(ET-1)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la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fundamento en el acuerdo del órgano de gobierno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 (ET-2 y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ENS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que excede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lo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previsión contractual de continuidad. Debe presentarse como previsión de nueva planta bien fundada, no como práctica consolidada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relativo a la declaración de sistemas y a la autorización previa de altas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sistemas de alto riesgo (art. 49, sección 5 del capítulo III)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sección 5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incluida en el aplazamiento de las secciones 1, 2 y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hasta el 02/08/2030.</w:t>
            </w:r>
            <w:r>
              <w:rPr>
                <w:rFonts w:ascii="Calibri" w:cs="Calibri" w:eastAsia="Calibri" w:hAnsi="Calibri"/>
                <w:b w:val="false"/>
                <w:bCs w:val="false"/>
                <w:sz w:val="18"/>
                <w:szCs w:val="18"/>
              </w:rPr>
              <w:t xml:space="preserve"> El artículo 111, apartado 2, del Reglamento (UE) 2024/1689, en su redacción vigente, concede a proveedores y responsables del despliegue de estos sistemas plazo hasta esa fecha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antes de esa fecha la entrega de la documentación y de los medios que permitirán cumplir, y lo dice expresamente. Es la fila que más veces se cita mal, porque es la que más alarga el plazo real</w:t>
            </w:r>
          </w:p>
        </w:tc>
      </w:tr>
    </w:tbl>
    <w:p>
      <w:pPr>
        <w:spacing w:after="200"/>
      </w:pPr>
    </w:p>
    <w:p>
      <w:pPr>
        <w:spacing w:after="140" w:line="276"/>
      </w:pPr>
      <w:r>
        <w:rPr>
          <w:rFonts w:ascii="Calibri" w:cs="Calibri" w:eastAsia="Calibri" w:hAnsi="Calibri"/>
          <w:b/>
          <w:bCs/>
          <w:sz w:val="21"/>
          <w:szCs w:val="21"/>
        </w:rPr>
        <w:t xml:space="preserve">Regla de uso de esta tabla.</w:t>
      </w:r>
      <w:r>
        <w:rPr>
          <w:rFonts w:ascii="Calibri" w:cs="Calibri" w:eastAsia="Calibri" w:hAnsi="Calibri"/>
          <w:sz w:val="21"/>
          <w:szCs w:val="21"/>
        </w:rPr>
        <w:t xml:space="preserve"> Ninguna fila de la columna izquierda puede transcribirse a un pliego sin su fecha. Ninguna fila de la columna derecha puede presentarse como obligación legal vigente. El extracto que se transcribe al pliego de prescripciones técnicas es el del </w:t>
      </w:r>
      <w:r>
        <w:rPr>
          <w:rFonts w:ascii="Calibri" w:cs="Calibri" w:eastAsia="Calibri" w:hAnsi="Calibri"/>
          <w:b/>
          <w:bCs/>
          <w:sz w:val="21"/>
          <w:szCs w:val="21"/>
        </w:rPr>
        <w:t xml:space="preserve">anexo XIX</w:t>
      </w:r>
      <w:r>
        <w:rPr>
          <w:rFonts w:ascii="Calibri" w:cs="Calibri" w:eastAsia="Calibri" w:hAnsi="Calibri"/>
          <w:sz w:val="21"/>
          <w:szCs w:val="21"/>
        </w:rPr>
        <w:t xml:space="preserve">, no esta tabla.</w:t>
      </w:r>
    </w:p>
    <w:p>
      <w:pPr>
        <w:pStyle w:val="Heading3"/>
        <w:keepNext/>
        <w:spacing w:after="140" w:before="320"/>
      </w:pPr>
      <w:r>
        <w:rPr>
          <w:rFonts w:ascii="Georgia" w:cs="Georgia" w:eastAsia="Georgia" w:hAnsi="Georgia"/>
          <w:b/>
          <w:bCs/>
          <w:color w:val="2F5496"/>
          <w:sz w:val="22"/>
          <w:szCs w:val="22"/>
        </w:rPr>
        <w:t xml:space="preserve">XI.3 Comprobaciones pendientes antes de publicar</w:t>
      </w:r>
    </w:p>
    <w:p>
      <w:pPr>
        <w:spacing w:after="140" w:line="276"/>
      </w:pPr>
      <w:r>
        <w:rPr>
          <w:rFonts w:ascii="Calibri" w:cs="Calibri" w:eastAsia="Calibri" w:hAnsi="Calibri"/>
          <w:sz w:val="21"/>
          <w:szCs w:val="21"/>
        </w:rPr>
        <w:t xml:space="preserve">No se afirma nada que no se haya comprobado. Estas tres se encargan, no se deducen. Cuando una comprobación se cierra, se cierra: no queda como pendencia.</w:t>
      </w:r>
    </w:p>
    <w:p>
      <w:pPr>
        <w:pStyle w:val="ListParagraph"/>
        <w:numPr>
          <w:ilvl w:val="0"/>
          <w:numId w:val="2"/>
        </w:numPr>
        <w:spacing w:after="70" w:line="268"/>
      </w:pPr>
      <w:r>
        <w:rPr>
          <w:rFonts w:ascii="Calibri" w:cs="Calibri" w:eastAsia="Calibri" w:hAnsi="Calibri"/>
          <w:b/>
          <w:bCs/>
          <w:sz w:val="21"/>
          <w:szCs w:val="21"/>
        </w:rPr>
        <w:t xml:space="preserve">Alcance exacto del régimen transitorio del artículo 111</w:t>
      </w:r>
      <w:r>
        <w:rPr>
          <w:rFonts w:ascii="Calibri" w:cs="Calibri" w:eastAsia="Calibri" w:hAnsi="Calibri"/>
          <w:sz w:val="21"/>
          <w:szCs w:val="21"/>
        </w:rPr>
        <w:t xml:space="preserve"> del Reglamento (UE) 2024/1689 en su redacción vigente, sobre el texto consolidado, para los sistemas ya introducidos en el mercado antes de las fechas de aplicación. </w:t>
      </w:r>
      <w:r>
        <w:rPr>
          <w:rFonts w:ascii="Calibri" w:cs="Calibri" w:eastAsia="Calibri" w:hAnsi="Calibri"/>
          <w:i/>
          <w:iCs/>
          <w:sz w:val="21"/>
          <w:szCs w:val="21"/>
        </w:rPr>
        <w:t xml:space="preserve">(La duda sobre el artículo 49 queda resuelta y cerrada: está en la sección 5 del capítulo III y no entra en el aplazamiento, que sólo alcanza a las secciones 1, 2 y 3. Así consta en XI.1 y en la tabla de XI.2.)</w:t>
      </w:r>
    </w:p>
    <w:p>
      <w:pPr>
        <w:pStyle w:val="ListParagraph"/>
        <w:numPr>
          <w:ilvl w:val="0"/>
          <w:numId w:val="2"/>
        </w:numPr>
        <w:spacing w:after="70" w:line="268"/>
      </w:pPr>
      <w:r>
        <w:rPr>
          <w:rFonts w:ascii="Calibri" w:cs="Calibri" w:eastAsia="Calibri" w:hAnsi="Calibri"/>
          <w:b/>
          <w:bCs/>
          <w:sz w:val="21"/>
          <w:szCs w:val="21"/>
        </w:rPr>
        <w:t xml:space="preserve">Lista oficial de normas armonizadas</w:t>
      </w:r>
      <w:r>
        <w:rPr>
          <w:rFonts w:ascii="Calibri" w:cs="Calibri" w:eastAsia="Calibri" w:hAnsi="Calibri"/>
          <w:sz w:val="21"/>
          <w:szCs w:val="21"/>
        </w:rPr>
        <w:t xml:space="preserve"> del Reglamento de IA publicadas en el Diario Oficial, a la fecha de aprobación del expediente.</w:t>
      </w:r>
    </w:p>
    <w:p>
      <w:pPr>
        <w:pStyle w:val="ListParagraph"/>
        <w:numPr>
          <w:ilvl w:val="0"/>
          <w:numId w:val="2"/>
        </w:numPr>
        <w:spacing w:after="70" w:line="268"/>
      </w:pPr>
      <w:r>
        <w:rPr>
          <w:rFonts w:ascii="Calibri" w:cs="Calibri" w:eastAsia="Calibri" w:hAnsi="Calibri"/>
          <w:b/>
          <w:bCs/>
          <w:sz w:val="21"/>
          <w:szCs w:val="21"/>
        </w:rPr>
        <w:t xml:space="preserve">Vigencia de la designación de la norma de gobernanza de sistemas de gestión de IA</w:t>
      </w:r>
      <w:r>
        <w:rPr>
          <w:rFonts w:ascii="Calibri" w:cs="Calibri" w:eastAsia="Calibri" w:hAnsi="Calibri"/>
          <w:sz w:val="21"/>
          <w:szCs w:val="21"/>
        </w:rPr>
        <w:t xml:space="preserve"> antes de cada expediente. La designación está fijada en ADM-1·v3, nota al redactor, punto Sexto: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edición de 8 de abril de 2026, que anula la UNE-ISO/IEC 42001:2025. Se cita en el pliego </w:t>
      </w:r>
      <w:r>
        <w:rPr>
          <w:rFonts w:ascii="Calibri" w:cs="Calibri" w:eastAsia="Calibri" w:hAnsi="Calibri"/>
          <w:b/>
          <w:bCs/>
          <w:sz w:val="21"/>
          <w:szCs w:val="21"/>
        </w:rPr>
        <w:t xml:space="preserve">con designación y año expresos y regla de referencia estática</w:t>
      </w:r>
      <w:r>
        <w:rPr>
          <w:rFonts w:ascii="Calibri" w:cs="Calibri" w:eastAsia="Calibri" w:hAnsi="Calibri"/>
          <w:sz w:val="21"/>
          <w:szCs w:val="21"/>
        </w:rPr>
        <w:t xml:space="preserve"> —nunca con la fórmula «o norma que la sustituya», que permitiría que el contenido de la obligación cambiase después de que el licitador hubiera ofertado— y con admisión de otras pruebas de medidas equivalentes (art. 93.2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 · TABLA DE CORRESPONDENCIAS v2 → v3</w:t>
      </w:r>
    </w:p>
    <w:p>
      <w:pPr>
        <w:spacing w:after="140" w:line="276"/>
      </w:pPr>
      <w:r>
        <w:rPr>
          <w:rFonts w:ascii="Calibri" w:cs="Calibri" w:eastAsia="Calibri" w:hAnsi="Calibri"/>
          <w:sz w:val="21"/>
          <w:szCs w:val="21"/>
        </w:rPr>
        <w:t xml:space="preserve">Función: que quien ya haya redactado pliegos con la versión 2 sepa exactamente qué cambia en cada cláusula que usó. </w:t>
      </w:r>
      <w:r>
        <w:rPr>
          <w:rFonts w:ascii="Calibri" w:cs="Calibri" w:eastAsia="Calibri" w:hAnsi="Calibri"/>
          <w:b/>
          <w:bCs/>
          <w:sz w:val="21"/>
          <w:szCs w:val="21"/>
        </w:rPr>
        <w:t xml:space="preserve">Los códigos se conservan cuando la cláusula subsiste, pero se escriben con versión</w:t>
      </w:r>
      <w:r>
        <w:rPr>
          <w:rFonts w:ascii="Calibri" w:cs="Calibri" w:eastAsia="Calibri" w:hAnsi="Calibri"/>
          <w:sz w:val="21"/>
          <w:szCs w:val="21"/>
        </w:rPr>
        <w:t xml:space="preserve"> —DT-7·v3, ADM-2·v3— porque el contenido no es el mismo. Un pliego que cite «ADM-2» sin versión, publicado el v3, es un pliego ambiguo.</w:t>
      </w:r>
    </w:p>
    <w:p>
      <w:pPr>
        <w:pStyle w:val="Heading3"/>
        <w:keepNext/>
        <w:spacing w:after="140" w:before="320"/>
      </w:pPr>
      <w:r>
        <w:rPr>
          <w:rFonts w:ascii="Georgia" w:cs="Georgia" w:eastAsia="Georgia" w:hAnsi="Georgia"/>
          <w:b/>
          <w:bCs/>
          <w:color w:val="2F5496"/>
          <w:sz w:val="22"/>
          <w:szCs w:val="22"/>
        </w:rPr>
        <w:t xml:space="preserve">XII.1 Cláusula por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cambia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rectificar quien redactó con v2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Objeto: «clausulado tipo para su incorporación transversal… con independencia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de incorporación transversal y pasa a ser </w:t>
            </w:r>
            <w:r>
              <w:rPr>
                <w:rFonts w:ascii="Calibri" w:cs="Calibri" w:eastAsia="Calibri" w:hAnsi="Calibri"/>
                <w:b/>
                <w:bCs/>
                <w:sz w:val="18"/>
                <w:szCs w:val="18"/>
              </w:rPr>
              <w:t xml:space="preserve">catálogo de aplicación motivada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incorporación transversal produce en cada expediente una justificación por remisión, es decir, estereotipada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al expediente el informe de necesidad y la ficha firmada. Sin ellos, las cláusulas están en el pliego sin fundamento propio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alinea con la delimitación del código entregable y se le añade contenido: inventario, plan,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reversibilidad sin plazo, sin inventario y sin ensayo se descubre inoperante el día que hace falta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añadir la cláusula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«Obsolescencia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ancla al producto contratado y a sus </w:t>
            </w:r>
            <w:r>
              <w:rPr>
                <w:rFonts w:ascii="Calibri" w:cs="Calibri" w:eastAsia="Calibri" w:hAnsi="Calibri"/>
                <w:b/>
                <w:bCs/>
                <w:sz w:val="18"/>
                <w:szCs w:val="18"/>
              </w:rPr>
              <w:t xml:space="preserve">versiones sucesoras</w:t>
            </w:r>
            <w:r>
              <w:rPr>
                <w:rFonts w:ascii="Calibri" w:cs="Calibri" w:eastAsia="Calibri" w:hAnsi="Calibri"/>
                <w:b w:val="false"/>
                <w:bCs w:val="false"/>
                <w:sz w:val="18"/>
                <w:szCs w:val="18"/>
              </w:rPr>
              <w:t xml:space="preserve">, con la definición triple: continuidad funcional, sustitución en catálogo o ruta de migración del fabricante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definición anterior remitía a la evolución del mercado: indeterminada e inexigible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w:t>
            </w:r>
            <w:r>
              <w:rPr>
                <w:rFonts w:ascii="Calibri" w:cs="Calibri" w:eastAsia="Calibri" w:hAnsi="Calibri"/>
                <w:b/>
                <w:bCs/>
                <w:sz w:val="18"/>
                <w:szCs w:val="18"/>
              </w:rPr>
              <w:t xml:space="preserve">suprimir la obsolescencia como causa autónoma de resolución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«Loop Engineering», «skills / harness /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XIII (glosario)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Salen del articulado. Pasan al glosario, </w:t>
            </w:r>
            <w:r>
              <w:rPr>
                <w:rFonts w:ascii="Calibri" w:cs="Calibri" w:eastAsia="Calibri" w:hAnsi="Calibri"/>
                <w:b/>
                <w:bCs/>
                <w:sz w:val="18"/>
                <w:szCs w:val="18"/>
              </w:rPr>
              <w:t xml:space="preserve">sin efectos jurídicos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penalidad ni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Eliminarlos del PPT y del PCAP y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red nominada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despoja de toda carga preferencial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preferencia por una red determinada, motivada en razones territoriales, es el patrón que la doctrina de arraigo territorial rechaza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 la preferencia y toda mención excluyente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Marco normativo (lista única, con un protocolo entre las normas)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§4, en tres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separan normas de aplicación obligatoria, referencias técnicas del estado del arte </w:t>
            </w:r>
            <w:r>
              <w:rPr>
                <w:rFonts w:ascii="Calibri" w:cs="Calibri" w:eastAsia="Calibri" w:hAnsi="Calibri"/>
                <w:b/>
                <w:bCs/>
                <w:sz w:val="18"/>
                <w:szCs w:val="18"/>
              </w:rPr>
              <w:t xml:space="preserve">no normativas</w:t>
            </w:r>
            <w:r>
              <w:rPr>
                <w:rFonts w:ascii="Calibri" w:cs="Calibri" w:eastAsia="Calibri" w:hAnsi="Calibri"/>
                <w:b w:val="false"/>
                <w:bCs w:val="false"/>
                <w:sz w:val="18"/>
                <w:szCs w:val="18"/>
              </w:rPr>
              <w:t xml:space="preserve"> y anexo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protocolo de gobernanza privada no es norma en el sentido del art. 125 LCSP. Citarlo entre las normas es lo primero que subraya el abogado de un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Reordenar el marco normativo del PPT y retirar el protocolo de la lista de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régimen de equivalencia, definición, prueba en la oferta, motivación del rechazo y excepción de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trámite, el rechazo de un equivalente es discrecional y la aceptación, arbitraria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Es la cláusula que sostiene todas las demás referencias técnicas del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facultad de requerir lo «necesario </w:t>
            </w:r>
            <w:r>
              <w:rPr>
                <w:rFonts w:ascii="Calibri" w:cs="Calibri" w:eastAsia="Calibri" w:hAnsi="Calibri"/>
                <w:b/>
                <w:bCs/>
                <w:sz w:val="18"/>
                <w:szCs w:val="18"/>
              </w:rPr>
              <w:t xml:space="preserve">o conveniente</w:t>
            </w:r>
            <w:r>
              <w:rPr>
                <w:rFonts w:ascii="Calibri" w:cs="Calibri" w:eastAsia="Calibri" w:hAnsi="Calibri"/>
                <w:b w:val="false"/>
                <w:bCs w:val="false"/>
                <w:sz w:val="18"/>
                <w:szCs w:val="18"/>
              </w:rPr>
              <w:t xml:space="preserve">»; se añade el reparto de papeles proveedor / responsable del despliegue y el bloque de decisiones automatizadas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facultad abierta es obligación de contenido indeterminado. Y v2 trasladaba al adjudicatario obligaciones que corresponden al Ayuntamiento y son indelegables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w:t>
            </w:r>
            <w:r>
              <w:rPr>
                <w:rFonts w:ascii="Calibri" w:cs="Calibri" w:eastAsia="Calibri" w:hAnsi="Calibri"/>
                <w:b w:val="false"/>
                <w:bCs w:val="false"/>
                <w:sz w:val="18"/>
                <w:szCs w:val="18"/>
              </w:rPr>
              <w:t xml:space="preserve"> Blockchain/DLT e integración con red nominada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preferencia, la motivación territorial y el inciso «salvo justificación motivada en el expediente». Se reformula por capacidades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inciso permitía a cualquier ayuntamiento convertir la cláusula en excluyente, y basta uno para marcar el modelo entero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salvo necesidad acreditada, y </w:t>
            </w:r>
            <w:r>
              <w:rPr>
                <w:rFonts w:ascii="Calibri" w:cs="Calibri" w:eastAsia="Calibri" w:hAnsi="Calibri"/>
                <w:b/>
                <w:bCs/>
                <w:sz w:val="18"/>
                <w:szCs w:val="18"/>
              </w:rPr>
              <w:t xml:space="preserve">suprimir el criterio del baremo que la puntuaba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w:t>
            </w:r>
            <w:r>
              <w:rPr>
                <w:rFonts w:ascii="Calibri" w:cs="Calibri" w:eastAsia="Calibri" w:hAnsi="Calibri"/>
                <w:b w:val="false"/>
                <w:bCs w:val="false"/>
                <w:sz w:val="18"/>
                <w:szCs w:val="18"/>
              </w:rPr>
              <w:t xml:space="preserve"> Preparación cuántica y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 del baremo. Queda como requisito funcional activable, con prelación de normas europeas e internacionales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preparación cuántica en un contrato ordinario es exigencia sin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y suprimir su criterio del baremo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w:t>
            </w:r>
            <w:r>
              <w:rPr>
                <w:rFonts w:ascii="Calibri" w:cs="Calibri" w:eastAsia="Calibri" w:hAnsi="Calibri"/>
                <w:b w:val="false"/>
                <w:bCs w:val="false"/>
                <w:sz w:val="18"/>
                <w:szCs w:val="18"/>
              </w:rPr>
              <w:t xml:space="preserve"> Automatización, RPA, hiperautomatización y Loop Engineering</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el vocabulario por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Inverificable en procedimiento contradictorio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publicar la lista de procesos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w:t>
            </w:r>
            <w:r>
              <w:rPr>
                <w:rFonts w:ascii="Calibri" w:cs="Calibri" w:eastAsia="Calibri" w:hAnsi="Calibri"/>
                <w:b w:val="false"/>
                <w:bCs w:val="false"/>
                <w:sz w:val="18"/>
                <w:szCs w:val="18"/>
              </w:rPr>
              <w:t xml:space="preserve"> Interoperabilidad, APIs abiertas y soberanía del dato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corrige el «o equivalente» aplicado a los servicios comunes de obligada utilización; el guion de reversibilidad se extrae a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«o equivalente» a un servicio de obligada utilización </w:t>
            </w:r>
            <w:r>
              <w:rPr>
                <w:rFonts w:ascii="Calibri" w:cs="Calibri" w:eastAsia="Calibri" w:hAnsi="Calibri"/>
                <w:b/>
                <w:bCs/>
                <w:sz w:val="18"/>
                <w:szCs w:val="18"/>
              </w:rPr>
              <w:t xml:space="preserve">debilita</w:t>
            </w:r>
            <w:r>
              <w:rPr>
                <w:rFonts w:ascii="Calibri" w:cs="Calibri" w:eastAsia="Calibri" w:hAnsi="Calibri"/>
                <w:b w:val="false"/>
                <w:bCs w:val="false"/>
                <w:sz w:val="18"/>
                <w:szCs w:val="18"/>
              </w:rPr>
              <w:t xml:space="preserve"> la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Corregir la excepción y trasladar el guion de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w:t>
            </w:r>
            <w:r>
              <w:rPr>
                <w:rFonts w:ascii="Calibri" w:cs="Calibri" w:eastAsia="Calibri" w:hAnsi="Calibri"/>
                <w:b w:val="false"/>
                <w:bCs w:val="false"/>
                <w:sz w:val="18"/>
                <w:szCs w:val="18"/>
              </w:rPr>
              <w:t xml:space="preserve"> Seguridad (ENS </w:t>
            </w:r>
            <w:r>
              <w:rPr>
                <w:rFonts w:ascii="Calibri" w:cs="Calibri" w:eastAsia="Calibri" w:hAnsi="Calibri"/>
                <w:b/>
                <w:bCs/>
                <w:sz w:val="18"/>
                <w:szCs w:val="18"/>
              </w:rPr>
              <w:t xml:space="preserve">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w:t>
            </w:r>
            <w:r>
              <w:rPr>
                <w:rFonts w:ascii="Calibri" w:cs="Calibri" w:eastAsia="Calibri" w:hAnsi="Calibri"/>
                <w:b/>
                <w:bCs/>
                <w:sz w:val="18"/>
                <w:szCs w:val="18"/>
              </w:rPr>
              <w:t xml:space="preserve">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y se exige consignar y </w:t>
            </w:r>
            <w:r>
              <w:rPr>
                <w:rFonts w:ascii="Calibri" w:cs="Calibri" w:eastAsia="Calibri" w:hAnsi="Calibri"/>
                <w:b/>
                <w:bCs/>
                <w:sz w:val="18"/>
                <w:szCs w:val="18"/>
              </w:rPr>
              <w:t xml:space="preserve">justificar en la memoria</w:t>
            </w:r>
            <w:r>
              <w:rPr>
                <w:rFonts w:ascii="Calibri" w:cs="Calibri" w:eastAsia="Calibri" w:hAnsi="Calibri"/>
                <w:b w:val="false"/>
                <w:bCs w:val="false"/>
                <w:sz w:val="18"/>
                <w:szCs w:val="18"/>
              </w:rPr>
              <w:t xml:space="preserve"> la categoría del anexo I del RD 311/2022 antes de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supuesto exacto de la Res. TACP Madrid 383/2024, que anuló los pliegos de un ayuntamiento por exigir el nivel alto sin justificación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Prioridad máxima.</w:t>
            </w:r>
            <w:r>
              <w:rPr>
                <w:rFonts w:ascii="Calibri" w:cs="Calibri" w:eastAsia="Calibri" w:hAnsi="Calibri"/>
                <w:b w:val="false"/>
                <w:bCs w:val="false"/>
                <w:sz w:val="18"/>
                <w:szCs w:val="18"/>
              </w:rPr>
              <w:t xml:space="preserve"> Cambiar la rúbrica, consignar la categoría y justificarla en la memoria del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w:t>
            </w:r>
            <w:r>
              <w:rPr>
                <w:rFonts w:ascii="Calibri" w:cs="Calibri" w:eastAsia="Calibri" w:hAnsi="Calibri"/>
                <w:b w:val="false"/>
                <w:bCs w:val="false"/>
                <w:sz w:val="18"/>
                <w:szCs w:val="18"/>
              </w:rPr>
              <w:t xml:space="preserve"> Servidor [protocolo] por cada plataforma y ERP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formulada por función; ámbito modulado a los módulos del catálogo; se suprime el inciso que remitía a mayor puntuación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equivalentes, y con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acotar el ámbito y suprimir el inciso de puntuación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reversibilidad con inventario de componentes, licencia transitoria, plan, ensayo real y dossier reutilizable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cláusula con más valor económico real y la que v2 dejaba en una promesa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exigencias tecnológicas determinadas del ejercicio, con remisión al catálogo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Sustituye la obligación abierta de evolución por una obligación determinada, valorable y 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y transcribir el catálogo en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w:t>
            </w:r>
            <w:r>
              <w:rPr>
                <w:rFonts w:ascii="Calibri" w:cs="Calibri" w:eastAsia="Calibri" w:hAnsi="Calibri"/>
                <w:b w:val="false"/>
                <w:bCs w:val="false"/>
                <w:sz w:val="18"/>
                <w:szCs w:val="18"/>
              </w:rPr>
              <w:t xml:space="preserve"> Solvencia y certificaciones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norma de gobernanza de IA </w:t>
            </w:r>
            <w:r>
              <w:rPr>
                <w:rFonts w:ascii="Calibri" w:cs="Calibri" w:eastAsia="Calibri" w:hAnsi="Calibri"/>
                <w:b/>
                <w:bCs/>
                <w:sz w:val="18"/>
                <w:szCs w:val="18"/>
              </w:rPr>
              <w:t xml:space="preserve">sale del baremo</w:t>
            </w:r>
            <w:r>
              <w:rPr>
                <w:rFonts w:ascii="Calibri" w:cs="Calibri" w:eastAsia="Calibri" w:hAnsi="Calibri"/>
                <w:b w:val="false"/>
                <w:bCs w:val="false"/>
                <w:sz w:val="18"/>
                <w:szCs w:val="18"/>
              </w:rPr>
              <w:t xml:space="preserve"> y vive aquí: solvencia sólo en contratos armonizados, o —preferente— condición especial de ejecución con compromiso de obtención. Designación con año y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una certificación valora una característica de la empresa, no de la prestación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Retirar la certificación del baremo y reubicarla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w:t>
            </w:r>
            <w:r>
              <w:rPr>
                <w:rFonts w:ascii="Calibri" w:cs="Calibri" w:eastAsia="Calibri" w:hAnsi="Calibri"/>
                <w:b w:val="false"/>
                <w:bCs w:val="false"/>
                <w:sz w:val="18"/>
                <w:szCs w:val="18"/>
              </w:rPr>
              <w:t xml:space="preserve"> CEE: compromiso de evolución tecnológica continua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 y «las tecnologías que el Ayuntamiento determine»; alcance </w:t>
            </w:r>
            <w:r>
              <w:rPr>
                <w:rFonts w:ascii="Calibri" w:cs="Calibri" w:eastAsia="Calibri" w:hAnsi="Calibri"/>
                <w:b/>
                <w:bCs/>
                <w:sz w:val="18"/>
                <w:szCs w:val="18"/>
              </w:rPr>
              <w:t xml:space="preserve">cerrado al catálogo</w:t>
            </w:r>
            <w:r>
              <w:rPr>
                <w:rFonts w:ascii="Calibri" w:cs="Calibri" w:eastAsia="Calibri" w:hAnsi="Calibri"/>
                <w:b w:val="false"/>
                <w:bCs w:val="false"/>
                <w:sz w:val="18"/>
                <w:szCs w:val="18"/>
              </w:rPr>
              <w:t xml:space="preserve">; hechos desencadenantes tasados; acreditación por medios tasados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w:t>
            </w:r>
            <w:r>
              <w:rPr>
                <w:rFonts w:ascii="Calibri" w:cs="Calibri" w:eastAsia="Calibri" w:hAnsi="Calibri"/>
                <w:b w:val="false"/>
                <w:bCs w:val="false"/>
                <w:sz w:val="18"/>
                <w:szCs w:val="18"/>
              </w:rPr>
              <w:t xml:space="preserve"> Plazo de adaptación (≤12 meses) y Plan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y «salvo que se fije motivadamente un plazo inferior». Se añade la bolsa de servicios evolutivos con anclaje en el art. 308.3 LCSP y precio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w:t>
            </w:r>
            <w:r>
              <w:rPr>
                <w:rFonts w:ascii="Calibri" w:cs="Calibri" w:eastAsia="Calibri" w:hAnsi="Calibri"/>
                <w:b/>
                <w:bCs/>
                <w:sz w:val="18"/>
                <w:szCs w:val="18"/>
              </w:rPr>
              <w:t xml:space="preserve">Y comprobar en qué pliego está</w:t>
            </w:r>
            <w:r>
              <w:rPr>
                <w:rFonts w:ascii="Calibri" w:cs="Calibri" w:eastAsia="Calibri" w:hAnsi="Calibri"/>
                <w:b w:val="false"/>
                <w:bCs w:val="false"/>
                <w:sz w:val="18"/>
                <w:szCs w:val="18"/>
              </w:rPr>
              <w:t xml:space="preserve">: si el requerimiento de adaptación quedó en el PPT, trasladarlo al PCAP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w:t>
            </w:r>
            <w:r>
              <w:rPr>
                <w:rFonts w:ascii="Calibri" w:cs="Calibri" w:eastAsia="Calibri" w:hAnsi="Calibri"/>
                <w:b w:val="false"/>
                <w:bCs w:val="false"/>
                <w:sz w:val="18"/>
                <w:szCs w:val="18"/>
              </w:rPr>
              <w:t xml:space="preserve"> Seguimiento, Comisión y auditoría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conserva y se le añade </w:t>
            </w:r>
            <w:r>
              <w:rPr>
                <w:rFonts w:ascii="Calibri" w:cs="Calibri" w:eastAsia="Calibri" w:hAnsi="Calibri"/>
                <w:b/>
                <w:bCs/>
                <w:sz w:val="18"/>
                <w:szCs w:val="18"/>
              </w:rPr>
              <w:t xml:space="preserve">valor probatorio</w:t>
            </w:r>
            <w:r>
              <w:rPr>
                <w:rFonts w:ascii="Calibri" w:cs="Calibri" w:eastAsia="Calibri" w:hAnsi="Calibri"/>
                <w:b w:val="false"/>
                <w:bCs w:val="false"/>
                <w:sz w:val="18"/>
                <w:szCs w:val="18"/>
              </w:rPr>
              <w:t xml:space="preserve">: sus actas son medio tasado de acreditación y fechan los hitos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valor probatorio, la Comisión es una reunión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el apartado de valor probatorio y la periodicidad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tipificado por </w:t>
            </w:r>
            <w:r>
              <w:rPr>
                <w:rFonts w:ascii="Calibri" w:cs="Calibri" w:eastAsia="Calibri" w:hAnsi="Calibri"/>
                <w:b/>
                <w:bCs/>
                <w:sz w:val="18"/>
                <w:szCs w:val="18"/>
              </w:rPr>
              <w:t xml:space="preserve">hechos verificables</w:t>
            </w:r>
            <w:r>
              <w:rPr>
                <w:rFonts w:ascii="Calibri" w:cs="Calibri" w:eastAsia="Calibri" w:hAnsi="Calibri"/>
                <w:b w:val="false"/>
                <w:bCs w:val="false"/>
                <w:sz w:val="18"/>
                <w:szCs w:val="18"/>
              </w:rPr>
              <w:t xml:space="preserve">. Se suprime la penalidad por «falta de la demostración exigida». Se conservan los límites del art. 192.1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demostración es fase de licitación, no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esa fila y depurar el cuadro con la tabla de dependencias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dejan de calificar conceptos y se califican </w:t>
            </w:r>
            <w:r>
              <w:rPr>
                <w:rFonts w:ascii="Calibri" w:cs="Calibri" w:eastAsia="Calibri" w:hAnsi="Calibri"/>
                <w:b/>
                <w:bCs/>
                <w:sz w:val="18"/>
                <w:szCs w:val="18"/>
              </w:rPr>
              <w:t xml:space="preserve">incumplimientos tasados</w:t>
            </w:r>
            <w:r>
              <w:rPr>
                <w:rFonts w:ascii="Calibri" w:cs="Calibri" w:eastAsia="Calibri" w:hAnsi="Calibri"/>
                <w:b w:val="false"/>
                <w:bCs w:val="false"/>
                <w:sz w:val="18"/>
                <w:szCs w:val="18"/>
              </w:rPr>
              <w:t xml:space="preserve">,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sus supuestos, y con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w:t>
            </w:r>
            <w:r>
              <w:rPr>
                <w:rFonts w:ascii="Calibri" w:cs="Calibri" w:eastAsia="Calibri" w:hAnsi="Calibri"/>
                <w:b/>
                <w:bCs/>
                <w:sz w:val="18"/>
                <w:szCs w:val="18"/>
              </w:rPr>
              <w:t xml:space="preserve">Cuidado con la cláusula de cierre</w:t>
            </w:r>
            <w:r>
              <w:rPr>
                <w:rFonts w:ascii="Calibri" w:cs="Calibri" w:eastAsia="Calibri" w:hAnsi="Calibri"/>
                <w:b w:val="false"/>
                <w:bCs w:val="false"/>
                <w:sz w:val="18"/>
                <w:szCs w:val="18"/>
              </w:rPr>
              <w:t xml:space="preserve">: copiada literalmente al PCAP afectaría a otras obligaciones esenciales del pliego ajenas a este catálogo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 párrafo «Obsolescencia tecnológica» como causa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opera sobre incumplimientos tasados, previa audiencia y requerimiento,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no es una penalidad, y la obsolescencia así definida no es un hecho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el párrafo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w:t>
            </w:r>
            <w:r>
              <w:rPr>
                <w:rFonts w:ascii="Calibri" w:cs="Calibri" w:eastAsia="Calibri" w:hAnsi="Calibri"/>
                <w:b w:val="false"/>
                <w:bCs w:val="false"/>
                <w:sz w:val="18"/>
                <w:szCs w:val="18"/>
              </w:rPr>
              <w:t xml:space="preserve"> Criterios de adjudicación y baremo Deep Tech (100 puntos)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de instrumentos; supresión de la categoría «Mixto»; supresión de toda puntuación de la tenencia previa; baremo </w:t>
            </w:r>
            <w:r>
              <w:rPr>
                <w:rFonts w:ascii="Calibri" w:cs="Calibri" w:eastAsia="Calibri" w:hAnsi="Calibri"/>
                <w:b/>
                <w:bCs/>
                <w:sz w:val="18"/>
                <w:szCs w:val="18"/>
              </w:rPr>
              <w:t xml:space="preserve">con el precio y los criterios funcionales dentro</w:t>
            </w:r>
            <w:r>
              <w:rPr>
                <w:rFonts w:ascii="Calibri" w:cs="Calibri" w:eastAsia="Calibri" w:hAnsi="Calibri"/>
                <w:b w:val="false"/>
                <w:bCs w:val="false"/>
                <w:sz w:val="18"/>
                <w:szCs w:val="18"/>
              </w:rPr>
              <w:t xml:space="preserve">; tres variantes según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baremo de 100 puntos en el que ningún punto valora la prestación es indefendible; y «Mixto» no existe en la ley</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Rehacer el baremo entero.</w:t>
            </w:r>
            <w:r>
              <w:rPr>
                <w:rFonts w:ascii="Calibri" w:cs="Calibri" w:eastAsia="Calibri" w:hAnsi="Calibri"/>
                <w:b w:val="false"/>
                <w:bCs w:val="false"/>
                <w:sz w:val="18"/>
                <w:szCs w:val="18"/>
              </w:rPr>
              <w:t xml:space="preserve"> No es un ajuste de pesos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w:t>
            </w:r>
            <w:r>
              <w:rPr>
                <w:rFonts w:ascii="Calibri" w:cs="Calibri" w:eastAsia="Calibri" w:hAnsi="Calibri"/>
                <w:b w:val="false"/>
                <w:bCs w:val="false"/>
                <w:sz w:val="18"/>
                <w:szCs w:val="18"/>
              </w:rPr>
              <w:t xml:space="preserve"> Propiedad intelectual, reversibilidad y no dependencia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Cesión con tiempo, ámbito territorial y modalidades; código fuente </w:t>
            </w:r>
            <w:r>
              <w:rPr>
                <w:rFonts w:ascii="Calibri" w:cs="Calibri" w:eastAsia="Calibri" w:hAnsi="Calibri"/>
                <w:b/>
                <w:bCs/>
                <w:sz w:val="18"/>
                <w:szCs w:val="18"/>
              </w:rPr>
              <w:t xml:space="preserve">y objeto</w:t>
            </w:r>
            <w:r>
              <w:rPr>
                <w:rFonts w:ascii="Calibri" w:cs="Calibri" w:eastAsia="Calibri" w:hAnsi="Calibri"/>
                <w:b w:val="false"/>
                <w:bCs w:val="false"/>
                <w:sz w:val="18"/>
                <w:szCs w:val="18"/>
              </w:rPr>
              <w:t xml:space="preserve">; reserva de derechos morales; licencia mínima supletoria; delimitación de lo que no se 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el Ayuntamiento no puede ceder la aplicación a otra administración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párrafo primero y añadir la delimitación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w:t>
            </w:r>
            <w:r>
              <w:rPr>
                <w:rFonts w:ascii="Calibri" w:cs="Calibri" w:eastAsia="Calibri" w:hAnsi="Calibri"/>
                <w:b w:val="false"/>
                <w:bCs w:val="false"/>
                <w:sz w:val="18"/>
                <w:szCs w:val="18"/>
              </w:rPr>
              <w:t xml:space="preserve"> Demostración de capacidades a fecha de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el objeto y el efecto: de «enséñeme lo que tiene» a comprobar la exactitud de lo declarado por escrito. </w:t>
            </w:r>
            <w:r>
              <w:rPr>
                <w:rFonts w:ascii="Calibri" w:cs="Calibri" w:eastAsia="Calibri" w:hAnsi="Calibri"/>
                <w:b/>
                <w:bCs/>
                <w:sz w:val="18"/>
                <w:szCs w:val="18"/>
              </w:rPr>
              <w:t xml:space="preserve">No reparte puntos</w:t>
            </w:r>
            <w:r>
              <w:rPr>
                <w:rFonts w:ascii="Calibri" w:cs="Calibri" w:eastAsia="Calibri" w:hAnsi="Calibri"/>
                <w:b w:val="false"/>
                <w:bCs w:val="false"/>
                <w:sz w:val="18"/>
                <w:szCs w:val="18"/>
              </w:rPr>
              <w:t xml:space="preserve">: sólo confirma o retira los ya asignados a la memoria técnica. Momento procedimental imperativo, relación cerrada y numerada de elementos verificables publicada, acta detallada con las columnas «declarado / acreditado / no acreditado / evidencia observada»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Valorar «capacidades disponibles a fecha de licitación» es puntuar la tenencia previa; y una demostración sin momento fijado permite alterarlo una vez conocidas las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publicar el caso y la relación de elementos verificables, y fijar el momento en el PCAP. </w:t>
            </w:r>
            <w:r>
              <w:rPr>
                <w:rFonts w:ascii="Calibri" w:cs="Calibri" w:eastAsia="Calibri" w:hAnsi="Calibri"/>
                <w:b/>
                <w:bCs/>
                <w:sz w:val="18"/>
                <w:szCs w:val="18"/>
              </w:rPr>
              <w:t xml:space="preserve">Un criterio cuyo contenido sea el resultado de la sesión, cualquiera que sea su peso, no es admisible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w:t>
            </w:r>
            <w:r>
              <w:rPr>
                <w:rFonts w:ascii="Calibri" w:cs="Calibri" w:eastAsia="Calibri" w:hAnsi="Calibri"/>
                <w:b w:val="false"/>
                <w:bCs w:val="false"/>
                <w:sz w:val="18"/>
                <w:szCs w:val="18"/>
              </w:rPr>
              <w:t xml:space="preserve"> Plan de Actualización y compromiso anti-obsolescencia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 ·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—el instrumento se llama igual en todo el documento— y queda </w:t>
            </w:r>
            <w:r>
              <w:rPr>
                <w:rFonts w:ascii="Calibri" w:cs="Calibri" w:eastAsia="Calibri" w:hAnsi="Calibri"/>
                <w:b/>
                <w:bCs/>
                <w:sz w:val="18"/>
                <w:szCs w:val="18"/>
              </w:rPr>
              <w:t xml:space="preserve">degradada</w:t>
            </w:r>
            <w:r>
              <w:rPr>
                <w:rFonts w:ascii="Calibri" w:cs="Calibri" w:eastAsia="Calibri" w:hAnsi="Calibri"/>
                <w:b w:val="false"/>
                <w:bCs w:val="false"/>
                <w:sz w:val="18"/>
                <w:szCs w:val="18"/>
              </w:rPr>
              <w:t xml:space="preserve">: deja de ser fuente autónoma de obligaciones esenciales. Sólo los hitos aprobados expresamente y con fecha cierta en acta lo son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Calificar como esencial el cumplimiento de un plan redactado por el propio adjudicatario es el caso de manual de cláusula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retirar la calificación de esencial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depósito de código con disparadores objetivos de servicio, verificación técnica de cada depósito, licencia condicionada y coste en el presupuesto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continuidad del servicio no se garantiza con una promesa de entrega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si concurre el umbral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necesidad declarada por escrito por un órgano municipal. Omitirla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uso de sistemas de IA de terceros sobre información municipal, con declaración en la oferta y autorización previa de altas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riesgo no es de anulación: es de brecha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modificación prevista con lista cerrada y cuantificada, y cláusula de valor estimado. </w:t>
            </w: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euro reservado sube el valor estimado y puede cruzar un umbral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decide incorporarla, con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 Declaración responsable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eliminan el compromiso definido por el nombre de un protocolo, la aceptación en bloque de la obsolescencia como causa de resolución y el compromiso de demostración. Se añaden la declaración de sistemas de IA y las casillas de supresión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Reproducía en la declaración los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modelo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 v2 · Plan Anual de Evolución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XIV</w:t>
            </w:r>
            <w:r>
              <w:rPr>
                <w:rFonts w:ascii="Calibri" w:cs="Calibri" w:eastAsia="Calibri" w:hAnsi="Calibri"/>
                <w:b w:val="false"/>
                <w:bCs w:val="false"/>
                <w:sz w:val="18"/>
                <w:szCs w:val="18"/>
              </w:rPr>
              <w:t xml:space="preserve">, con el régimen de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añade la casilla que faltaba: </w:t>
            </w:r>
            <w:r>
              <w:rPr>
                <w:rFonts w:ascii="Calibri" w:cs="Calibri" w:eastAsia="Calibri" w:hAnsi="Calibri"/>
                <w:b/>
                <w:bCs/>
                <w:sz w:val="18"/>
                <w:szCs w:val="18"/>
              </w:rPr>
              <w:t xml:space="preserve">qué hitos se someten a aprobación expresa</w:t>
            </w:r>
            <w:r>
              <w:rPr>
                <w:rFonts w:ascii="Calibri" w:cs="Calibri" w:eastAsia="Calibri" w:hAnsi="Calibri"/>
                <w:b w:val="false"/>
                <w:bCs w:val="false"/>
                <w:sz w:val="18"/>
                <w:szCs w:val="18"/>
              </w:rPr>
              <w:t xml:space="preserve"> —los únicos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 casilla, o todo el plan es esencial o no lo es 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la casilla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v2 · Certificaciones y equivalencias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XXI</w:t>
            </w:r>
            <w:r>
              <w:rPr>
                <w:rFonts w:ascii="Calibri" w:cs="Calibri" w:eastAsia="Calibri" w:hAnsi="Calibri"/>
                <w:b w:val="false"/>
                <w:bCs w:val="false"/>
                <w:sz w:val="18"/>
                <w:szCs w:val="18"/>
              </w:rPr>
              <w:t xml:space="preserve">, con el régimen de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Designaciones </w:t>
            </w:r>
            <w:r>
              <w:rPr>
                <w:rFonts w:ascii="Calibri" w:cs="Calibri" w:eastAsia="Calibri" w:hAnsi="Calibri"/>
                <w:b/>
                <w:bCs/>
                <w:sz w:val="18"/>
                <w:szCs w:val="18"/>
              </w:rPr>
              <w:t xml:space="preserve">con año expreso y regla de referencia estática</w:t>
            </w:r>
            <w:r>
              <w:rPr>
                <w:rFonts w:ascii="Calibri" w:cs="Calibri" w:eastAsia="Calibri" w:hAnsi="Calibri"/>
                <w:b w:val="false"/>
                <w:bCs w:val="false"/>
                <w:sz w:val="18"/>
                <w:szCs w:val="18"/>
              </w:rPr>
              <w:t xml:space="preserve">, sin la fórmula «o norma que la sustituya», y con mención expresa a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designación sin año, o una remisión a la norma que la sustituya, es referencia dinámica: el contenido de la obligación puede cambiar después de ofertar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Actualizar el cuadro y suprimir la fórmula dinámica también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 Ficha de Aplicabilidad (casillas)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Pasa de tabla de casillas a </w:t>
            </w:r>
            <w:r>
              <w:rPr>
                <w:rFonts w:ascii="Calibri" w:cs="Calibri" w:eastAsia="Calibri" w:hAnsi="Calibri"/>
                <w:b/>
                <w:bCs/>
                <w:sz w:val="18"/>
                <w:szCs w:val="18"/>
              </w:rPr>
              <w:t xml:space="preserve">formulario de motivación con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ficha y firmarla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v2 · Glosario Deep Tech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mantiene como glosario </w:t>
            </w:r>
            <w:r>
              <w:rPr>
                <w:rFonts w:ascii="Calibri" w:cs="Calibri" w:eastAsia="Calibri" w:hAnsi="Calibri"/>
                <w:b/>
                <w:bCs/>
                <w:sz w:val="18"/>
                <w:szCs w:val="18"/>
              </w:rPr>
              <w:t xml:space="preserve">descriptivo, sin efectos jurídicos</w:t>
            </w:r>
            <w:r>
              <w:rPr>
                <w:rFonts w:ascii="Calibri" w:cs="Calibri" w:eastAsia="Calibri" w:hAnsi="Calibri"/>
                <w:b w:val="false"/>
                <w:bCs w:val="false"/>
                <w:sz w:val="18"/>
                <w:szCs w:val="18"/>
              </w:rPr>
              <w:t xml:space="preserve">, y recoge los términos expulsados del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glosario no puede crear obligaciones por la puerta de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Sustituirlo y añadir la advertencia de ausencia de efectos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v2 ·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reescribe entera: armazón de la necesidad, encaje legal con precepto en todas las filas, neutralidad </w:t>
            </w:r>
            <w:r>
              <w:rPr>
                <w:rFonts w:ascii="Calibri" w:cs="Calibri" w:eastAsia="Calibri" w:hAnsi="Calibri"/>
                <w:b/>
                <w:bCs/>
                <w:sz w:val="18"/>
                <w:szCs w:val="18"/>
              </w:rPr>
              <w:t xml:space="preserve">acreditada</w:t>
            </w:r>
            <w:r>
              <w:rPr>
                <w:rFonts w:ascii="Calibri" w:cs="Calibri" w:eastAsia="Calibri" w:hAnsi="Calibri"/>
                <w:b w:val="false"/>
                <w:bCs w:val="false"/>
                <w:sz w:val="18"/>
                <w:szCs w:val="18"/>
              </w:rPr>
              <w:t xml:space="preserve"> y no afirmada, conflicto de interés y estado real de la doctrina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es lo primero que lee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Rehacerla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Partes 0, V, VI y anexos I a 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Resumen para legos, circuito del expediente, piloto resuelto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un habilitado nacional busca y no encontraba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Incorporarlos al circuito de trabajo. </w:t>
            </w:r>
            <w:r>
              <w:rPr>
                <w:rFonts w:ascii="Calibri" w:cs="Calibri" w:eastAsia="Calibri" w:hAnsi="Calibri"/>
                <w:b/>
                <w:bCs/>
                <w:sz w:val="18"/>
                <w:szCs w:val="18"/>
              </w:rPr>
              <w:t xml:space="preserve">Los pliegos-tipo ensamblados y el expediente piloto completo no se entregan en esta versión: véase la nota de alcance que cierra esta parte</w:t>
            </w:r>
          </w:p>
        </w:tc>
      </w:tr>
    </w:tbl>
    <w:p>
      <w:pPr>
        <w:spacing w:after="200"/>
      </w:pPr>
    </w:p>
    <w:p>
      <w:pPr>
        <w:pStyle w:val="Heading3"/>
        <w:keepNext/>
        <w:spacing w:after="140" w:before="320"/>
      </w:pPr>
      <w:r>
        <w:rPr>
          <w:rFonts w:ascii="Georgia" w:cs="Georgia" w:eastAsia="Georgia" w:hAnsi="Georgia"/>
          <w:b/>
          <w:bCs/>
          <w:color w:val="2F5496"/>
          <w:sz w:val="22"/>
          <w:szCs w:val="22"/>
        </w:rPr>
        <w:t xml:space="preserve">XII.2 Dónde ha aterrizado cada una de las ocho modificaciones propuestas en agosto de 2026</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Objeto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está en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Delimitar el código objeto de entrega, excluyendo el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el Inventario de Componentes: sin él la delimitación sigue siendo indeterminada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la definición de reversibilidad con esa delimitación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la licencia transitoria del producto base: devolver sólo el código propio deja un sistema que no arranca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Incluir expresamente los algoritmos y la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corregida</w:t>
            </w:r>
            <w:r>
              <w:rPr>
                <w:rFonts w:ascii="Calibri" w:cs="Calibri" w:eastAsia="Calibri" w:hAnsi="Calibri"/>
                <w:b w:val="false"/>
                <w:bCs w:val="false"/>
                <w:sz w:val="18"/>
                <w:szCs w:val="18"/>
              </w:rPr>
              <w:t xml:space="preserve">: sin mención de tiempo, ámbito territorial y modalidades, la cesión quedaría limitada a cinco años y al territorio de la cesión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 la cláusula técnica de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reescrita</w:t>
            </w:r>
            <w:r>
              <w:rPr>
                <w:rFonts w:ascii="Calibri" w:cs="Calibri" w:eastAsia="Calibri" w:hAnsi="Calibri"/>
                <w:b w:val="false"/>
                <w:bCs w:val="false"/>
                <w:sz w:val="18"/>
                <w:szCs w:val="18"/>
              </w:rPr>
              <w:t xml:space="preserve">: el disparador basado en la declaración de concurso se sustituye por hechos objetivos de servicio, y se añaden verificación técnica, licencia condicionada y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 obsolescencia anclada al producto y sus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ADM-2·v3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elevada</w:t>
            </w:r>
            <w:r>
              <w:rPr>
                <w:rFonts w:ascii="Calibri" w:cs="Calibri" w:eastAsia="Calibri" w:hAnsi="Calibri"/>
                <w:b w:val="false"/>
                <w:bCs w:val="false"/>
                <w:sz w:val="18"/>
                <w:szCs w:val="18"/>
              </w:rPr>
              <w:t xml:space="preserve">: pasa a ser el criterio principal, no un complemento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entrega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y ADM-10·v3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con la advertencia de que garantiza el acceso a las versiones, no la magnitud de la evolución: eso es lo que sostiene el catálogo determinado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del régimen de resolución por obsolescencia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por supresión</w:t>
            </w:r>
            <w:r>
              <w:rPr>
                <w:rFonts w:ascii="Calibri" w:cs="Calibri" w:eastAsia="Calibri" w:hAnsi="Calibri"/>
                <w:b w:val="false"/>
                <w:bCs w:val="false"/>
                <w:sz w:val="18"/>
                <w:szCs w:val="18"/>
              </w:rPr>
              <w:t xml:space="preserve">: la obsolescencia deja de ser causa autónoma de resolución y opera por los incumplimientos tasados</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XIII · GLOSARIO</w:t>
      </w:r>
    </w:p>
    <w:p>
      <w:pPr>
        <w:spacing w:after="140" w:line="276"/>
      </w:pPr>
      <w:r>
        <w:rPr>
          <w:rFonts w:ascii="Calibri" w:cs="Calibri" w:eastAsia="Calibri" w:hAnsi="Calibri"/>
          <w:b/>
          <w:bCs/>
          <w:sz w:val="21"/>
          <w:szCs w:val="21"/>
        </w:rPr>
        <w:t xml:space="preserve">Cómo usar este glosario.</w:t>
      </w:r>
      <w:r>
        <w:rPr>
          <w:rFonts w:ascii="Calibri" w:cs="Calibri" w:eastAsia="Calibri" w:hAnsi="Calibri"/>
          <w:sz w:val="21"/>
          <w:szCs w:val="21"/>
        </w:rPr>
        <w:t xml:space="preserve"> Tiene dos bloques. El primero define </w:t>
      </w:r>
      <w:r>
        <w:rPr>
          <w:rFonts w:ascii="Calibri" w:cs="Calibri" w:eastAsia="Calibri" w:hAnsi="Calibri"/>
          <w:b/>
          <w:bCs/>
          <w:sz w:val="21"/>
          <w:szCs w:val="21"/>
        </w:rPr>
        <w:t xml:space="preserve">las palabras de contratación</w:t>
      </w:r>
      <w:r>
        <w:rPr>
          <w:rFonts w:ascii="Calibri" w:cs="Calibri" w:eastAsia="Calibri" w:hAnsi="Calibri"/>
          <w:sz w:val="21"/>
          <w:szCs w:val="21"/>
        </w:rPr>
        <w:t xml:space="preserve">, para quien no es del oficio: son las que aparecen desde la primera página y las que un lector externo no tiene por qué conocer. El segundo define </w:t>
      </w:r>
      <w:r>
        <w:rPr>
          <w:rFonts w:ascii="Calibri" w:cs="Calibri" w:eastAsia="Calibri" w:hAnsi="Calibri"/>
          <w:b/>
          <w:bCs/>
          <w:sz w:val="21"/>
          <w:szCs w:val="21"/>
        </w:rPr>
        <w:t xml:space="preserve">las palabras de tecnología</w:t>
      </w:r>
      <w:r>
        <w:rPr>
          <w:rFonts w:ascii="Calibri" w:cs="Calibri" w:eastAsia="Calibri" w:hAnsi="Calibri"/>
          <w:sz w:val="21"/>
          <w:szCs w:val="21"/>
        </w:rPr>
        <w:t xml:space="preserve">. Quien lea el documento sin experiencia en contratación pública debería empezar por aquí, y no llegar al glosario al final.</w:t>
      </w:r>
    </w:p>
    <w:p>
      <w:pPr>
        <w:spacing w:after="140" w:line="276"/>
      </w:pPr>
      <w:r>
        <w:rPr>
          <w:rFonts w:ascii="Calibri" w:cs="Calibri" w:eastAsia="Calibri" w:hAnsi="Calibri"/>
          <w:b/>
          <w:bCs/>
          <w:sz w:val="21"/>
          <w:szCs w:val="21"/>
        </w:rPr>
        <w:t xml:space="preserve">Advertencia previa, que forma parte del anexo.</w:t>
      </w:r>
      <w:r>
        <w:rPr>
          <w:rFonts w:ascii="Calibri" w:cs="Calibri" w:eastAsia="Calibri" w:hAnsi="Calibri"/>
          <w:sz w:val="21"/>
          <w:szCs w:val="21"/>
        </w:rPr>
        <w:t xml:space="preserve"> Este glosario es </w:t>
      </w:r>
      <w:r>
        <w:rPr>
          <w:rFonts w:ascii="Calibri" w:cs="Calibri" w:eastAsia="Calibri" w:hAnsi="Calibri"/>
          <w:b/>
          <w:bCs/>
          <w:sz w:val="21"/>
          <w:szCs w:val="21"/>
        </w:rPr>
        <w:t xml:space="preserve">descriptivo y carece de efectos jurídicos</w:t>
      </w:r>
      <w:r>
        <w:rPr>
          <w:rFonts w:ascii="Calibri" w:cs="Calibri" w:eastAsia="Calibri" w:hAnsi="Calibri"/>
          <w:sz w:val="21"/>
          <w:szCs w:val="21"/>
        </w:rPr>
        <w:t xml:space="preserve">. No define el alcance de ninguna prestación, no crea obligaciones, no puede invocarse para interpretar una cláusula en contra de su literalidad y </w:t>
      </w:r>
      <w:r>
        <w:rPr>
          <w:rFonts w:ascii="Calibri" w:cs="Calibri" w:eastAsia="Calibri" w:hAnsi="Calibri"/>
          <w:b/>
          <w:bCs/>
          <w:sz w:val="21"/>
          <w:szCs w:val="21"/>
        </w:rPr>
        <w:t xml:space="preserve">ningún término aquí recogido puede emplearse en un pliego para generar una obligación, una penalidad o un criterio de adjudicación</w:t>
      </w:r>
      <w:r>
        <w:rPr>
          <w:rFonts w:ascii="Calibri" w:cs="Calibri" w:eastAsia="Calibri" w:hAnsi="Calibri"/>
          <w:sz w:val="21"/>
          <w:szCs w:val="21"/>
        </w:rPr>
        <w:t xml:space="preserve">. Los términos que en versiones anteriores figuraban en el articulado y que carecen de definición normalizada se recogen aquí precisamente para dejar constancia de que no la tienen.</w:t>
      </w:r>
    </w:p>
    <w:p>
      <w:pPr>
        <w:pStyle w:val="Heading3"/>
        <w:keepNext/>
        <w:spacing w:after="140" w:before="320"/>
      </w:pPr>
      <w:r>
        <w:rPr>
          <w:rFonts w:ascii="Georgia" w:cs="Georgia" w:eastAsia="Georgia" w:hAnsi="Georgia"/>
          <w:b/>
          <w:bCs/>
          <w:color w:val="2F5496"/>
          <w:sz w:val="22"/>
          <w:szCs w:val="22"/>
        </w:rPr>
        <w:t xml:space="preserve">XIII.1 Palabras de contratación, para quien no es del oficio</w:t>
      </w:r>
    </w:p>
    <w:p>
      <w:pPr>
        <w:spacing w:after="140" w:line="276"/>
      </w:pPr>
      <w:r>
        <w:rPr>
          <w:rFonts w:ascii="Calibri" w:cs="Calibri" w:eastAsia="Calibri" w:hAnsi="Calibri"/>
          <w:b/>
          <w:bCs/>
          <w:sz w:val="21"/>
          <w:szCs w:val="21"/>
        </w:rPr>
        <w:t xml:space="preserve">Pliego.</w:t>
      </w:r>
      <w:r>
        <w:rPr>
          <w:rFonts w:ascii="Calibri" w:cs="Calibri" w:eastAsia="Calibri" w:hAnsi="Calibri"/>
          <w:sz w:val="21"/>
          <w:szCs w:val="21"/>
        </w:rPr>
        <w:t xml:space="preserve"> Documento que fija las reglas de un contrato público antes de licitarlo. Hay dos: el </w:t>
      </w:r>
      <w:r>
        <w:rPr>
          <w:rFonts w:ascii="Calibri" w:cs="Calibri" w:eastAsia="Calibri" w:hAnsi="Calibri"/>
          <w:b/>
          <w:bCs/>
          <w:sz w:val="21"/>
          <w:szCs w:val="21"/>
        </w:rPr>
        <w:t xml:space="preserve">pliego de cláusulas administrativas particulares (PCAP)</w:t>
      </w:r>
      <w:r>
        <w:rPr>
          <w:rFonts w:ascii="Calibri" w:cs="Calibri" w:eastAsia="Calibri" w:hAnsi="Calibri"/>
          <w:sz w:val="21"/>
          <w:szCs w:val="21"/>
        </w:rPr>
        <w:t xml:space="preserve">, que contiene las reglas jurídicas y económicas —quién puede presentarse, cómo se valoran las ofertas, qué obligaciones asume el contratista, qué penalidades hay—, y el </w:t>
      </w:r>
      <w:r>
        <w:rPr>
          <w:rFonts w:ascii="Calibri" w:cs="Calibri" w:eastAsia="Calibri" w:hAnsi="Calibri"/>
          <w:b/>
          <w:bCs/>
          <w:sz w:val="21"/>
          <w:szCs w:val="21"/>
        </w:rPr>
        <w:t xml:space="preserve">pliego de prescripciones técnicas (PPT)</w:t>
      </w:r>
      <w:r>
        <w:rPr>
          <w:rFonts w:ascii="Calibri" w:cs="Calibri" w:eastAsia="Calibri" w:hAnsi="Calibri"/>
          <w:sz w:val="21"/>
          <w:szCs w:val="21"/>
        </w:rPr>
        <w:t xml:space="preserve">, que describe qué hay que entregar y con qué características. Una vez publicados, obligan al Ayuntamiento tanto como al contratista.</w:t>
      </w:r>
    </w:p>
    <w:p>
      <w:pPr>
        <w:spacing w:after="140" w:line="276"/>
      </w:pPr>
      <w:r>
        <w:rPr>
          <w:rFonts w:ascii="Calibri" w:cs="Calibri" w:eastAsia="Calibri" w:hAnsi="Calibri"/>
          <w:b/>
          <w:bCs/>
          <w:sz w:val="21"/>
          <w:szCs w:val="21"/>
        </w:rPr>
        <w:t xml:space="preserve">Licitación.</w:t>
      </w:r>
      <w:r>
        <w:rPr>
          <w:rFonts w:ascii="Calibri" w:cs="Calibri" w:eastAsia="Calibri" w:hAnsi="Calibri"/>
          <w:sz w:val="21"/>
          <w:szCs w:val="21"/>
        </w:rPr>
        <w:t xml:space="preserve"> El procedimiento por el que una administración invita públicamente a las empresas a presentar ofertas y elige una conforme a reglas conocidas de antemano.</w:t>
      </w:r>
    </w:p>
    <w:p>
      <w:pPr>
        <w:spacing w:after="140" w:line="276"/>
      </w:pPr>
      <w:r>
        <w:rPr>
          <w:rFonts w:ascii="Calibri" w:cs="Calibri" w:eastAsia="Calibri" w:hAnsi="Calibri"/>
          <w:b/>
          <w:bCs/>
          <w:sz w:val="21"/>
          <w:szCs w:val="21"/>
        </w:rPr>
        <w:t xml:space="preserve">Licitador.</w:t>
      </w:r>
      <w:r>
        <w:rPr>
          <w:rFonts w:ascii="Calibri" w:cs="Calibri" w:eastAsia="Calibri" w:hAnsi="Calibri"/>
          <w:sz w:val="21"/>
          <w:szCs w:val="21"/>
        </w:rPr>
        <w:t xml:space="preserve"> La empresa que presenta una oferta. </w:t>
      </w:r>
      <w:r>
        <w:rPr>
          <w:rFonts w:ascii="Calibri" w:cs="Calibri" w:eastAsia="Calibri" w:hAnsi="Calibri"/>
          <w:b/>
          <w:bCs/>
          <w:sz w:val="21"/>
          <w:szCs w:val="21"/>
        </w:rPr>
        <w:t xml:space="preserve">Adjudicatario</w:t>
      </w:r>
      <w:r>
        <w:rPr>
          <w:rFonts w:ascii="Calibri" w:cs="Calibri" w:eastAsia="Calibri" w:hAnsi="Calibri"/>
          <w:sz w:val="21"/>
          <w:szCs w:val="21"/>
        </w:rPr>
        <w:t xml:space="preserve">, la que resulta elegida. </w:t>
      </w:r>
      <w:r>
        <w:rPr>
          <w:rFonts w:ascii="Calibri" w:cs="Calibri" w:eastAsia="Calibri" w:hAnsi="Calibri"/>
          <w:b/>
          <w:bCs/>
          <w:sz w:val="21"/>
          <w:szCs w:val="21"/>
        </w:rPr>
        <w:t xml:space="preserve">Contratista</w:t>
      </w:r>
      <w:r>
        <w:rPr>
          <w:rFonts w:ascii="Calibri" w:cs="Calibri" w:eastAsia="Calibri" w:hAnsi="Calibri"/>
          <w:sz w:val="21"/>
          <w:szCs w:val="21"/>
        </w:rPr>
        <w:t xml:space="preserve">, la que ya ha firmado el contrato.</w:t>
      </w:r>
    </w:p>
    <w:p>
      <w:pPr>
        <w:spacing w:after="140" w:line="276"/>
      </w:pP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El órgano municipal competente para aprobar el expediente, los pliegos y la adjudicación. No es una persona técnica: es quien firma y responde.</w:t>
      </w:r>
    </w:p>
    <w:p>
      <w:pPr>
        <w:spacing w:after="140" w:line="276"/>
      </w:pPr>
      <w:r>
        <w:rPr>
          <w:rFonts w:ascii="Calibri" w:cs="Calibri" w:eastAsia="Calibri" w:hAnsi="Calibri"/>
          <w:b/>
          <w:bCs/>
          <w:sz w:val="21"/>
          <w:szCs w:val="21"/>
        </w:rPr>
        <w:t xml:space="preserve">Expediente.</w:t>
      </w:r>
      <w:r>
        <w:rPr>
          <w:rFonts w:ascii="Calibri" w:cs="Calibri" w:eastAsia="Calibri" w:hAnsi="Calibri"/>
          <w:sz w:val="21"/>
          <w:szCs w:val="21"/>
        </w:rPr>
        <w:t xml:space="preserve"> El conjunto ordenado de documentos que preceden y justifican el contrato. Lo que no consta en él no existe a efectos de defensa: es la regla que explica la mitad de este catálogo.</w:t>
      </w:r>
    </w:p>
    <w:p>
      <w:pPr>
        <w:spacing w:after="140" w:line="276"/>
      </w:pPr>
      <w:r>
        <w:rPr>
          <w:rFonts w:ascii="Calibri" w:cs="Calibri" w:eastAsia="Calibri" w:hAnsi="Calibri"/>
          <w:b/>
          <w:bCs/>
          <w:sz w:val="21"/>
          <w:szCs w:val="21"/>
        </w:rPr>
        <w:t xml:space="preserve">Memoria justificativa.</w:t>
      </w:r>
      <w:r>
        <w:rPr>
          <w:rFonts w:ascii="Calibri" w:cs="Calibri" w:eastAsia="Calibri" w:hAnsi="Calibri"/>
          <w:sz w:val="21"/>
          <w:szCs w:val="21"/>
        </w:rPr>
        <w:t xml:space="preserve"> El documento del expediente donde se explica por qué se contrata, por qué con ese objeto y por qué con cada una de las exigencias que el pliego impone. Es el sitio donde se gana o se pierde un recurso.</w:t>
      </w:r>
    </w:p>
    <w:p>
      <w:pPr>
        <w:spacing w:after="140" w:line="276"/>
      </w:pPr>
      <w:r>
        <w:rPr>
          <w:rFonts w:ascii="Calibri" w:cs="Calibri" w:eastAsia="Calibri" w:hAnsi="Calibri"/>
          <w:b/>
          <w:bCs/>
          <w:sz w:val="21"/>
          <w:szCs w:val="21"/>
        </w:rPr>
        <w:t xml:space="preserve">Fiscalización.</w:t>
      </w:r>
      <w:r>
        <w:rPr>
          <w:rFonts w:ascii="Calibri" w:cs="Calibri" w:eastAsia="Calibri" w:hAnsi="Calibri"/>
          <w:sz w:val="21"/>
          <w:szCs w:val="21"/>
        </w:rPr>
        <w:t xml:space="preserve"> El control previo que ejerce la Intervención municipal sobre el gasto: comprueba que hay crédito, que el cálculo es correcto y que el expediente cumple los requisitos. Si formula reparos, el expediente se detiene hasta resolverlos.</w:t>
      </w:r>
    </w:p>
    <w:p>
      <w:pPr>
        <w:spacing w:after="140" w:line="276"/>
      </w:pPr>
      <w:r>
        <w:rPr>
          <w:rFonts w:ascii="Calibri" w:cs="Calibri" w:eastAsia="Calibri" w:hAnsi="Calibri"/>
          <w:b/>
          <w:bCs/>
          <w:sz w:val="21"/>
          <w:szCs w:val="21"/>
        </w:rPr>
        <w:t xml:space="preserve">Perfil de contratante.</w:t>
      </w:r>
      <w:r>
        <w:rPr>
          <w:rFonts w:ascii="Calibri" w:cs="Calibri" w:eastAsia="Calibri" w:hAnsi="Calibri"/>
          <w:sz w:val="21"/>
          <w:szCs w:val="21"/>
        </w:rPr>
        <w:t xml:space="preserve"> La sede electrónica donde cada administración publica sus licitaciones y su documentación. Publicar algo allí lo hace accesible a cualquiera, incluidos los competidores del adjudicatario.</w:t>
      </w:r>
    </w:p>
    <w:p>
      <w:pPr>
        <w:spacing w:after="140" w:line="276"/>
      </w:pPr>
      <w:r>
        <w:rPr>
          <w:rFonts w:ascii="Calibri" w:cs="Calibri" w:eastAsia="Calibri" w:hAnsi="Calibri"/>
          <w:b/>
          <w:bCs/>
          <w:sz w:val="21"/>
          <w:szCs w:val="21"/>
        </w:rPr>
        <w:t xml:space="preserve">Recurso especial en materia de contratación.</w:t>
      </w:r>
      <w:r>
        <w:rPr>
          <w:rFonts w:ascii="Calibri" w:cs="Calibri" w:eastAsia="Calibri" w:hAnsi="Calibri"/>
          <w:sz w:val="21"/>
          <w:szCs w:val="21"/>
        </w:rPr>
        <w:t xml:space="preserve"> La vía por la que una empresa puede impugnar los pliegos o la adjudicación ante un tribunal administrativo especializado, con plazos muy breves y sin coste de tasas. Sólo está disponible por encima de determinado valor estimado.</w:t>
      </w:r>
    </w:p>
    <w:p>
      <w:pPr>
        <w:spacing w:after="140" w:line="276"/>
      </w:pPr>
      <w:r>
        <w:rPr>
          <w:rFonts w:ascii="Calibri" w:cs="Calibri" w:eastAsia="Calibri" w:hAnsi="Calibri"/>
          <w:b/>
          <w:bCs/>
          <w:sz w:val="21"/>
          <w:szCs w:val="21"/>
        </w:rPr>
        <w:t xml:space="preserve">Valor estimado.</w:t>
      </w:r>
      <w:r>
        <w:rPr>
          <w:rFonts w:ascii="Calibri" w:cs="Calibri" w:eastAsia="Calibri" w:hAnsi="Calibri"/>
          <w:sz w:val="21"/>
          <w:szCs w:val="21"/>
        </w:rPr>
        <w:t xml:space="preserve"> El importe total que el contrato puede llegar a costar, incluidas prórrogas, bolsas y modificaciones previstas, sin IVA. No es el precio: es el techo que determina qué procedimiento cabe y si los pliegos son recurribles.</w:t>
      </w:r>
    </w:p>
    <w:p>
      <w:pPr>
        <w:spacing w:after="140" w:line="276"/>
      </w:pPr>
      <w:r>
        <w:rPr>
          <w:rFonts w:ascii="Calibri" w:cs="Calibri" w:eastAsia="Calibri" w:hAnsi="Calibri"/>
          <w:b/>
          <w:bCs/>
          <w:sz w:val="21"/>
          <w:szCs w:val="21"/>
        </w:rPr>
        <w:t xml:space="preserve">Solvencia.</w:t>
      </w:r>
      <w:r>
        <w:rPr>
          <w:rFonts w:ascii="Calibri" w:cs="Calibri" w:eastAsia="Calibri" w:hAnsi="Calibri"/>
          <w:sz w:val="21"/>
          <w:szCs w:val="21"/>
        </w:rPr>
        <w:t xml:space="preserve"> Los requisitos mínimos de capacidad —económica, técnica o profesional— que una empresa debe acreditar para poder presentarse. Se comprueba antes de valorar las ofertas y no puntúa.</w:t>
      </w:r>
    </w:p>
    <w:p>
      <w:pPr>
        <w:spacing w:after="140" w:line="276"/>
      </w:pPr>
      <w:r>
        <w:rPr>
          <w:rFonts w:ascii="Calibri" w:cs="Calibri" w:eastAsia="Calibri" w:hAnsi="Calibri"/>
          <w:b/>
          <w:bCs/>
          <w:sz w:val="21"/>
          <w:szCs w:val="21"/>
        </w:rPr>
        <w:t xml:space="preserve">Criterio de adjudicación.</w:t>
      </w:r>
      <w:r>
        <w:rPr>
          <w:rFonts w:ascii="Calibri" w:cs="Calibri" w:eastAsia="Calibri" w:hAnsi="Calibri"/>
          <w:sz w:val="21"/>
          <w:szCs w:val="21"/>
        </w:rPr>
        <w:t xml:space="preserve"> Cada uno de los elementos con los que se puntúan las ofertas y se decide cuál gana. Debe referirse a la prestación que se contrata, no a características de la empresa.</w:t>
      </w:r>
    </w:p>
    <w:p>
      <w:pPr>
        <w:spacing w:after="140" w:line="276"/>
      </w:pPr>
      <w:r>
        <w:rPr>
          <w:rFonts w:ascii="Calibri" w:cs="Calibri" w:eastAsia="Calibri" w:hAnsi="Calibri"/>
          <w:b/>
          <w:bCs/>
          <w:sz w:val="21"/>
          <w:szCs w:val="21"/>
        </w:rPr>
        <w:t xml:space="preserve">Condición especial de ejecución.</w:t>
      </w:r>
      <w:r>
        <w:rPr>
          <w:rFonts w:ascii="Calibri" w:cs="Calibri" w:eastAsia="Calibri" w:hAnsi="Calibri"/>
          <w:sz w:val="21"/>
          <w:szCs w:val="21"/>
        </w:rPr>
        <w:t xml:space="preserve"> Una obligación que el contratista asume durante la ejecución del contrato, no un requisito para presentarse ni un criterio que puntúe. Puede calificarse de </w:t>
      </w:r>
      <w:r>
        <w:rPr>
          <w:rFonts w:ascii="Calibri" w:cs="Calibri" w:eastAsia="Calibri" w:hAnsi="Calibri"/>
          <w:b/>
          <w:bCs/>
          <w:sz w:val="21"/>
          <w:szCs w:val="21"/>
        </w:rPr>
        <w:t xml:space="preserve">esencial</w:t>
      </w:r>
      <w:r>
        <w:rPr>
          <w:rFonts w:ascii="Calibri" w:cs="Calibri" w:eastAsia="Calibri" w:hAnsi="Calibri"/>
          <w:sz w:val="21"/>
          <w:szCs w:val="21"/>
        </w:rPr>
        <w:t xml:space="preserve">, y entonces su incumplimiento permite resolver el contrato.</w:t>
      </w:r>
    </w:p>
    <w:p>
      <w:pPr>
        <w:spacing w:after="140" w:line="276"/>
      </w:pPr>
      <w:r>
        <w:rPr>
          <w:rFonts w:ascii="Calibri" w:cs="Calibri" w:eastAsia="Calibri" w:hAnsi="Calibri"/>
          <w:b/>
          <w:bCs/>
          <w:sz w:val="21"/>
          <w:szCs w:val="21"/>
        </w:rPr>
        <w:t xml:space="preserve">Prescripción técnica.</w:t>
      </w:r>
      <w:r>
        <w:rPr>
          <w:rFonts w:ascii="Calibri" w:cs="Calibri" w:eastAsia="Calibri" w:hAnsi="Calibri"/>
          <w:sz w:val="21"/>
          <w:szCs w:val="21"/>
        </w:rPr>
        <w:t xml:space="preserve"> La exigencia mínima que la solución debe cumplir obligatoriamente. Se cumple o no se cumple; no puntúa.</w:t>
      </w:r>
    </w:p>
    <w:p>
      <w:pPr>
        <w:pStyle w:val="Heading3"/>
        <w:keepNext/>
        <w:spacing w:after="140" w:before="320"/>
      </w:pPr>
      <w:r>
        <w:rPr>
          <w:rFonts w:ascii="Georgia" w:cs="Georgia" w:eastAsia="Georgia" w:hAnsi="Georgia"/>
          <w:b/>
          <w:bCs/>
          <w:color w:val="2F5496"/>
          <w:sz w:val="22"/>
          <w:szCs w:val="22"/>
        </w:rPr>
        <w:t xml:space="preserve">XIII.2 Palabras de tecnología</w:t>
      </w:r>
    </w:p>
    <w:p>
      <w:pPr>
        <w:spacing w:after="140" w:line="276"/>
      </w:pPr>
      <w:r>
        <w:rPr>
          <w:rFonts w:ascii="Calibri" w:cs="Calibri" w:eastAsia="Calibri" w:hAnsi="Calibri"/>
          <w:b/>
          <w:bCs/>
          <w:sz w:val="21"/>
          <w:szCs w:val="21"/>
        </w:rPr>
        <w:t xml:space="preserve">Agente de inteligencia artificial.</w:t>
      </w:r>
      <w:r>
        <w:rPr>
          <w:rFonts w:ascii="Calibri" w:cs="Calibri" w:eastAsia="Calibri" w:hAnsi="Calibri"/>
          <w:sz w:val="21"/>
          <w:szCs w:val="21"/>
        </w:rPr>
        <w:t xml:space="preserve"> Sistema que persigue un objetivo encadenando llamadas a herramientas y a fuentes de datos, con capacidad de decidir el siguiente paso. En este documento nunca se le atribuyen efectos jurídicos: toda actuación con efecto jurídico o económico requiere validación humana previa.</w:t>
      </w:r>
    </w:p>
    <w:p>
      <w:pPr>
        <w:spacing w:after="140" w:line="276"/>
      </w:pPr>
      <w:r>
        <w:rPr>
          <w:rFonts w:ascii="Calibri" w:cs="Calibri" w:eastAsia="Calibri" w:hAnsi="Calibri"/>
          <w:b/>
          <w:bCs/>
          <w:sz w:val="21"/>
          <w:szCs w:val="21"/>
        </w:rPr>
        <w:t xml:space="preserve">Agentización.</w:t>
      </w:r>
      <w:r>
        <w:rPr>
          <w:rFonts w:ascii="Calibri" w:cs="Calibri" w:eastAsia="Calibri" w:hAnsi="Calibri"/>
          <w:sz w:val="21"/>
          <w:szCs w:val="21"/>
        </w:rPr>
        <w:t xml:space="preserve"> Expresión de uso comercial que designa la adaptación de una solución para poder ser operada por agentes. No tiene definición normalizada. Lo que este documento exige no es «agentizar», sino las capacidades concretas descritas en el Anexo V.</w:t>
      </w:r>
    </w:p>
    <w:p>
      <w:pPr>
        <w:spacing w:after="140" w:line="276"/>
      </w:pPr>
      <w:r>
        <w:rPr>
          <w:rFonts w:ascii="Calibri" w:cs="Calibri" w:eastAsia="Calibri" w:hAnsi="Calibri"/>
          <w:b/>
          <w:bCs/>
          <w:sz w:val="21"/>
          <w:szCs w:val="21"/>
        </w:rPr>
        <w:t xml:space="preserve">Anclaje de evidencias.</w:t>
      </w:r>
      <w:r>
        <w:rPr>
          <w:rFonts w:ascii="Calibri" w:cs="Calibri" w:eastAsia="Calibri" w:hAnsi="Calibri"/>
          <w:sz w:val="21"/>
          <w:szCs w:val="21"/>
        </w:rPr>
        <w:t xml:space="preserve"> Registro de una huella criptográfica de un documento o asiento en un soporte que permite a un tercero comprobar después que no ha sido alterado.</w:t>
      </w:r>
    </w:p>
    <w:p>
      <w:pPr>
        <w:spacing w:after="140" w:line="276"/>
      </w:pPr>
      <w:r>
        <w:rPr>
          <w:rFonts w:ascii="Calibri" w:cs="Calibri" w:eastAsia="Calibri" w:hAnsi="Calibri"/>
          <w:b/>
          <w:bCs/>
          <w:sz w:val="21"/>
          <w:szCs w:val="21"/>
        </w:rPr>
        <w:t xml:space="preserve">Cadena de bloques y registros distribuidos.</w:t>
      </w:r>
      <w:r>
        <w:rPr>
          <w:rFonts w:ascii="Calibri" w:cs="Calibri" w:eastAsia="Calibri" w:hAnsi="Calibri"/>
          <w:sz w:val="21"/>
          <w:szCs w:val="21"/>
        </w:rPr>
        <w:t xml:space="preserve"> Tecnologías de registro replicado entre varios participantes. En este documento nunca se exigen por su nombre: la exigencia, cuando existe, es la capacidad de verificación por tercero sin acceso privilegiado.</w:t>
      </w:r>
    </w:p>
    <w:p>
      <w:pPr>
        <w:spacing w:after="140" w:line="276"/>
      </w:pPr>
      <w:r>
        <w:rPr>
          <w:rFonts w:ascii="Calibri" w:cs="Calibri" w:eastAsia="Calibri" w:hAnsi="Calibri"/>
          <w:b/>
          <w:bCs/>
          <w:sz w:val="21"/>
          <w:szCs w:val="21"/>
        </w:rPr>
        <w:t xml:space="preserve">Código fuente y código objeto.</w:t>
      </w:r>
      <w:r>
        <w:rPr>
          <w:rFonts w:ascii="Calibri" w:cs="Calibri" w:eastAsia="Calibri" w:hAnsi="Calibri"/>
          <w:sz w:val="21"/>
          <w:szCs w:val="21"/>
        </w:rPr>
        <w:t xml:space="preserve"> El primero es el texto legible por una persona; el segundo, el resultado de su compilación. La distinción importa porque la entrega de uno sin el otro puede hacer inútil la entrega.</w:t>
      </w:r>
    </w:p>
    <w:p>
      <w:pPr>
        <w:spacing w:after="140" w:line="276"/>
      </w:pPr>
      <w:r>
        <w:rPr>
          <w:rFonts w:ascii="Calibri" w:cs="Calibri" w:eastAsia="Calibri" w:hAnsi="Calibri"/>
          <w:b/>
          <w:bCs/>
          <w:sz w:val="21"/>
          <w:szCs w:val="21"/>
        </w:rPr>
        <w:t xml:space="preserve">Credencial verificable e identificador descentralizado.</w:t>
      </w:r>
      <w:r>
        <w:rPr>
          <w:rFonts w:ascii="Calibri" w:cs="Calibri" w:eastAsia="Calibri" w:hAnsi="Calibri"/>
          <w:sz w:val="21"/>
          <w:szCs w:val="21"/>
        </w:rPr>
        <w:t xml:space="preserve"> Formatos de acreditación de atributos y de identidad que permiten su comprobación sin consultar al emisor.</w:t>
      </w:r>
    </w:p>
    <w:p>
      <w:pPr>
        <w:spacing w:after="140" w:line="276"/>
      </w:pPr>
      <w:r>
        <w:rPr>
          <w:rFonts w:ascii="Calibri" w:cs="Calibri" w:eastAsia="Calibri" w:hAnsi="Calibri"/>
          <w:b/>
          <w:bCs/>
          <w:sz w:val="21"/>
          <w:szCs w:val="21"/>
        </w:rPr>
        <w:t xml:space="preserve">Criptoagilidad.</w:t>
      </w:r>
      <w:r>
        <w:rPr>
          <w:rFonts w:ascii="Calibri" w:cs="Calibri" w:eastAsia="Calibri" w:hAnsi="Calibri"/>
          <w:sz w:val="21"/>
          <w:szCs w:val="21"/>
        </w:rPr>
        <w:t xml:space="preserve"> Capacidad de un sistema para sustituir sus algoritmos criptográficos sin rehacer la aplicación.</w:t>
      </w:r>
    </w:p>
    <w:p>
      <w:pPr>
        <w:spacing w:after="140" w:line="276"/>
      </w:pPr>
      <w:r>
        <w:rPr>
          <w:rFonts w:ascii="Calibri" w:cs="Calibri" w:eastAsia="Calibri" w:hAnsi="Calibri"/>
          <w:b/>
          <w:bCs/>
          <w:sz w:val="21"/>
          <w:szCs w:val="21"/>
        </w:rPr>
        <w:t xml:space="preserve">Deep tech.</w:t>
      </w:r>
      <w:r>
        <w:rPr>
          <w:rFonts w:ascii="Calibri" w:cs="Calibri" w:eastAsia="Calibri" w:hAnsi="Calibri"/>
          <w:sz w:val="21"/>
          <w:szCs w:val="21"/>
        </w:rPr>
        <w:t xml:space="preserve"> Rótulo de uso comercial con el que se agrupan las tecnologías nacidas de avances científicos o de ingeniería todavía poco maduros en el mercado. No tiene definición normalizada ni umbral que permita decir si una solución concreta lo es. Aparece en el título de este documento porque describe la materia de la que trata, y </w:t>
      </w:r>
      <w:r>
        <w:rPr>
          <w:rFonts w:ascii="Calibri" w:cs="Calibri" w:eastAsia="Calibri" w:hAnsi="Calibri"/>
          <w:b/>
          <w:bCs/>
          <w:sz w:val="21"/>
          <w:szCs w:val="21"/>
        </w:rPr>
        <w:t xml:space="preserve">no genera ninguna obligación</w:t>
      </w:r>
      <w:r>
        <w:rPr>
          <w:rFonts w:ascii="Calibri" w:cs="Calibri" w:eastAsia="Calibri" w:hAnsi="Calibri"/>
          <w:sz w:val="21"/>
          <w:szCs w:val="21"/>
        </w:rPr>
        <w:t xml:space="preserve">: lo que obliga es cada cláusula, por lo que el sistema debe hacer y por cómo se comprueba que lo hace.</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Depósito de código (</w:t>
      </w:r>
      <w:r>
        <w:rPr>
          <w:rFonts w:ascii="Calibri" w:cs="Calibri" w:eastAsia="Calibri" w:hAnsi="Calibri"/>
          <w:sz w:val="21"/>
          <w:szCs w:val="21"/>
        </w:rPr>
        <w:t xml:space="preserve">escrow</w:t>
      </w:r>
      <w:r>
        <w:rPr>
          <w:rFonts w:ascii="Calibri" w:cs="Calibri" w:eastAsia="Calibri" w:hAnsi="Calibri"/>
          <w:i/>
          <w:iCs/>
          <w:sz w:val="21"/>
          <w:szCs w:val="21"/>
        </w:rPr>
        <w:t xml:space="preserve">).</w:t>
      </w:r>
      <w:r>
        <w:rPr>
          <w:rFonts w:ascii="Calibri" w:cs="Calibri" w:eastAsia="Calibri" w:hAnsi="Calibri"/>
          <w:sz w:val="21"/>
          <w:szCs w:val="21"/>
        </w:rPr>
        <w:t xml:space="preserve">* Entrega del código y de la documentación de despliegue a un tercero, que sólo los libera al beneficiario si se produce un hecho previsto en el contrato. La entrega física del código no confiere por sí sola derecho a reproducirlo: hace falta la licencia.</w:t>
      </w:r>
    </w:p>
    <w:p>
      <w:pPr>
        <w:spacing w:after="140" w:line="276"/>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Documento que describe qué significa cada campo, con qué tipo y con qué relaciones. Sin él, la exportación de datos es un fichero que nadie sabe leer.</w:t>
      </w:r>
    </w:p>
    <w:p>
      <w:pPr>
        <w:spacing w:after="140" w:line="276"/>
      </w:pPr>
      <w:r>
        <w:rPr>
          <w:rFonts w:ascii="Calibri" w:cs="Calibri" w:eastAsia="Calibri" w:hAnsi="Calibri"/>
          <w:b/>
          <w:bCs/>
          <w:sz w:val="21"/>
          <w:szCs w:val="21"/>
        </w:rPr>
        <w:t xml:space="preserve">Entorno de pruebas.</w:t>
      </w:r>
      <w:r>
        <w:rPr>
          <w:rFonts w:ascii="Calibri" w:cs="Calibri" w:eastAsia="Calibri" w:hAnsi="Calibri"/>
          <w:sz w:val="21"/>
          <w:szCs w:val="21"/>
        </w:rPr>
        <w:t xml:space="preserve"> Copia del sistema con datos ficticios o anonimizados, sobre la que se ejecutan las pruebas de aceptación sin afectar a la producción.</w:t>
      </w:r>
    </w:p>
    <w:p>
      <w:pPr>
        <w:spacing w:after="140" w:line="276"/>
      </w:pPr>
      <w:r>
        <w:rPr>
          <w:rFonts w:ascii="Calibri" w:cs="Calibri" w:eastAsia="Calibri" w:hAnsi="Calibri"/>
          <w:b/>
          <w:bCs/>
          <w:sz w:val="21"/>
          <w:szCs w:val="21"/>
        </w:rPr>
        <w:t xml:space="preserve">Esquema Nacional de Seguridad y Esquema Nacional de Interoperabilidad.</w:t>
      </w:r>
      <w:r>
        <w:rPr>
          <w:rFonts w:ascii="Calibri" w:cs="Calibri" w:eastAsia="Calibri" w:hAnsi="Calibri"/>
          <w:sz w:val="21"/>
          <w:szCs w:val="21"/>
        </w:rPr>
        <w:t xml:space="preserve"> Marcos reglamentarios españoles de seguridad e interoperabilidad de los sistemas del sector público.</w:t>
      </w:r>
    </w:p>
    <w:p>
      <w:pPr>
        <w:spacing w:after="140" w:line="276"/>
      </w:pPr>
      <w:r>
        <w:rPr>
          <w:rFonts w:ascii="Calibri" w:cs="Calibri" w:eastAsia="Calibri" w:hAnsi="Calibri"/>
          <w:b/>
          <w:bCs/>
          <w:sz w:val="21"/>
          <w:szCs w:val="21"/>
        </w:rPr>
        <w:t xml:space="preserve">Formato abierto.</w:t>
      </w:r>
      <w:r>
        <w:rPr>
          <w:rFonts w:ascii="Calibri" w:cs="Calibri" w:eastAsia="Calibri" w:hAnsi="Calibri"/>
          <w:sz w:val="21"/>
          <w:szCs w:val="21"/>
        </w:rPr>
        <w:t xml:space="preserve"> Formato cuya especificación es pública y de uso libre, de modo que los datos puedan leerse sin la herramienta que los generó.</w:t>
      </w:r>
    </w:p>
    <w:p>
      <w:pPr>
        <w:spacing w:after="140" w:line="276"/>
      </w:pPr>
      <w:r>
        <w:rPr>
          <w:rFonts w:ascii="Calibri" w:cs="Calibri" w:eastAsia="Calibri" w:hAnsi="Calibri"/>
          <w:b/>
          <w:bCs/>
          <w:sz w:val="21"/>
          <w:szCs w:val="21"/>
        </w:rPr>
        <w:t xml:space="preserve">«Hiperautomatización», «Loop Engineering», «skills», «harness», «loops».</w:t>
      </w:r>
      <w:r>
        <w:rPr>
          <w:rFonts w:ascii="Calibri" w:cs="Calibri" w:eastAsia="Calibri" w:hAnsi="Calibri"/>
          <w:sz w:val="21"/>
          <w:szCs w:val="21"/>
        </w:rPr>
        <w:t xml:space="preserve"> Términos del vocabulario comercial y técnico del sector. </w:t>
      </w:r>
      <w:r>
        <w:rPr>
          <w:rFonts w:ascii="Calibri" w:cs="Calibri" w:eastAsia="Calibri" w:hAnsi="Calibri"/>
          <w:b/>
          <w:bCs/>
          <w:sz w:val="21"/>
          <w:szCs w:val="21"/>
        </w:rPr>
        <w:t xml:space="preserve">Carecen de definición normalizada y de método de verificación en un procedimiento contradictorio.</w:t>
      </w:r>
      <w:r>
        <w:rPr>
          <w:rFonts w:ascii="Calibri" w:cs="Calibri" w:eastAsia="Calibri" w:hAnsi="Calibri"/>
          <w:sz w:val="21"/>
          <w:szCs w:val="21"/>
        </w:rPr>
        <w:t xml:space="preserve"> Se recogen aquí para dejar constancia de que no pueden emplearse en el articulado de un pliego, ni como obligación, ni como criterio, ni como tipo de incumplimiento.</w:t>
      </w:r>
    </w:p>
    <w:p>
      <w:pPr>
        <w:spacing w:after="140" w:line="276"/>
      </w:pPr>
      <w:r>
        <w:rPr>
          <w:rFonts w:ascii="Calibri" w:cs="Calibri" w:eastAsia="Calibri" w:hAnsi="Calibri"/>
          <w:b/>
          <w:bCs/>
          <w:sz w:val="21"/>
          <w:szCs w:val="21"/>
        </w:rPr>
        <w:t xml:space="preserve">Interfaz normalizada de acceso programático.</w:t>
      </w:r>
      <w:r>
        <w:rPr>
          <w:rFonts w:ascii="Calibri" w:cs="Calibri" w:eastAsia="Calibri" w:hAnsi="Calibri"/>
          <w:sz w:val="21"/>
          <w:szCs w:val="21"/>
        </w:rPr>
        <w:t xml:space="preserve"> Punto de entrada documentado que permite a un programa externo consultar datos o solicitar operaciones a la solución, con control de acceso y registro. Es lo que este documento exige; el protocolo concreto es indiferente.</w:t>
      </w:r>
    </w:p>
    <w:p>
      <w:pPr>
        <w:spacing w:after="140" w:line="276"/>
      </w:pPr>
      <w:r>
        <w:rPr>
          <w:rFonts w:ascii="Calibri" w:cs="Calibri" w:eastAsia="Calibri" w:hAnsi="Calibri"/>
          <w:b/>
          <w:bCs/>
          <w:sz w:val="21"/>
          <w:szCs w:val="21"/>
        </w:rPr>
        <w:t xml:space="preserve">Model Context Protocol.</w:t>
      </w:r>
      <w:r>
        <w:rPr>
          <w:rFonts w:ascii="Calibri" w:cs="Calibri" w:eastAsia="Calibri" w:hAnsi="Calibri"/>
          <w:sz w:val="21"/>
          <w:szCs w:val="21"/>
        </w:rPr>
        <w:t xml:space="preserve"> Especificación abierta para la conexión entre asistentes de inteligencia artificial y fuentes de datos y herramientas, bajo gobernanza de una fundación del ecosistema del software libre desde diciembre de 2025. Se menciona </w:t>
      </w:r>
      <w:r>
        <w:rPr>
          <w:rFonts w:ascii="Calibri" w:cs="Calibri" w:eastAsia="Calibri" w:hAnsi="Calibri"/>
          <w:b/>
          <w:bCs/>
          <w:sz w:val="21"/>
          <w:szCs w:val="21"/>
        </w:rPr>
        <w:t xml:space="preserve">exclusivamente como referencia ilustrativa del estado del arte</w:t>
      </w:r>
      <w:r>
        <w:rPr>
          <w:rFonts w:ascii="Calibri" w:cs="Calibri" w:eastAsia="Calibri" w:hAnsi="Calibri"/>
          <w:sz w:val="21"/>
          <w:szCs w:val="21"/>
        </w:rPr>
        <w:t xml:space="preserve">: no es norma en el sentido de la legislación de contratos, no puede operar como medio de presunción de conformidad y no puede exigirse por su nombre.</w:t>
      </w:r>
    </w:p>
    <w:p>
      <w:pPr>
        <w:spacing w:after="140" w:line="276"/>
      </w:pPr>
      <w:r>
        <w:rPr>
          <w:rFonts w:ascii="Calibri" w:cs="Calibri" w:eastAsia="Calibri" w:hAnsi="Calibri"/>
          <w:b/>
          <w:bCs/>
          <w:sz w:val="21"/>
          <w:szCs w:val="21"/>
        </w:rPr>
        <w:t xml:space="preserve">Modelo de lenguaje y sistema de IA generativa.</w:t>
      </w:r>
      <w:r>
        <w:rPr>
          <w:rFonts w:ascii="Calibri" w:cs="Calibri" w:eastAsia="Calibri" w:hAnsi="Calibri"/>
          <w:sz w:val="21"/>
          <w:szCs w:val="21"/>
        </w:rPr>
        <w:t xml:space="preserve"> Sistemas que producen texto, imagen, sonido o código a partir de una instrucción. Su uso sobre información municipal está sujeto a la cláusula ADM-13·v3.</w:t>
      </w:r>
    </w:p>
    <w:p>
      <w:pPr>
        <w:spacing w:after="140" w:line="276"/>
      </w:pPr>
      <w:r>
        <w:rPr>
          <w:rFonts w:ascii="Calibri" w:cs="Calibri" w:eastAsia="Calibri" w:hAnsi="Calibri"/>
          <w:b/>
          <w:bCs/>
          <w:sz w:val="21"/>
          <w:szCs w:val="21"/>
        </w:rPr>
        <w:t xml:space="preserve">Responsable del despliegue y proveedor.</w:t>
      </w:r>
      <w:r>
        <w:rPr>
          <w:rFonts w:ascii="Calibri" w:cs="Calibri" w:eastAsia="Calibri" w:hAnsi="Calibri"/>
          <w:sz w:val="21"/>
          <w:szCs w:val="21"/>
        </w:rPr>
        <w:t xml:space="preserve"> Papeles definidos en la normativa europea de inteligencia artificial. El Ayuntamiento actúa normalmente como responsable del despliegue; el adjudicatario, como proveedor o distribuidor. Las obligaciones del primero son indelegables, y lo que el contrato exige al segundo es que entregue los medios para poder cumplirlas.</w:t>
      </w:r>
    </w:p>
    <w:p>
      <w:pPr>
        <w:spacing w:after="140" w:line="276"/>
      </w:pPr>
      <w:r>
        <w:rPr>
          <w:rFonts w:ascii="Calibri" w:cs="Calibri" w:eastAsia="Calibri" w:hAnsi="Calibri"/>
          <w:b/>
          <w:bCs/>
          <w:sz w:val="21"/>
          <w:szCs w:val="21"/>
        </w:rPr>
        <w:t xml:space="preserve">Reversibilidad y dependencia tecnológica.</w:t>
      </w:r>
      <w:r>
        <w:rPr>
          <w:rFonts w:ascii="Calibri" w:cs="Calibri" w:eastAsia="Calibri" w:hAnsi="Calibri"/>
          <w:sz w:val="21"/>
          <w:szCs w:val="21"/>
        </w:rPr>
        <w:t xml:space="preserve"> Capacidad de recuperar datos, configuraciones y desarrollos y de continuar el servicio con otro proveedor. La dependencia no es ilícita: lo es la injustificada, y se combate con inventario, formato abierto, licencia suficiente y ensayo previo.</w:t>
      </w:r>
    </w:p>
    <w:p>
      <w:pPr>
        <w:spacing w:after="140" w:line="276"/>
      </w:pPr>
      <w:r>
        <w:rPr>
          <w:rFonts w:ascii="Calibri" w:cs="Calibri" w:eastAsia="Calibri" w:hAnsi="Calibri"/>
          <w:b/>
          <w:bCs/>
          <w:sz w:val="21"/>
          <w:szCs w:val="21"/>
        </w:rPr>
        <w:t xml:space="preserve">Sistema de alto riesgo.</w:t>
      </w:r>
      <w:r>
        <w:rPr>
          <w:rFonts w:ascii="Calibri" w:cs="Calibri" w:eastAsia="Calibri" w:hAnsi="Calibri"/>
          <w:sz w:val="21"/>
          <w:szCs w:val="21"/>
        </w:rPr>
        <w:t xml:space="preserve"> Categoría de la normativa europea de inteligencia artificial que activa un conjunto de requisitos reforzados, con el calendario de exigibilidad que recoge el Anexo XI.</w:t>
      </w:r>
    </w:p>
    <w:p>
      <w:pPr>
        <w:spacing w:after="140" w:line="276"/>
      </w:pPr>
      <w:r>
        <w:rPr>
          <w:rFonts w:ascii="Calibri" w:cs="Calibri" w:eastAsia="Calibri" w:hAnsi="Calibri"/>
          <w:b/>
          <w:bCs/>
          <w:sz w:val="21"/>
          <w:szCs w:val="21"/>
        </w:rPr>
        <w:t xml:space="preserve">Sistema de gestión de la inteligencia artificial.</w:t>
      </w:r>
      <w:r>
        <w:rPr>
          <w:rFonts w:ascii="Calibri" w:cs="Calibri" w:eastAsia="Calibri" w:hAnsi="Calibri"/>
          <w:sz w:val="21"/>
          <w:szCs w:val="21"/>
        </w:rPr>
        <w:t xml:space="preserve"> Conjunto documentado de políticas, funciones y controles con los que una organización gobierna el uso de la IA. Su certificación acredita el sistema de gestión; </w:t>
      </w:r>
      <w:r>
        <w:rPr>
          <w:rFonts w:ascii="Calibri" w:cs="Calibri" w:eastAsia="Calibri" w:hAnsi="Calibri"/>
          <w:b/>
          <w:bCs/>
          <w:sz w:val="21"/>
          <w:szCs w:val="21"/>
        </w:rPr>
        <w:t xml:space="preserve">no</w:t>
      </w:r>
      <w:r>
        <w:rPr>
          <w:rFonts w:ascii="Calibri" w:cs="Calibri" w:eastAsia="Calibri" w:hAnsi="Calibri"/>
          <w:sz w:val="21"/>
          <w:szCs w:val="21"/>
        </w:rPr>
        <w:t xml:space="preserve"> acredita la conformidad de un producto con la normativa europea de inteligencia artificial.</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que cumple las mismas funciones exigidas, interopera con el resto del entorno sin pérdida de funcionalidad ni de calidad de servicio y no comporta sobrecoste ni sobreesfuerzo desproporcionado de implantación. Su prueba corresponde al licitador y se aporta con la oferta; su apreciación corresponde al órgano de contratación, motivadamente y por escrito.</w:t>
      </w:r>
    </w:p>
    <w:p>
      <w:pPr>
        <w:spacing w:after="140" w:line="276"/>
      </w:pPr>
      <w:r>
        <w:rPr>
          <w:rFonts w:ascii="Calibri" w:cs="Calibri" w:eastAsia="Calibri" w:hAnsi="Calibri"/>
          <w:b/>
          <w:bCs/>
          <w:sz w:val="21"/>
          <w:szCs w:val="21"/>
        </w:rPr>
        <w:t xml:space="preserve">Trazabilidad.</w:t>
      </w:r>
      <w:r>
        <w:rPr>
          <w:rFonts w:ascii="Calibri" w:cs="Calibri" w:eastAsia="Calibri" w:hAnsi="Calibri"/>
          <w:sz w:val="21"/>
          <w:szCs w:val="21"/>
        </w:rPr>
        <w:t xml:space="preserve"> Propiedad de un sistema que permite reconstruir quién hizo qué, cuándo y sobre qué datos.</w:t>
      </w:r>
    </w:p>
    <w:p>
      <w:pPr>
        <w:spacing w:after="140" w:line="276"/>
      </w:pPr>
      <w:r>
        <w:rPr>
          <w:rFonts w:ascii="Calibri" w:cs="Calibri" w:eastAsia="Calibri" w:hAnsi="Calibri"/>
          <w:b/>
          <w:bCs/>
          <w:sz w:val="21"/>
          <w:szCs w:val="21"/>
        </w:rPr>
        <w:t xml:space="preserve">Versión sucesora.</w:t>
      </w:r>
      <w:r>
        <w:rPr>
          <w:rFonts w:ascii="Calibri" w:cs="Calibri" w:eastAsia="Calibri" w:hAnsi="Calibri"/>
          <w:sz w:val="21"/>
          <w:szCs w:val="21"/>
        </w:rPr>
        <w:t xml:space="preserve"> La que presenta continuidad funcional con el producto contratado, lo sustituye en el catálogo del fabricante o cuenta con una ruta de migración ofrecida por el propio fabricante. La definición importa porque es lo que hace exigible la entrega sin discusión sobre la denominación comercial.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XIV · MODELO DE PLAN ANUAL DE EVOLUCIÓN TECNOLÓGICA</w:t>
      </w:r>
    </w:p>
    <w:p>
      <w:pPr>
        <w:spacing w:after="140" w:line="276"/>
      </w:pPr>
      <w:r>
        <w:rPr>
          <w:rFonts w:ascii="Calibri" w:cs="Calibri" w:eastAsia="Calibri" w:hAnsi="Calibri"/>
          <w:sz w:val="21"/>
          <w:szCs w:val="21"/>
        </w:rPr>
        <w:t xml:space="preserve">Función: dar formato cerrado al Plan que exige la cláusula ADM-10·v3, y en particular a </w:t>
      </w:r>
      <w:r>
        <w:rPr>
          <w:rFonts w:ascii="Calibri" w:cs="Calibri" w:eastAsia="Calibri" w:hAnsi="Calibri"/>
          <w:b/>
          <w:bCs/>
          <w:sz w:val="21"/>
          <w:szCs w:val="21"/>
        </w:rPr>
        <w:t xml:space="preserve">la casilla de hitos sometidos a aprobación expresa</w:t>
      </w:r>
      <w:r>
        <w:rPr>
          <w:rFonts w:ascii="Calibri" w:cs="Calibri" w:eastAsia="Calibri" w:hAnsi="Calibri"/>
          <w:sz w:val="21"/>
          <w:szCs w:val="21"/>
        </w:rPr>
        <w:t xml:space="preserve">. De esa casilla depende que unos hitos sean obligación esencial y el resto no. Sin ella, o se califica como esencial el cumplimiento íntegro de un plan redactado por el propio adjudicatario —cláusula de tipo general, prohibida por el artículo 211.1.f).2.º de la LCSP—, o no lo es nada y la cláusula no protege.</w:t>
      </w:r>
    </w:p>
    <w:p>
      <w:pPr>
        <w:spacing w:after="140" w:line="276"/>
      </w:pPr>
      <w:r>
        <w:rPr>
          <w:rFonts w:ascii="Calibri" w:cs="Calibri" w:eastAsia="Calibri" w:hAnsi="Calibri"/>
          <w:b/>
          <w:bCs/>
          <w:sz w:val="21"/>
          <w:szCs w:val="21"/>
        </w:rPr>
        <w:t xml:space="preserve">Instrucciones de uso, previas al modelo.</w:t>
      </w:r>
      <w:r>
        <w:rPr>
          <w:rFonts w:ascii="Calibri" w:cs="Calibri" w:eastAsia="Calibri" w:hAnsi="Calibri"/>
          <w:sz w:val="21"/>
          <w:szCs w:val="21"/>
        </w:rPr>
        <w:t xml:space="preserve"> (1) El modelo se incorpora como anexo del PCAP y el pliego exige su empleo: un Plan presentado en formato libre no permite localizar los hitos que se someten a aprobación. (2) Las filas del apartado 1 se preimprimen por el Ayuntamiento con las exigencias del Catálogo de Exigencias Tecnológicas efectivamente incorporadas a ese contrato; </w:t>
      </w:r>
      <w:r>
        <w:rPr>
          <w:rFonts w:ascii="Calibri" w:cs="Calibri" w:eastAsia="Calibri" w:hAnsi="Calibri"/>
          <w:b/>
          <w:bCs/>
          <w:sz w:val="21"/>
          <w:szCs w:val="21"/>
        </w:rPr>
        <w:t xml:space="preserve">las filas huérfanas se borran</w:t>
      </w:r>
      <w:r>
        <w:rPr>
          <w:rFonts w:ascii="Calibri" w:cs="Calibri" w:eastAsia="Calibri" w:hAnsi="Calibri"/>
          <w:sz w:val="21"/>
          <w:szCs w:val="21"/>
        </w:rPr>
        <w:t xml:space="preserve">. (3) El apartado 4 es el único que produce obligaciones esenciales, y sólo tras la aprobación expresa del apartado 6. (4) El Plan </w:t>
      </w:r>
      <w:r>
        <w:rPr>
          <w:rFonts w:ascii="Calibri" w:cs="Calibri" w:eastAsia="Calibri" w:hAnsi="Calibri"/>
          <w:b/>
          <w:bCs/>
          <w:sz w:val="21"/>
          <w:szCs w:val="21"/>
        </w:rPr>
        <w:t xml:space="preserve">no crea obligaciones distintas</w:t>
      </w:r>
      <w:r>
        <w:rPr>
          <w:rFonts w:ascii="Calibri" w:cs="Calibri" w:eastAsia="Calibri" w:hAnsi="Calibri"/>
          <w:sz w:val="21"/>
          <w:szCs w:val="21"/>
        </w:rPr>
        <w:t xml:space="preserve"> de las del Catálogo transcrito y del pliego de prescripciones técnicas: si una fila lo hace, se suprime antes de aprobar. (5) El apartado 5 se suprime si el contrato no incorpora bolsa de servicios evolutivos.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PLAN ANUAL DE EVOLUCIÓN TECNOLÓGICA</w:t>
            </w:r>
          </w:p>
          <w:p>
            <w:pPr>
              <w:spacing w:after="100" w:line="264"/>
            </w:pPr>
            <w:r>
              <w:rPr>
                <w:rFonts w:ascii="Georgia" w:cs="Georgia" w:eastAsia="Georgia" w:hAnsi="Georgia"/>
                <w:i/>
                <w:iCs/>
                <w:sz w:val="20"/>
                <w:szCs w:val="20"/>
              </w:rPr>
              <w:t xml:space="preserve">(Cláusula [ADM-10] del pliego de cláusulas administrativas particulares)</w:t>
            </w:r>
          </w:p>
          <w:p>
            <w:pPr>
              <w:spacing w:after="100" w:line="264"/>
            </w:pPr>
            <w:r>
              <w:rPr>
                <w:rFonts w:ascii="Georgia" w:cs="Georgia" w:eastAsia="Georgia" w:hAnsi="Georgia"/>
                <w:sz w:val="20"/>
                <w:szCs w:val="20"/>
              </w:rPr>
              <w:t xml:space="preserve">Contrato: ……………………………… · Expediente n.º: ………………………</w:t>
            </w:r>
          </w:p>
          <w:p>
            <w:pPr>
              <w:spacing w:after="100" w:line="264"/>
            </w:pPr>
            <w:r>
              <w:rPr>
                <w:rFonts w:ascii="Georgia" w:cs="Georgia" w:eastAsia="Georgia" w:hAnsi="Georgia"/>
                <w:sz w:val="20"/>
                <w:szCs w:val="20"/>
              </w:rPr>
              <w:t xml:space="preserve">Adjudicatario: ……………………………… · NIF: ………………</w:t>
            </w:r>
          </w:p>
          <w:p>
            <w:pPr>
              <w:spacing w:after="100" w:line="264"/>
            </w:pPr>
            <w:r>
              <w:rPr>
                <w:rFonts w:ascii="Georgia" w:cs="Georgia" w:eastAsia="Georgia" w:hAnsi="Georgia"/>
                <w:sz w:val="20"/>
                <w:szCs w:val="20"/>
              </w:rPr>
              <w:t xml:space="preserve">Anualidad a que se refiere: …… (de …… a ……) · N.º de Plan: ……</w:t>
            </w:r>
          </w:p>
          <w:p>
            <w:pPr>
              <w:spacing w:after="100" w:line="264"/>
            </w:pPr>
            <w:r>
              <w:rPr>
                <w:rFonts w:ascii="Georgia" w:cs="Georgia" w:eastAsia="Georgia" w:hAnsi="Georgia"/>
                <w:sz w:val="20"/>
                <w:szCs w:val="20"/>
              </w:rPr>
              <w:t xml:space="preserve">Versión del Catálogo de Exigencias Tecnológicas incorporada al contrato: ……, de fecha ……………</w:t>
            </w:r>
          </w:p>
          <w:p>
            <w:pPr>
              <w:spacing w:after="100" w:line="264"/>
            </w:pPr>
            <w:r>
              <w:rPr>
                <w:rFonts w:ascii="Georgia" w:cs="Georgia" w:eastAsia="Georgia" w:hAnsi="Georgia"/>
                <w:sz w:val="20"/>
                <w:szCs w:val="20"/>
              </w:rPr>
              <w:t xml:space="preserve">Fecha de presentación: …… / …… / …… · Plazo del pliego: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o desde el inicio de la anualidad.</w:t>
            </w:r>
          </w:p>
          <w:p>
            <w:pPr>
              <w:spacing w:after="100" w:line="264"/>
            </w:pPr>
            <w:r>
              <w:rPr>
                <w:rFonts w:ascii="Georgia" w:cs="Georgia" w:eastAsia="Georgia" w:hAnsi="Georgia"/>
                <w:b/>
                <w:bCs/>
                <w:sz w:val="20"/>
                <w:szCs w:val="20"/>
              </w:rPr>
              <w:t xml:space="preserve">1. Calendario de las exigencias del Catálogo incorporadas a este contrato.</w:t>
            </w:r>
          </w:p>
          <w:p>
            <w:pPr>
              <w:spacing w:after="100" w:line="264"/>
            </w:pPr>
            <w:r>
              <w:rPr>
                <w:rFonts w:ascii="Georgia" w:cs="Georgia" w:eastAsia="Georgia" w:hAnsi="Georgia"/>
                <w:sz w:val="20"/>
                <w:szCs w:val="20"/>
              </w:rPr>
              <w:t xml:space="preserve">Una fila por exigencia. La fecha comprometida no puede exceder del plazo fijado en el propio Catálogo transcrito en el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 pendiente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comprometida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la fecha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Acta de aceptación (fecha y n.º)</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Versiones sucesoras.</w:t>
            </w:r>
          </w:p>
          <w:p>
            <w:pPr>
              <w:spacing w:after="100" w:line="264"/>
            </w:pPr>
            <w:r>
              <w:rPr>
                <w:rFonts w:ascii="Georgia" w:cs="Georgia" w:eastAsia="Georgia" w:hAnsi="Georgia"/>
                <w:sz w:val="20"/>
                <w:szCs w:val="20"/>
              </w:rPr>
              <w:t xml:space="preserve">Compromiso de poner a disposición del Ayuntamiento, sin coste adicional durante la vigencia del contrato y de sus prórrogas, las versiones sucesoras del producto contratado, en los términos de la cláusula [ADM-10], apartado 2, letra b).</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sucesora publicada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disponibilidad general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comunicación al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que la acredita (continuidad funcional / sustitución en catálogo / ruta de migración)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del fabricante que lo prueba</w:t>
                  </w:r>
                </w:p>
              </w:tc>
            </w:tr>
          </w:tbl>
          <w:p>
            <w:pPr>
              <w:spacing w:after="80"/>
            </w:pPr>
          </w:p>
          <w:p>
            <w:pPr>
              <w:spacing w:after="100" w:line="264"/>
            </w:pPr>
            <w:r>
              <w:rPr>
                <w:rFonts w:ascii="Georgia" w:cs="Georgia" w:eastAsia="Georgia" w:hAnsi="Georgia"/>
                <w:sz w:val="20"/>
                <w:szCs w:val="20"/>
              </w:rPr>
              <w:t xml:space="preserve">☐ No se ha publicado versión sucesora alguna en el período. </w:t>
            </w:r>
            <w:r>
              <w:rPr>
                <w:rFonts w:ascii="Georgia" w:cs="Georgia" w:eastAsia="Georgia" w:hAnsi="Georgia"/>
                <w:i/>
                <w:iCs/>
                <w:sz w:val="20"/>
                <w:szCs w:val="20"/>
              </w:rPr>
              <w:t xml:space="preserve">(Marcada esta casilla, no hay obligación que cumplir ni consecuencia que imponer.)</w:t>
            </w:r>
          </w:p>
          <w:p>
            <w:pPr>
              <w:spacing w:after="100" w:line="264"/>
            </w:pPr>
            <w:r>
              <w:rPr>
                <w:rFonts w:ascii="Georgia" w:cs="Georgia" w:eastAsia="Georgia" w:hAnsi="Georgia"/>
                <w:b/>
                <w:bCs/>
                <w:sz w:val="20"/>
                <w:szCs w:val="20"/>
              </w:rPr>
              <w:t xml:space="preserve">3. Versiones en soporte y fin de soporte declarado.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desplegada en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soporte del fabricante?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fin de soporte declarada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 prevista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4. HITOS QUE SE SOMETEN A APROBACIÓN EXPRESA DEL ÓRGANO DE CONTRATACIÓN.</w:t>
            </w:r>
          </w:p>
          <w:p>
            <w:pPr>
              <w:spacing w:after="100" w:line="264"/>
            </w:pPr>
            <w:r>
              <w:rPr>
                <w:rFonts w:ascii="Georgia" w:cs="Georgia" w:eastAsia="Georgia" w:hAnsi="Georgia"/>
                <w:i/>
                <w:iCs/>
                <w:sz w:val="20"/>
                <w:szCs w:val="20"/>
              </w:rPr>
              <w:t xml:space="preserve">Advertencia que forma parte del modelo: </w:t>
            </w:r>
            <w:r>
              <w:rPr>
                <w:rFonts w:ascii="Georgia" w:cs="Georgia" w:eastAsia="Georgia" w:hAnsi="Georgia"/>
                <w:i/>
                <w:iCs/>
                <w:sz w:val="20"/>
                <w:szCs w:val="20"/>
              </w:rPr>
              <w:t xml:space="preserve">sólo los hitos consignados en este apartado y aprobados expresamente, con fecha cierta, en el acta de la Comisión de Seguimiento, tienen carácter de obligación contractual esencial</w:t>
            </w:r>
            <w:r>
              <w:rPr>
                <w:rFonts w:ascii="Georgia" w:cs="Georgia" w:eastAsia="Georgia" w:hAnsi="Georgia"/>
                <w:sz w:val="20"/>
                <w:szCs w:val="20"/>
              </w:rPr>
              <w:t xml:space="preserve">* a los efectos del artículo 211.1.f) de la LCSP, en los términos de la cláusula [ADM-6]. Ningún otro contenido de este Plan lo tiene. Un hito no consignado aquí no puede ser calificado como esencial después.*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propuesto, descrito por su resultado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 del Catálogo o cláusula de la que deriva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propuesta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comprobará su cumplimiento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somete a aprobación expresa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80"/>
            </w:pP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El adjudicatario no somete ningún hito a aprobación expresa en esta anualidad.</w:t>
            </w:r>
            <w:r>
              <w:rPr>
                <w:rFonts w:ascii="Georgia" w:cs="Georgia" w:eastAsia="Georgia" w:hAnsi="Georgia"/>
                <w:sz w:val="20"/>
                <w:szCs w:val="20"/>
              </w:rPr>
              <w:t xml:space="preserve"> </w:t>
            </w:r>
            <w:r>
              <w:rPr>
                <w:rFonts w:ascii="Georgia" w:cs="Georgia" w:eastAsia="Georgia" w:hAnsi="Georgia"/>
                <w:i/>
                <w:iCs/>
                <w:sz w:val="20"/>
                <w:szCs w:val="20"/>
              </w:rPr>
              <w:t xml:space="preserve">(Marcada esta casilla, ninguna obligación derivada de este Plan tendrá carácter esencial en la anualidad de referencia.)</w:t>
            </w:r>
          </w:p>
          <w:p>
            <w:pPr>
              <w:spacing w:after="100" w:line="264"/>
            </w:pPr>
            <w:r>
              <w:rPr>
                <w:rFonts w:ascii="Georgia" w:cs="Georgia" w:eastAsia="Georgia" w:hAnsi="Georgia"/>
                <w:b/>
                <w:bCs/>
                <w:sz w:val="20"/>
                <w:szCs w:val="20"/>
              </w:rPr>
              <w:t xml:space="preserve">5. Consumo de la bolsa de servicios evolutivos.</w:t>
            </w:r>
            <w:r>
              <w:rPr>
                <w:rFonts w:ascii="Georgia" w:cs="Georgia" w:eastAsia="Georgia" w:hAnsi="Georgia"/>
                <w:sz w:val="20"/>
                <w:szCs w:val="20"/>
              </w:rPr>
              <w:t xml:space="preserve"> </w:t>
            </w:r>
            <w:r>
              <w:rPr>
                <w:rFonts w:ascii="Georgia" w:cs="Georgia" w:eastAsia="Georgia" w:hAnsi="Georgia"/>
                <w:i/>
                <w:iCs/>
                <w:sz w:val="20"/>
                <w:szCs w:val="20"/>
              </w:rPr>
              <w:t xml:space="preserve">[Sólo si el contrato incorpora la bolsa de la cláusula [ADM-3].]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o unidad de despliegue del Cuadro de Precios Unitarios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Unidades consumidas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Encargo escrito que las ampara (fecha y 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Saldo restante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Indicadores de seguimiento.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Método de medición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Fuente del dato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comprometido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alcanzado</w:t>
                  </w:r>
                </w:p>
              </w:tc>
            </w:tr>
          </w:tbl>
          <w:p>
            <w:pPr>
              <w:spacing w:after="80"/>
            </w:pPr>
          </w:p>
          <w:p>
            <w:pPr>
              <w:spacing w:after="100" w:line="264"/>
            </w:pPr>
            <w:r>
              <w:rPr>
                <w:rFonts w:ascii="Georgia" w:cs="Georgia" w:eastAsia="Georgia" w:hAnsi="Georgia"/>
                <w:b/>
                <w:bCs/>
                <w:sz w:val="20"/>
                <w:szCs w:val="20"/>
              </w:rPr>
              <w:t xml:space="preserve">7. Declaración de límite.</w:t>
            </w:r>
            <w:r>
              <w:rPr>
                <w:rFonts w:ascii="Georgia" w:cs="Georgia" w:eastAsia="Georgia" w:hAnsi="Georgia"/>
                <w:sz w:val="20"/>
                <w:szCs w:val="20"/>
              </w:rPr>
              <w:t xml:space="preserve"> El adjudicatario declara que ninguna previsión de este Plan comprende prestaciones no contenidas en el Catálogo de Exigencias Tecnológicas incorporado a este contrato ni en el pliego de prescripciones técnicas.</w:t>
            </w:r>
          </w:p>
          <w:p>
            <w:pPr>
              <w:spacing w:after="100" w:line="264"/>
            </w:pPr>
            <w:r>
              <w:rPr>
                <w:rFonts w:ascii="Georgia" w:cs="Georgia" w:eastAsia="Georgia" w:hAnsi="Georgia"/>
                <w:sz w:val="20"/>
                <w:szCs w:val="20"/>
              </w:rPr>
              <w:t xml:space="preserve">Firma del adjudicatario · Fecha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DILIGENCIA DE TRAMITACIÓN</w:t>
            </w:r>
            <w:r>
              <w:rPr>
                <w:rFonts w:ascii="Georgia" w:cs="Georgia" w:eastAsia="Georgia" w:hAnsi="Georgia"/>
                <w:sz w:val="20"/>
                <w:szCs w:val="20"/>
              </w:rPr>
              <w:t xml:space="preserve"> </w:t>
            </w:r>
            <w:r>
              <w:rPr>
                <w:rFonts w:ascii="Georgia" w:cs="Georgia" w:eastAsia="Georgia" w:hAnsi="Georgia"/>
                <w:i/>
                <w:iCs/>
                <w:sz w:val="20"/>
                <w:szCs w:val="20"/>
              </w:rPr>
              <w:t xml:space="preserve">(no la cumplimenta el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Trámite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Recepción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responsable del contrato (conformidad o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expresa de hitos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de Seguimiento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al adjudicatario de los hitos aprobados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Hitos efectivamente aprobados, con su fecha cierta</w:t>
            </w:r>
            <w:r>
              <w:rPr>
                <w:rFonts w:ascii="Georgia" w:cs="Georgia" w:eastAsia="Georgia" w:hAnsi="Georgia"/>
                <w:sz w:val="20"/>
                <w:szCs w:val="20"/>
              </w:rPr>
              <w:t xml:space="preserve"> </w:t>
            </w:r>
            <w:r>
              <w:rPr>
                <w:rFonts w:ascii="Georgia" w:cs="Georgia" w:eastAsia="Georgia" w:hAnsi="Georgia"/>
                <w:i/>
                <w:iCs/>
                <w:sz w:val="20"/>
                <w:szCs w:val="20"/>
              </w:rPr>
              <w:t xml:space="preserve">(se transcriben desde el acta; los no transcritos no son esenciales)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aprobado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aprobada</w:t>
                  </w:r>
                </w:p>
              </w:tc>
            </w:tr>
          </w:tbl>
          <w:p>
            <w:pPr>
              <w:spacing w:after="80"/>
            </w:pP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plazo de presentación del Plan y el de su actualización deben coincidir con los de la cláusula [ADM-10] del PCAP y con la fila correspondiente del cuadro de penalidades. Si el pliego fija un plazo y este modelo otro, el contratista alegará la contradicción en el primer expediente de penalidad, y la alegación prosperará.</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 · MODELO DE RESOLUCIÓN DE APROBACIÓN ANUAL DEL CATÁLOGO DE EXIGENCIAS TECNOLÓGICAS (ANEXO V)</w:t>
      </w:r>
    </w:p>
    <w:p>
      <w:pPr>
        <w:spacing w:after="140" w:line="276"/>
      </w:pPr>
      <w:r>
        <w:rPr>
          <w:rFonts w:ascii="Calibri" w:cs="Calibri" w:eastAsia="Calibri" w:hAnsi="Calibri"/>
          <w:sz w:val="21"/>
          <w:szCs w:val="21"/>
        </w:rPr>
        <w:t xml:space="preserve">Función: hacer que la revisión anual ocurra. La separación entre un articulado estable y un catálogo de exigencias que se revisa cada año es el argumento central de este documento; sin un acto administrativo que la ejecute, esa separación es una declaración de intenciones. Este modelo es el acto. Se dicta por el órgano designado en el punto Cuarto del acuerdo del Anexo VIII, y su omisión tiene una consecuencia que conviene decir por escrito: </w:t>
      </w:r>
      <w:r>
        <w:rPr>
          <w:rFonts w:ascii="Calibri" w:cs="Calibri" w:eastAsia="Calibri" w:hAnsi="Calibri"/>
          <w:b/>
          <w:bCs/>
          <w:sz w:val="21"/>
          <w:szCs w:val="21"/>
        </w:rPr>
        <w:t xml:space="preserve">sin resolución de aprobación en plazo, el Catálogo vigente sigue siendo el del ejercicio anterior</w:t>
      </w:r>
      <w:r>
        <w:rPr>
          <w:rFonts w:ascii="Calibri" w:cs="Calibri" w:eastAsia="Calibri" w:hAnsi="Calibri"/>
          <w:sz w:val="21"/>
          <w:szCs w:val="21"/>
        </w:rPr>
        <w:t xml:space="preserve">, y así se hará constar en los expedientes que se tramiten.</w:t>
      </w:r>
    </w:p>
    <w:p>
      <w:pPr>
        <w:spacing w:after="140" w:line="276"/>
      </w:pPr>
      <w:r>
        <w:rPr>
          <w:rFonts w:ascii="Calibri" w:cs="Calibri" w:eastAsia="Calibri" w:hAnsi="Calibri"/>
          <w:b/>
          <w:bCs/>
          <w:sz w:val="21"/>
          <w:szCs w:val="21"/>
        </w:rPr>
        <w:t xml:space="preserve">Qué tiene que constar en el expediente antes de dictarla</w:t>
      </w:r>
      <w:r>
        <w:rPr>
          <w:rFonts w:ascii="Calibri" w:cs="Calibri" w:eastAsia="Calibri" w:hAnsi="Calibri"/>
          <w:sz w:val="21"/>
          <w:szCs w:val="21"/>
        </w:rPr>
        <w:t xml:space="preserve"> (los cuatro documentos del procedimiento de revisión del Anexo V, apartado V.A.4): (a) propuesta de actualización de los servicios técnicos; (b) contraste de mercado documentado, por tipología de solución; (c) informe del órgano al que corresponda el informe jurídico preceptivo; (d) acreditación de la competencia del órgano que resuelve, por remisión al acuerdo del Anexo VIII.</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RESOLUCIÓN DE [ÓRGANO DESIGNADO EN EL PUNTO CUARTO DEL ACUERDO DE …………………] POR LA QUE SE APRUEBA EL CATÁLOGO DE EXIGENCIAS TECNOLÓGICAS DETERMINADAS DEL EJERCICIO [ ], VERSIÓN [ ]</w:t>
      </w:r>
    </w:p>
    <w:p>
      <w:pPr>
        <w:spacing w:after="140" w:line="276"/>
      </w:pPr>
      <w:r>
        <w:rPr>
          <w:rFonts w:ascii="Calibri" w:cs="Calibri" w:eastAsia="Calibri" w:hAnsi="Calibri"/>
          <w:b/>
          <w:bCs/>
          <w:sz w:val="21"/>
          <w:szCs w:val="21"/>
        </w:rPr>
        <w:t xml:space="preserve">ANTECEDENTES DE HECHO</w:t>
      </w:r>
    </w:p>
    <w:p>
      <w:pPr>
        <w:spacing w:after="140" w:line="276"/>
      </w:pPr>
      <w:r>
        <w:rPr>
          <w:rFonts w:ascii="Calibri" w:cs="Calibri" w:eastAsia="Calibri" w:hAnsi="Calibri"/>
          <w:b/>
          <w:bCs/>
          <w:sz w:val="21"/>
          <w:szCs w:val="21"/>
        </w:rPr>
        <w:t xml:space="preserve">Primero.</w:t>
      </w:r>
      <w:r>
        <w:rPr>
          <w:rFonts w:ascii="Calibri" w:cs="Calibri" w:eastAsia="Calibri" w:hAnsi="Calibri"/>
          <w:sz w:val="21"/>
          <w:szCs w:val="21"/>
        </w:rPr>
        <w:t xml:space="preserve"> Por acuerdo de [órgano de gobierno], de fecha ……………, punto ……, se aprobaron el Plan Municipal de Modernización Tecnológica, el Catálogo de Cláusulas de Inteligencia Artificial y Deep Tech y el Catálogo de Exigencias Tecnológicas Determinadas del ejercicio [ ], versión [ ], designándose a este órgano como competente para aprobar su revisión anual.</w:t>
      </w:r>
    </w:p>
    <w:p>
      <w:pPr>
        <w:spacing w:after="140" w:line="276"/>
      </w:pPr>
      <w:r>
        <w:rPr>
          <w:rFonts w:ascii="Calibri" w:cs="Calibri" w:eastAsia="Calibri" w:hAnsi="Calibri"/>
          <w:b/>
          <w:bCs/>
          <w:sz w:val="21"/>
          <w:szCs w:val="21"/>
        </w:rPr>
        <w:t xml:space="preserve">Segundo.</w:t>
      </w:r>
      <w:r>
        <w:rPr>
          <w:rFonts w:ascii="Calibri" w:cs="Calibri" w:eastAsia="Calibri" w:hAnsi="Calibri"/>
          <w:sz w:val="21"/>
          <w:szCs w:val="21"/>
        </w:rPr>
        <w:t xml:space="preserve"> Con fecha …………… los servicios técnicos municipales han formulado propuesta de actualización del Catálogo, en la que se identifican las capacidades que pasan a ser exigibles, las que se mantienen sin cambio y las que se suprimen por haberse generalizado en el mercado o haber quedado superadas.</w:t>
      </w:r>
    </w:p>
    <w:p>
      <w:pPr>
        <w:spacing w:after="140" w:line="276"/>
      </w:pPr>
      <w:r>
        <w:rPr>
          <w:rFonts w:ascii="Calibri" w:cs="Calibri" w:eastAsia="Calibri" w:hAnsi="Calibri"/>
          <w:b/>
          <w:bCs/>
          <w:sz w:val="21"/>
          <w:szCs w:val="21"/>
        </w:rPr>
        <w:t xml:space="preserve">Tercero.</w:t>
      </w:r>
      <w:r>
        <w:rPr>
          <w:rFonts w:ascii="Calibri" w:cs="Calibri" w:eastAsia="Calibri" w:hAnsi="Calibri"/>
          <w:sz w:val="21"/>
          <w:szCs w:val="21"/>
        </w:rPr>
        <w:t xml:space="preserve"> Consta en el expediente 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de fecha ……………, [realizado mediante consulta preliminar del mercado publicada conforme al artículo 115 de la Ley 9/2017, cuyo informe motivado obra en el expediente y se publica con la misma publicidad que los pliegos / realizado mediante ……………]. Del contraste resulta que cada exigencia que se incorpora puede ser cumplida, en el plazo previsto,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Cuarto.</w:t>
      </w:r>
      <w:r>
        <w:rPr>
          <w:rFonts w:ascii="Calibri" w:cs="Calibri" w:eastAsia="Calibri" w:hAnsi="Calibri"/>
          <w:sz w:val="21"/>
          <w:szCs w:val="21"/>
        </w:rPr>
        <w:t xml:space="preserve"> Consta informe del órgano al que corresponde el informe jurídico preceptivo, de fecha ……………, de sentido [favorable / favorable con observaciones, que han sido incorporadas].</w:t>
      </w:r>
    </w:p>
    <w:p>
      <w:pPr>
        <w:spacing w:after="140" w:line="276"/>
      </w:pPr>
      <w:r>
        <w:rPr>
          <w:rFonts w:ascii="Calibri" w:cs="Calibri" w:eastAsia="Calibri" w:hAnsi="Calibri"/>
          <w:b/>
          <w:bCs/>
          <w:sz w:val="21"/>
          <w:szCs w:val="21"/>
        </w:rPr>
        <w:t xml:space="preserve">FUNDAMENTOS DE DERECHO</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artículo 116.4.e) de la Ley 9/2017 exige que la justificación de cada exigencia incorporada a un pliego guarde relación directa, clara y proporcional con el objeto del contrato. La aprobación anual y centralizada de las exigencias tecnológicas, con contraste de mercado documentado, es el instrumento que permite que esa justificación exista antes de cada expediente y no se construya en sede de recurso.</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El artículo 126 de la misma ley obliga a que las prescripciones técnicas no creen obstáculos injustificados a la competencia y a que toda referencia a una norma técnica se acompañe de la mención «o equivalente». Las exigencias que se aprueban están formuladas por función y no por producto, protocolo o red, y remiten al régimen de equivalencia de la cláusula DT-0·v3 del Catálogo de Cláusulas.</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La competencia de este órgano resulta del punto Cuarto del acuerdo citado en el antecedente primero.</w:t>
      </w:r>
    </w:p>
    <w:p>
      <w:pPr>
        <w:spacing w:after="140" w:line="276"/>
      </w:pPr>
      <w:r>
        <w:rPr>
          <w:rFonts w:ascii="Calibri" w:cs="Calibri" w:eastAsia="Calibri" w:hAnsi="Calibri"/>
          <w:b/>
          <w:bCs/>
          <w:sz w:val="21"/>
          <w:szCs w:val="21"/>
        </w:rPr>
        <w:t xml:space="preserve">RESUELVO</w:t>
      </w:r>
    </w:p>
    <w:p>
      <w:pPr>
        <w:spacing w:after="140" w:line="276"/>
      </w:pPr>
      <w:r>
        <w:rPr>
          <w:rFonts w:ascii="Calibri" w:cs="Calibri" w:eastAsia="Calibri" w:hAnsi="Calibri"/>
          <w:b/>
          <w:bCs/>
          <w:sz w:val="21"/>
          <w:szCs w:val="21"/>
        </w:rPr>
        <w:t xml:space="preserve">Primero. Aprobar el Catálogo de Exigencias Tecnológicas Determinadas del ejercicio [ ], versión [ ]</w:t>
      </w:r>
      <w:r>
        <w:rPr>
          <w:rFonts w:ascii="Calibri" w:cs="Calibri" w:eastAsia="Calibri" w:hAnsi="Calibri"/>
          <w:sz w:val="21"/>
          <w:szCs w:val="21"/>
        </w:rPr>
        <w:t xml:space="preserve">, que se acompaña como anexo a esta resolución, integrado por las exigencias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 respecto de la versión anterior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Segundo. Declarar expresamente el ámbito temporal de la aprobación.</w:t>
      </w:r>
      <w:r>
        <w:rPr>
          <w:rFonts w:ascii="Calibri" w:cs="Calibri" w:eastAsia="Calibri" w:hAnsi="Calibri"/>
          <w:sz w:val="21"/>
          <w:szCs w:val="21"/>
        </w:rPr>
        <w:t xml:space="preserve"> El Catálogo aprobado se aplica a las licitaciones que se convoquen </w:t>
      </w:r>
      <w:r>
        <w:rPr>
          <w:rFonts w:ascii="Calibri" w:cs="Calibri" w:eastAsia="Calibri" w:hAnsi="Calibri"/>
          <w:b/>
          <w:bCs/>
          <w:sz w:val="21"/>
          <w:szCs w:val="21"/>
        </w:rPr>
        <w:t xml:space="preserve">a partir de la publicación de esta resolución en el perfil de contratante</w:t>
      </w:r>
      <w:r>
        <w:rPr>
          <w:rFonts w:ascii="Calibri" w:cs="Calibri" w:eastAsia="Calibri" w:hAnsi="Calibri"/>
          <w:sz w:val="21"/>
          <w:szCs w:val="21"/>
        </w:rPr>
        <w:t xml:space="preserve">. </w:t>
      </w:r>
      <w:r>
        <w:rPr>
          <w:rFonts w:ascii="Calibri" w:cs="Calibri" w:eastAsia="Calibri" w:hAnsi="Calibri"/>
          <w:b/>
          <w:bCs/>
          <w:sz w:val="21"/>
          <w:szCs w:val="21"/>
        </w:rPr>
        <w:t xml:space="preserve">No produce efecto alguno sobre los contratos ya formalizados ni sobre las licitaciones convocadas con anterioridad</w:t>
      </w:r>
      <w:r>
        <w:rPr>
          <w:rFonts w:ascii="Calibri" w:cs="Calibri" w:eastAsia="Calibri" w:hAnsi="Calibri"/>
          <w:sz w:val="21"/>
          <w:szCs w:val="21"/>
        </w:rPr>
        <w:t xml:space="preserve">, a los que sólo resulta exigible el Catálogo vigente en el momento de su licitación. Los pliegos de las licitaciones que lo incorporen citarán su versión y su fecha.</w:t>
      </w:r>
    </w:p>
    <w:p>
      <w:pPr>
        <w:spacing w:after="140" w:line="276"/>
      </w:pPr>
      <w:r>
        <w:rPr>
          <w:rFonts w:ascii="Calibri" w:cs="Calibri" w:eastAsia="Calibri" w:hAnsi="Calibri"/>
          <w:b/>
          <w:bCs/>
          <w:sz w:val="21"/>
          <w:szCs w:val="21"/>
        </w:rPr>
        <w:t xml:space="preserve">Tercero. Ordenar su transcripción física en los pliegos.</w:t>
      </w:r>
      <w:r>
        <w:rPr>
          <w:rFonts w:ascii="Calibri" w:cs="Calibri" w:eastAsia="Calibri" w:hAnsi="Calibri"/>
          <w:sz w:val="21"/>
          <w:szCs w:val="21"/>
        </w:rPr>
        <w:t xml:space="preserve"> El Catálogo se transcribirá físicamente en el pliego de prescripciones técnicas de cada licitación que lo incorpore, recortado a los módulos del contrato, con su número de versión y su fecha. </w:t>
      </w:r>
      <w:r>
        <w:rPr>
          <w:rFonts w:ascii="Calibri" w:cs="Calibri" w:eastAsia="Calibri" w:hAnsi="Calibri"/>
          <w:b/>
          <w:bCs/>
          <w:sz w:val="21"/>
          <w:szCs w:val="21"/>
        </w:rPr>
        <w:t xml:space="preserve">No se incorporará por remisión.</w:t>
      </w:r>
      <w:r>
        <w:rPr>
          <w:rFonts w:ascii="Calibri" w:cs="Calibri" w:eastAsia="Calibri" w:hAnsi="Calibri"/>
          <w:sz w:val="21"/>
          <w:szCs w:val="21"/>
        </w:rPr>
        <w:t xml:space="preserve"> En el pliego constará expresamente que las revisiones posteriores del Catálogo no afectan al contrato.</w:t>
      </w:r>
    </w:p>
    <w:p>
      <w:pPr>
        <w:spacing w:after="140" w:line="276"/>
      </w:pPr>
      <w:r>
        <w:rPr>
          <w:rFonts w:ascii="Calibri" w:cs="Calibri" w:eastAsia="Calibri" w:hAnsi="Calibri"/>
          <w:b/>
          <w:bCs/>
          <w:sz w:val="21"/>
          <w:szCs w:val="21"/>
        </w:rPr>
        <w:t xml:space="preserve">Cuarto. Dejar constancia del contraste de mercado.</w:t>
      </w:r>
      <w:r>
        <w:rPr>
          <w:rFonts w:ascii="Calibri" w:cs="Calibri" w:eastAsia="Calibri" w:hAnsi="Calibri"/>
          <w:sz w:val="21"/>
          <w:szCs w:val="21"/>
        </w:rPr>
        <w:t xml:space="preserve"> Se hace constar que ninguna exigencia se incorpora sin que el contraste acredite que puede ser cumplida por una pluralidad de operadores en el plazo previsto. Las exigencias que no superaron ese contraste, y que por ello </w:t>
      </w:r>
      <w:r>
        <w:rPr>
          <w:rFonts w:ascii="Calibri" w:cs="Calibri" w:eastAsia="Calibri" w:hAnsi="Calibri"/>
          <w:b/>
          <w:bCs/>
          <w:sz w:val="21"/>
          <w:szCs w:val="21"/>
        </w:rPr>
        <w:t xml:space="preserve">no</w:t>
      </w:r>
      <w:r>
        <w:rPr>
          <w:rFonts w:ascii="Calibri" w:cs="Calibri" w:eastAsia="Calibri" w:hAnsi="Calibri"/>
          <w:sz w:val="21"/>
          <w:szCs w:val="21"/>
        </w:rPr>
        <w:t xml:space="preserve"> se incorporan en este ejercicio, son: …………………… . Se reconsiderarán en la revisión siguiente.</w:t>
      </w:r>
    </w:p>
    <w:p>
      <w:pPr>
        <w:spacing w:after="140" w:line="276"/>
      </w:pPr>
      <w:r>
        <w:rPr>
          <w:rFonts w:ascii="Calibri" w:cs="Calibri" w:eastAsia="Calibri" w:hAnsi="Calibri"/>
          <w:b/>
          <w:bCs/>
          <w:sz w:val="21"/>
          <w:szCs w:val="21"/>
        </w:rPr>
        <w:t xml:space="preserve">Quinto. Ordenar la publicación</w:t>
      </w:r>
      <w:r>
        <w:rPr>
          <w:rFonts w:ascii="Calibri" w:cs="Calibri" w:eastAsia="Calibri" w:hAnsi="Calibri"/>
          <w:sz w:val="21"/>
          <w:szCs w:val="21"/>
        </w:rPr>
        <w:t xml:space="preserve"> de esta resolución y del Catálogo aprobado en el perfil de contratante y en el portal de transparencia municipal, en formato reutilizable, con su número de versión y su fecha.</w:t>
      </w:r>
    </w:p>
    <w:p>
      <w:pPr>
        <w:spacing w:after="140" w:line="276"/>
      </w:pPr>
      <w:r>
        <w:rPr>
          <w:rFonts w:ascii="Calibri" w:cs="Calibri" w:eastAsia="Calibri" w:hAnsi="Calibri"/>
          <w:b/>
          <w:bCs/>
          <w:sz w:val="21"/>
          <w:szCs w:val="21"/>
        </w:rPr>
        <w:t xml:space="preserve">Sexto. Dar traslado</w:t>
      </w:r>
      <w:r>
        <w:rPr>
          <w:rFonts w:ascii="Calibri" w:cs="Calibri" w:eastAsia="Calibri" w:hAnsi="Calibri"/>
          <w:sz w:val="21"/>
          <w:szCs w:val="21"/>
        </w:rPr>
        <w:t xml:space="preserve"> a los servicios gestores, al órgano al que corresponde el informe jurídico preceptivo, a la Intervención General y a los responsables de los contratos en vigor, a los solos efectos de su conocimiento y con expresa indicación de que </w:t>
      </w:r>
      <w:r>
        <w:rPr>
          <w:rFonts w:ascii="Calibri" w:cs="Calibri" w:eastAsia="Calibri" w:hAnsi="Calibri"/>
          <w:b/>
          <w:bCs/>
          <w:sz w:val="21"/>
          <w:szCs w:val="21"/>
        </w:rPr>
        <w:t xml:space="preserve">no altera las obligaciones de los contratos ya formalizados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Lugar, fecha y firma.</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Regla de cierre del anexo, que debe cumplirse aunque incomode.</w:t>
      </w:r>
      <w:r>
        <w:rPr>
          <w:rFonts w:ascii="Calibri" w:cs="Calibri" w:eastAsia="Calibri" w:hAnsi="Calibri"/>
          <w:sz w:val="21"/>
          <w:szCs w:val="21"/>
        </w:rPr>
        <w:t xml:space="preserve"> Si al inicio de un ejercicio no se ha dictado esta resolución, no se aplica el Catálogo del ejercicio anterior «actualizado de hecho»: se aplica el del ejercicio anterior tal cual, con su versión y su fecha, y se hace constar en el expediente que la revisión no se produjo. Un catálogo que se dice anual y no se revisa produce pliegos que citan una versión que nadie aprobó.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 · POLÍTICA MUNICIPAL DE USO DE INTELIGENCIA ARTIFICIAL GENERATIVA POR EL PERSONAL</w:t>
      </w:r>
    </w:p>
    <w:p>
      <w:pPr>
        <w:spacing w:after="140" w:line="276"/>
      </w:pPr>
      <w:r>
        <w:rPr>
          <w:rFonts w:ascii="Calibri" w:cs="Calibri" w:eastAsia="Calibri" w:hAnsi="Calibri"/>
          <w:sz w:val="21"/>
          <w:szCs w:val="21"/>
        </w:rPr>
        <w:t xml:space="preserve">Función: cerrar la mitad municipal de la única objeción de seguridad que se planteó de forma concreta —si compromete la seguridad de un documento municipal procesarlo en una cuenta de inteligencia artificial que no es licencia del Ayuntamiento—. La cláusula ADM-13·v3 resuelve la mitad del contratista. Esta política resuelve la del Ayuntamiento, y su existencia es lo que hace defendible la exigencia: </w:t>
      </w:r>
      <w:r>
        <w:rPr>
          <w:rFonts w:ascii="Calibri" w:cs="Calibri" w:eastAsia="Calibri" w:hAnsi="Calibri"/>
          <w:b/>
          <w:bCs/>
          <w:sz w:val="21"/>
          <w:szCs w:val="21"/>
        </w:rPr>
        <w:t xml:space="preserve">un pliego que impone al contratista un régimen de uso de IA que el propio Ayuntamiento no se aplica es un pliego desproporcionado y así se alegará.</w:t>
      </w:r>
    </w:p>
    <w:p>
      <w:pPr>
        <w:spacing w:after="140" w:line="276"/>
      </w:pPr>
      <w:r>
        <w:rPr>
          <w:rFonts w:ascii="Calibri" w:cs="Calibri" w:eastAsia="Calibri" w:hAnsi="Calibri"/>
          <w:b/>
          <w:bCs/>
          <w:sz w:val="21"/>
          <w:szCs w:val="21"/>
        </w:rPr>
        <w:t xml:space="preserve">Naturaleza y aprobación.</w:t>
      </w:r>
      <w:r>
        <w:rPr>
          <w:rFonts w:ascii="Calibri" w:cs="Calibri" w:eastAsia="Calibri" w:hAnsi="Calibri"/>
          <w:sz w:val="21"/>
          <w:szCs w:val="21"/>
        </w:rPr>
        <w:t xml:space="preserve"> No es cláusula de pliego y no se copia a ninguno. Es un acto propio del Ayuntamiento, aprobado en el punto Séptimo del acuerdo del Anexo VIII o por resolución posterior, que se comunica al adjudicatario conforme al apartado 7 de ADM-13·v3.</w:t>
      </w:r>
    </w:p>
    <w:p>
      <w:pPr>
        <w:spacing w:after="140" w:line="276"/>
      </w:pPr>
      <w:r>
        <w:rPr>
          <w:rFonts w:ascii="Calibri" w:cs="Calibri" w:eastAsia="Calibri" w:hAnsi="Calibri"/>
          <w:b/>
          <w:bCs/>
          <w:sz w:val="21"/>
          <w:szCs w:val="21"/>
        </w:rPr>
        <w:t xml:space="preserve">Referencia de contenido, no normativa.</w:t>
      </w:r>
      <w:r>
        <w:rPr>
          <w:rFonts w:ascii="Calibri" w:cs="Calibri" w:eastAsia="Calibri" w:hAnsi="Calibri"/>
          <w:sz w:val="21"/>
          <w:szCs w:val="21"/>
        </w:rPr>
        <w:t xml:space="preserve">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w:t>
      </w:r>
      <w:r>
        <w:rPr>
          <w:rFonts w:ascii="Calibri" w:cs="Calibri" w:eastAsia="Calibri" w:hAnsi="Calibri"/>
          <w:b/>
          <w:bCs/>
          <w:sz w:val="21"/>
          <w:szCs w:val="21"/>
        </w:rPr>
        <w:t xml:space="preserve">27 de noviembre de 2025</w:t>
      </w:r>
      <w:r>
        <w:rPr>
          <w:rFonts w:ascii="Calibri" w:cs="Calibri" w:eastAsia="Calibri" w:hAnsi="Calibri"/>
          <w:sz w:val="21"/>
          <w:szCs w:val="21"/>
        </w:rPr>
        <w:t xml:space="preserve"> (&lt;https://www.aepd.es/documento/politica-iag-aepd.pdf&gt;), primera de este tipo en el sector público español. De ella proceden el principio de precaución del apartado 4, las reglas de uso del apartado 5 y la lista de aspectos a evaluar antes de contratar del apartado 8. Se cita como buena práctica publicada por el regulador, </w:t>
      </w:r>
      <w:r>
        <w:rPr>
          <w:rFonts w:ascii="Calibri" w:cs="Calibri" w:eastAsia="Calibri" w:hAnsi="Calibri"/>
          <w:b/>
          <w:bCs/>
          <w:sz w:val="21"/>
          <w:szCs w:val="21"/>
        </w:rPr>
        <w:t xml:space="preserve">no como norma</w:t>
      </w:r>
      <w:r>
        <w:rPr>
          <w:rFonts w:ascii="Calibri" w:cs="Calibri" w:eastAsia="Calibri" w:hAnsi="Calibri"/>
          <w:sz w:val="21"/>
          <w:szCs w:val="21"/>
        </w:rPr>
        <w:t xml:space="preserve">: no impone deber alguno a este Ayuntamiento y su seguimiento no produce presunción de conformidad con norma alguna.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POLÍTICA MUNICIPAL DE USO DE SISTEMAS DE INTELIGENCIA ARTIFICIAL GENERATIVA POR EL PERSONAL DEL AYUNTAMIENTO</w:t>
      </w:r>
    </w:p>
    <w:p>
      <w:pPr>
        <w:spacing w:after="140" w:line="276"/>
      </w:pPr>
      <w:r>
        <w:rPr>
          <w:rFonts w:ascii="Calibri" w:cs="Calibri" w:eastAsia="Calibri" w:hAnsi="Calibri"/>
          <w:sz w:val="21"/>
          <w:szCs w:val="21"/>
        </w:rPr>
        <w:t xml:space="preserve">Versión </w:t>
      </w:r>
      <w:r>
        <w:rPr>
          <w:rFonts w:ascii="Calibri" w:cs="Calibri" w:eastAsia="Calibri" w:hAnsi="Calibri"/>
          <w:b/>
          <w:bCs/>
          <w:sz w:val="21"/>
          <w:szCs w:val="21"/>
        </w:rPr>
        <w:t xml:space="preserve">1.0</w:t>
      </w:r>
      <w:r>
        <w:rPr>
          <w:rFonts w:ascii="Calibri" w:cs="Calibri" w:eastAsia="Calibri" w:hAnsi="Calibri"/>
          <w:sz w:val="21"/>
          <w:szCs w:val="21"/>
        </w:rPr>
        <w:t xml:space="preserve"> · Fecha de aprobación …… / …… / …… · Órgano aprobante ………………………</w:t>
      </w:r>
    </w:p>
    <w:p>
      <w:pPr>
        <w:spacing w:after="140" w:line="276"/>
      </w:pPr>
      <w:r>
        <w:rPr>
          <w:rFonts w:ascii="Calibri" w:cs="Calibri" w:eastAsia="Calibri" w:hAnsi="Calibri"/>
          <w:sz w:val="21"/>
          <w:szCs w:val="21"/>
        </w:rPr>
        <w:t xml:space="preserve">Revisión: </w:t>
      </w:r>
      <w:r>
        <w:rPr>
          <w:rFonts w:ascii="Calibri" w:cs="Calibri" w:eastAsia="Calibri" w:hAnsi="Calibri"/>
          <w:b/>
          <w:bCs/>
          <w:sz w:val="21"/>
          <w:szCs w:val="21"/>
        </w:rPr>
        <w:t xml:space="preserve">anual</w:t>
      </w:r>
      <w:r>
        <w:rPr>
          <w:rFonts w:ascii="Calibri" w:cs="Calibri" w:eastAsia="Calibri" w:hAnsi="Calibri"/>
          <w:sz w:val="21"/>
          <w:szCs w:val="21"/>
        </w:rPr>
        <w:t xml:space="preserve">, junto con el Catálogo de Exigencias Tecnológicas.</w:t>
      </w:r>
    </w:p>
    <w:p>
      <w:pPr>
        <w:spacing w:after="140" w:line="276"/>
      </w:pPr>
      <w:r>
        <w:rPr>
          <w:rFonts w:ascii="Calibri" w:cs="Calibri" w:eastAsia="Calibri" w:hAnsi="Calibri"/>
          <w:b/>
          <w:bCs/>
          <w:sz w:val="21"/>
          <w:szCs w:val="21"/>
        </w:rPr>
        <w:t xml:space="preserve">1. Objeto y ámbito.</w:t>
      </w:r>
      <w:r>
        <w:rPr>
          <w:rFonts w:ascii="Calibri" w:cs="Calibri" w:eastAsia="Calibri" w:hAnsi="Calibri"/>
          <w:sz w:val="21"/>
          <w:szCs w:val="21"/>
        </w:rPr>
        <w:t xml:space="preserve"> Esta política regula el uso de sistemas de inteligencia artificial generativa por el personal al servicio del Ayuntamiento en el ejercicio de sus funciones. Se aplica a todo el personal, cualquiera que sea su vínculo, y a quienes accedan a información municipal en virtud de encargo, encomienda o contrato, sin perjuicio de las obligaciones que a estos últimos imponga su propio contrato.</w:t>
      </w:r>
    </w:p>
    <w:p>
      <w:pPr>
        <w:spacing w:after="140" w:line="276"/>
      </w:pPr>
      <w:r>
        <w:rPr>
          <w:rFonts w:ascii="Calibri" w:cs="Calibri" w:eastAsia="Calibri" w:hAnsi="Calibri"/>
          <w:b/>
          <w:bCs/>
          <w:sz w:val="21"/>
          <w:szCs w:val="21"/>
        </w:rPr>
        <w:t xml:space="preserve">2. Lo que esta política no hace.</w:t>
      </w:r>
      <w:r>
        <w:rPr>
          <w:rFonts w:ascii="Calibri" w:cs="Calibri" w:eastAsia="Calibri" w:hAnsi="Calibri"/>
          <w:sz w:val="21"/>
          <w:szCs w:val="21"/>
        </w:rPr>
        <w:t xml:space="preserve"> No regula el uso que el personal haga de estas herramientas fuera del ejercicio de sus funciones y con información no municipal. No sustituye a la normativa de protección de datos, a la política de seguridad de la información del Ayuntamiento ni al Esquema Nacional de Seguridad: los complementa.</w:t>
      </w:r>
    </w:p>
    <w:p>
      <w:pPr>
        <w:spacing w:after="140" w:line="276"/>
      </w:pPr>
      <w:r>
        <w:rPr>
          <w:rFonts w:ascii="Calibri" w:cs="Calibri" w:eastAsia="Calibri" w:hAnsi="Calibri"/>
          <w:b/>
          <w:bCs/>
          <w:sz w:val="21"/>
          <w:szCs w:val="21"/>
        </w:rPr>
        <w:t xml:space="preserve">3. Inventario de sistemas autorizados.</w:t>
      </w:r>
      <w:r>
        <w:rPr>
          <w:rFonts w:ascii="Calibri" w:cs="Calibri" w:eastAsia="Calibri" w:hAnsi="Calibri"/>
          <w:sz w:val="21"/>
          <w:szCs w:val="21"/>
        </w:rPr>
        <w:t xml:space="preserve"> El [servicio de informática] mantiene y publica en la intranet municipal un </w:t>
      </w:r>
      <w:r>
        <w:rPr>
          <w:rFonts w:ascii="Calibri" w:cs="Calibri" w:eastAsia="Calibri" w:hAnsi="Calibri"/>
          <w:b/>
          <w:bCs/>
          <w:sz w:val="21"/>
          <w:szCs w:val="21"/>
        </w:rPr>
        <w:t xml:space="preserve">inventario de sistemas de inteligencia artificial generativa autorizados</w:t>
      </w:r>
      <w:r>
        <w:rPr>
          <w:rFonts w:ascii="Calibri" w:cs="Calibri" w:eastAsia="Calibri" w:hAnsi="Calibri"/>
          <w:sz w:val="21"/>
          <w:szCs w:val="21"/>
        </w:rPr>
        <w:t xml:space="preserve">, con indicación, para cada uno, de: proveedor; finalidad para la que se autoriza; niveles de información admitidos conforme al apartado 4; ubicación de tratamiento; plazo de retención; y fecha de alta.</w:t>
      </w:r>
    </w:p>
    <w:p>
      <w:pPr>
        <w:spacing w:after="140" w:line="276"/>
      </w:pPr>
      <w:r>
        <w:rPr>
          <w:rFonts w:ascii="Calibri" w:cs="Calibri" w:eastAsia="Calibri" w:hAnsi="Calibri"/>
          <w:b/>
          <w:bCs/>
          <w:sz w:val="21"/>
          <w:szCs w:val="21"/>
        </w:rPr>
        <w:t xml:space="preserve">Regla primera y principal: no se utilizará ningún sistema de inteligencia artificial generativa que no figure en el inventario.</w:t>
      </w:r>
      <w:r>
        <w:rPr>
          <w:rFonts w:ascii="Calibri" w:cs="Calibri" w:eastAsia="Calibri" w:hAnsi="Calibri"/>
          <w:sz w:val="21"/>
          <w:szCs w:val="21"/>
        </w:rPr>
        <w:t xml:space="preserve"> El alta de un sistema nuevo se solicita por escrito y la autoriza [puesto], previa evaluación conforme al apartado 8.</w:t>
      </w:r>
    </w:p>
    <w:p>
      <w:pPr>
        <w:spacing w:after="140" w:line="276"/>
      </w:pPr>
      <w:r>
        <w:rPr>
          <w:rFonts w:ascii="Calibri" w:cs="Calibri" w:eastAsia="Calibri" w:hAnsi="Calibri"/>
          <w:b/>
          <w:bCs/>
          <w:sz w:val="21"/>
          <w:szCs w:val="21"/>
        </w:rPr>
        <w:t xml:space="preserve">4. Clasificación de la información y principio de precaución.</w:t>
      </w:r>
      <w:r>
        <w:rPr>
          <w:rFonts w:ascii="Calibri" w:cs="Calibri" w:eastAsia="Calibri" w:hAnsi="Calibri"/>
          <w:sz w:val="21"/>
          <w:szCs w:val="21"/>
        </w:rPr>
        <w:t xml:space="preserve"> Se distinguen tres niveles, coincidentes con los de la cláusula ADM-13·v3 para que la regla sea la misma dentro y fuera: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comprende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expedientes en tramitación; documentación contractual no publicada; informes internos; datos de entornos de producción; y toda información clasificada como de acceso restringido por la política de seguridad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 en sistemas internos o desplegados ad hoc bajo control municipal.</w:t>
            </w:r>
            <w:r>
              <w:rPr>
                <w:rFonts w:ascii="Calibri" w:cs="Calibri" w:eastAsia="Calibri" w:hAnsi="Calibri"/>
                <w:b w:val="false"/>
                <w:bCs w:val="false"/>
                <w:sz w:val="18"/>
                <w:szCs w:val="18"/>
              </w:rPr>
              <w:t xml:space="preserve"> Su uso en sistemas externos exige autorización expresa, previa y escrita, y evidencias de cumplimiento aportadas por el proveedor, más allá de sus manifestaciones o compromisos contractuales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 Interna no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trabajo sin datos personales ni contenido reservado: borradores, guiones, esquemas, textos de estudio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Admisible en sistemas del inventario, con las reglas del apartado 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Información ya publicada por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restricción, con las reglas del apartado 5</w:t>
            </w:r>
          </w:p>
        </w:tc>
      </w:tr>
    </w:tbl>
    <w:p>
      <w:pPr>
        <w:spacing w:after="200"/>
      </w:pPr>
    </w:p>
    <w:p>
      <w:pPr>
        <w:spacing w:after="140" w:line="276"/>
      </w:pPr>
      <w:r>
        <w:rPr>
          <w:rFonts w:ascii="Calibri" w:cs="Calibri" w:eastAsia="Calibri" w:hAnsi="Calibri"/>
          <w:b/>
          <w:bCs/>
          <w:sz w:val="21"/>
          <w:szCs w:val="21"/>
        </w:rPr>
        <w:t xml:space="preserve">Principio de precaución.</w:t>
      </w:r>
      <w:r>
        <w:rPr>
          <w:rFonts w:ascii="Calibri" w:cs="Calibri" w:eastAsia="Calibri" w:hAnsi="Calibri"/>
          <w:sz w:val="21"/>
          <w:szCs w:val="21"/>
        </w:rPr>
        <w:t xml:space="preserve"> En caso de duda sobre el nivel de una información, se aplica el régimen del nivel superior. La duda se resuelve consultando a [puesto], no por criterio individual.</w:t>
      </w:r>
    </w:p>
    <w:p>
      <w:pPr>
        <w:spacing w:after="140" w:line="276"/>
      </w:pPr>
      <w:r>
        <w:rPr>
          <w:rFonts w:ascii="Calibri" w:cs="Calibri" w:eastAsia="Calibri" w:hAnsi="Calibri"/>
          <w:b/>
          <w:bCs/>
          <w:sz w:val="21"/>
          <w:szCs w:val="21"/>
        </w:rPr>
        <w:t xml:space="preserve">5. Reglas de uso para el personal.</w:t>
      </w:r>
    </w:p>
    <w:p>
      <w:pPr>
        <w:spacing w:after="140" w:line="276"/>
      </w:pPr>
      <w:r>
        <w:rPr>
          <w:rFonts w:ascii="Calibri" w:cs="Calibri" w:eastAsia="Calibri" w:hAnsi="Calibri"/>
          <w:sz w:val="21"/>
          <w:szCs w:val="21"/>
        </w:rPr>
        <w:t xml:space="preserve">a) </w:t>
      </w:r>
      <w:r>
        <w:rPr>
          <w:rFonts w:ascii="Calibri" w:cs="Calibri" w:eastAsia="Calibri" w:hAnsi="Calibri"/>
          <w:b/>
          <w:bCs/>
          <w:sz w:val="21"/>
          <w:szCs w:val="21"/>
        </w:rPr>
        <w:t xml:space="preserve">Revisión humana.</w:t>
      </w:r>
      <w:r>
        <w:rPr>
          <w:rFonts w:ascii="Calibri" w:cs="Calibri" w:eastAsia="Calibri" w:hAnsi="Calibri"/>
          <w:sz w:val="21"/>
          <w:szCs w:val="21"/>
        </w:rPr>
        <w:t xml:space="preserve"> Todo contenido generado se revisa por la persona usuaria antes de incorporarlo a un expediente, a un documento o a una comunicación. La responsabilidad del contenido es de quien lo firma, sin que su origen pueda invocarse como excusa.</w:t>
      </w:r>
    </w:p>
    <w:p>
      <w:pPr>
        <w:spacing w:after="140" w:line="276"/>
      </w:pPr>
      <w:r>
        <w:rPr>
          <w:rFonts w:ascii="Calibri" w:cs="Calibri" w:eastAsia="Calibri" w:hAnsi="Calibri"/>
          <w:sz w:val="21"/>
          <w:szCs w:val="21"/>
        </w:rPr>
        <w:t xml:space="preserve">b) </w:t>
      </w:r>
      <w:r>
        <w:rPr>
          <w:rFonts w:ascii="Calibri" w:cs="Calibri" w:eastAsia="Calibri" w:hAnsi="Calibri"/>
          <w:b/>
          <w:bCs/>
          <w:sz w:val="21"/>
          <w:szCs w:val="21"/>
        </w:rPr>
        <w:t xml:space="preserve">Doble revisión.</w:t>
      </w:r>
      <w:r>
        <w:rPr>
          <w:rFonts w:ascii="Calibri" w:cs="Calibri" w:eastAsia="Calibri" w:hAnsi="Calibri"/>
          <w:sz w:val="21"/>
          <w:szCs w:val="21"/>
        </w:rPr>
        <w:t xml:space="preserve"> Cuando el contenido se dirija a un superior jerárquico o vaya a publicarse, se somete además a revisión interna por pares.</w:t>
      </w:r>
    </w:p>
    <w:p>
      <w:pPr>
        <w:spacing w:after="140" w:line="276"/>
      </w:pPr>
      <w:r>
        <w:rPr>
          <w:rFonts w:ascii="Calibri" w:cs="Calibri" w:eastAsia="Calibri" w:hAnsi="Calibri"/>
          <w:sz w:val="21"/>
          <w:szCs w:val="21"/>
        </w:rPr>
        <w:t xml:space="preserve">c) </w:t>
      </w:r>
      <w:r>
        <w:rPr>
          <w:rFonts w:ascii="Calibri" w:cs="Calibri" w:eastAsia="Calibri" w:hAnsi="Calibri"/>
          <w:b/>
          <w:bCs/>
          <w:sz w:val="21"/>
          <w:szCs w:val="21"/>
        </w:rPr>
        <w:t xml:space="preserve">Minimización.</w:t>
      </w:r>
      <w:r>
        <w:rPr>
          <w:rFonts w:ascii="Calibri" w:cs="Calibri" w:eastAsia="Calibri" w:hAnsi="Calibri"/>
          <w:sz w:val="21"/>
          <w:szCs w:val="21"/>
        </w:rPr>
        <w:t xml:space="preserve"> Se reduce a lo estrictamente necesario la introducción, en sistemas externos, de información institucional sensible aunque no contenga datos personales —referencias institucionales, nombres vinculados a incidencias graves, documentos internos— cuando pueda perjudicar a la imagen o a la estrategia institucional propia o de terceros.</w:t>
      </w:r>
    </w:p>
    <w:p>
      <w:pPr>
        <w:spacing w:after="140" w:line="276"/>
      </w:pPr>
      <w:r>
        <w:rPr>
          <w:rFonts w:ascii="Calibri" w:cs="Calibri" w:eastAsia="Calibri" w:hAnsi="Calibri"/>
          <w:sz w:val="21"/>
          <w:szCs w:val="21"/>
        </w:rPr>
        <w:t xml:space="preserve">d) </w:t>
      </w:r>
      <w:r>
        <w:rPr>
          <w:rFonts w:ascii="Calibri" w:cs="Calibri" w:eastAsia="Calibri" w:hAnsi="Calibri"/>
          <w:b/>
          <w:bCs/>
          <w:sz w:val="21"/>
          <w:szCs w:val="21"/>
        </w:rPr>
        <w:t xml:space="preserve">Prohibición de decisión.</w:t>
      </w:r>
      <w:r>
        <w:rPr>
          <w:rFonts w:ascii="Calibri" w:cs="Calibri" w:eastAsia="Calibri" w:hAnsi="Calibri"/>
          <w:sz w:val="21"/>
          <w:szCs w:val="21"/>
        </w:rPr>
        <w:t xml:space="preserve"> Ningún resultado generado por estos sistemas constituye por sí solo el fundamento de un acto administrativo. Toda propuesta de resolución la formula y la firma la persona competente. Cuando el Ayuntamiento acuerde una actuación administrativa automatizada, se estará a lo dispuesto en el artículo 41 de la Ley 40/2015.</w:t>
      </w:r>
    </w:p>
    <w:p>
      <w:pPr>
        <w:spacing w:after="140" w:line="276"/>
      </w:pPr>
      <w:r>
        <w:rPr>
          <w:rFonts w:ascii="Calibri" w:cs="Calibri" w:eastAsia="Calibri" w:hAnsi="Calibri"/>
          <w:sz w:val="21"/>
          <w:szCs w:val="21"/>
        </w:rPr>
        <w:t xml:space="preserve">e) </w:t>
      </w:r>
      <w:r>
        <w:rPr>
          <w:rFonts w:ascii="Calibri" w:cs="Calibri" w:eastAsia="Calibri" w:hAnsi="Calibri"/>
          <w:b/>
          <w:bCs/>
          <w:sz w:val="21"/>
          <w:szCs w:val="21"/>
        </w:rPr>
        <w:t xml:space="preserve">Trazabilidad del uso.</w:t>
      </w:r>
      <w:r>
        <w:rPr>
          <w:rFonts w:ascii="Calibri" w:cs="Calibri" w:eastAsia="Calibri" w:hAnsi="Calibri"/>
          <w:sz w:val="21"/>
          <w:szCs w:val="21"/>
        </w:rPr>
        <w:t xml:space="preserve"> Cuando el resultado se incorpore a un expediente, se hace constar en él que se ha empleado un sistema de inteligencia artificial generativa, con indicación del sistema y de la fecha. La constancia no exime de la revisión de la letra a).</w:t>
      </w:r>
    </w:p>
    <w:p>
      <w:pPr>
        <w:spacing w:after="140" w:line="276"/>
      </w:pPr>
      <w:r>
        <w:rPr>
          <w:rFonts w:ascii="Calibri" w:cs="Calibri" w:eastAsia="Calibri" w:hAnsi="Calibri"/>
          <w:sz w:val="21"/>
          <w:szCs w:val="21"/>
        </w:rPr>
        <w:t xml:space="preserve">f) </w:t>
      </w:r>
      <w:r>
        <w:rPr>
          <w:rFonts w:ascii="Calibri" w:cs="Calibri" w:eastAsia="Calibri" w:hAnsi="Calibri"/>
          <w:b/>
          <w:bCs/>
          <w:sz w:val="21"/>
          <w:szCs w:val="21"/>
        </w:rPr>
        <w:t xml:space="preserve">Cuentas.</w:t>
      </w:r>
      <w:r>
        <w:rPr>
          <w:rFonts w:ascii="Calibri" w:cs="Calibri" w:eastAsia="Calibri" w:hAnsi="Calibri"/>
          <w:sz w:val="21"/>
          <w:szCs w:val="21"/>
        </w:rPr>
        <w:t xml:space="preserve"> Se emplean exclusivamente las cuentas corporativas habilitadas. </w:t>
      </w:r>
      <w:r>
        <w:rPr>
          <w:rFonts w:ascii="Calibri" w:cs="Calibri" w:eastAsia="Calibri" w:hAnsi="Calibri"/>
          <w:b/>
          <w:bCs/>
          <w:sz w:val="21"/>
          <w:szCs w:val="21"/>
        </w:rPr>
        <w:t xml:space="preserve">No se utilizan cuentas personales del empleado ni cuentas de prueba, gratuitas o de evaluación, para tratar información municipal de cualquier nivel.</w:t>
      </w:r>
    </w:p>
    <w:p>
      <w:pPr>
        <w:spacing w:after="140" w:line="276"/>
      </w:pPr>
      <w:r>
        <w:rPr>
          <w:rFonts w:ascii="Calibri" w:cs="Calibri" w:eastAsia="Calibri" w:hAnsi="Calibri"/>
          <w:sz w:val="21"/>
          <w:szCs w:val="21"/>
        </w:rPr>
        <w:t xml:space="preserve">g) </w:t>
      </w:r>
      <w:r>
        <w:rPr>
          <w:rFonts w:ascii="Calibri" w:cs="Calibri" w:eastAsia="Calibri" w:hAnsi="Calibri"/>
          <w:b/>
          <w:bCs/>
          <w:sz w:val="21"/>
          <w:szCs w:val="21"/>
        </w:rPr>
        <w:t xml:space="preserve">Registro.</w:t>
      </w:r>
      <w:r>
        <w:rPr>
          <w:rFonts w:ascii="Calibri" w:cs="Calibri" w:eastAsia="Calibri" w:hAnsi="Calibri"/>
          <w:sz w:val="21"/>
          <w:szCs w:val="21"/>
        </w:rPr>
        <w:t xml:space="preserve"> Los sistemas del inventario que lo permitan mantendrán registro de las interacciones, conservado conforme a la política municipal de conservación y accesible para las funciones de control y de seguridad.</w:t>
      </w:r>
    </w:p>
    <w:p>
      <w:pPr>
        <w:spacing w:after="140" w:line="276"/>
      </w:pPr>
      <w:r>
        <w:rPr>
          <w:rFonts w:ascii="Calibri" w:cs="Calibri" w:eastAsia="Calibri" w:hAnsi="Calibri"/>
          <w:b/>
          <w:bCs/>
          <w:sz w:val="21"/>
          <w:szCs w:val="21"/>
        </w:rPr>
        <w:t xml:space="preserve">6. Formación previa.</w:t>
      </w:r>
      <w:r>
        <w:rPr>
          <w:rFonts w:ascii="Calibri" w:cs="Calibri" w:eastAsia="Calibri" w:hAnsi="Calibri"/>
          <w:sz w:val="21"/>
          <w:szCs w:val="21"/>
        </w:rPr>
        <w:t xml:space="preserve"> El uso de estos sistemas requiere haber completado la formación municipal correspondiente, con contenido mínimo sobre límites de la herramienta, protección de datos, clasificación de la información y responsabilidad del resultado. El registro de personas formadas lo mantiene [puesto]. Esta previsión da cumplimiento, en el lado municipal, a la medida de alfabetización en materia de inteligencia artificial del artículo 4 del Reglamento (UE) 2024/1689, en su redacción vigente, y sirve de base a la exigencia paralela que el pliego impone al contratista.</w:t>
      </w:r>
    </w:p>
    <w:p>
      <w:pPr>
        <w:spacing w:after="140" w:line="276"/>
      </w:pPr>
      <w:r>
        <w:rPr>
          <w:rFonts w:ascii="Calibri" w:cs="Calibri" w:eastAsia="Calibri" w:hAnsi="Calibri"/>
          <w:b/>
          <w:bCs/>
          <w:sz w:val="21"/>
          <w:szCs w:val="21"/>
        </w:rPr>
        <w:t xml:space="preserve">7. Incidencias.</w:t>
      </w:r>
      <w:r>
        <w:rPr>
          <w:rFonts w:ascii="Calibri" w:cs="Calibri" w:eastAsia="Calibri" w:hAnsi="Calibri"/>
          <w:sz w:val="21"/>
          <w:szCs w:val="21"/>
        </w:rPr>
        <w:t xml:space="preserve"> La introducción indebida de información de nivel 1 en un sistema externo, o el uso de un sistema no inventariado, se comunica de inmediato a [puesto] y al delegado de protección de datos. La comunicación temprana de una incidencia propia no agrava la responsabilidad; su ocultación, sí.</w:t>
      </w:r>
    </w:p>
    <w:p>
      <w:pPr>
        <w:spacing w:after="140" w:line="276"/>
      </w:pPr>
      <w:r>
        <w:rPr>
          <w:rFonts w:ascii="Calibri" w:cs="Calibri" w:eastAsia="Calibri" w:hAnsi="Calibri"/>
          <w:b/>
          <w:bCs/>
          <w:sz w:val="21"/>
          <w:szCs w:val="21"/>
        </w:rPr>
        <w:t xml:space="preserve">8. Evaluación previa a la contratación o al alta de un sistema.</w:t>
      </w:r>
      <w:r>
        <w:rPr>
          <w:rFonts w:ascii="Calibri" w:cs="Calibri" w:eastAsia="Calibri" w:hAnsi="Calibri"/>
          <w:sz w:val="21"/>
          <w:szCs w:val="21"/>
        </w:rPr>
        <w:t xml:space="preserve"> Antes de contratar una solución de inteligencia artificial generativa o de dar de alta un sistema en el inventario, se evalúan de forma previa y documentada, al menos:</w:t>
      </w:r>
    </w:p>
    <w:p>
      <w:pPr>
        <w:spacing w:after="140" w:line="276"/>
      </w:pPr>
      <w:r>
        <w:rPr>
          <w:rFonts w:ascii="Calibri" w:cs="Calibri" w:eastAsia="Calibri" w:hAnsi="Calibri"/>
          <w:sz w:val="21"/>
          <w:szCs w:val="21"/>
        </w:rPr>
        <w:t xml:space="preserve">☐ Tratamiento de metadatos y de telemetría.</w:t>
      </w:r>
    </w:p>
    <w:p>
      <w:pPr>
        <w:spacing w:after="140" w:line="276"/>
      </w:pPr>
      <w:r>
        <w:rPr>
          <w:rFonts w:ascii="Calibri" w:cs="Calibri" w:eastAsia="Calibri" w:hAnsi="Calibri"/>
          <w:sz w:val="21"/>
          <w:szCs w:val="21"/>
        </w:rPr>
        <w:t xml:space="preserve">☐ Declaración expresa del proveedor sobre si emplea, y en qué medida, el contenido de las conversaciones y de los archivos para mejorar sus servicios o entrenar sus modelos.</w:t>
      </w:r>
    </w:p>
    <w:p>
      <w:pPr>
        <w:spacing w:after="140" w:line="276"/>
      </w:pPr>
      <w:r>
        <w:rPr>
          <w:rFonts w:ascii="Calibri" w:cs="Calibri" w:eastAsia="Calibri" w:hAnsi="Calibri"/>
          <w:sz w:val="21"/>
          <w:szCs w:val="21"/>
        </w:rPr>
        <w:t xml:space="preserve">☐ Existencia y alcance de mecanismos que excluyan el contenido del usuario del entrenamiento, y si la configuración se establece a nivel de organización o depende de cada persona usuaria.</w:t>
      </w:r>
    </w:p>
    <w:p>
      <w:pPr>
        <w:spacing w:after="140" w:line="276"/>
      </w:pPr>
      <w:r>
        <w:rPr>
          <w:rFonts w:ascii="Calibri" w:cs="Calibri" w:eastAsia="Calibri" w:hAnsi="Calibri"/>
          <w:sz w:val="21"/>
          <w:szCs w:val="21"/>
        </w:rPr>
        <w:t xml:space="preserve">☐ Ubicación de almacenamiento y de tratamiento de los datos.</w:t>
      </w:r>
    </w:p>
    <w:p>
      <w:pPr>
        <w:spacing w:after="140" w:line="276"/>
      </w:pPr>
      <w:r>
        <w:rPr>
          <w:rFonts w:ascii="Calibri" w:cs="Calibri" w:eastAsia="Calibri" w:hAnsi="Calibri"/>
          <w:sz w:val="21"/>
          <w:szCs w:val="21"/>
        </w:rPr>
        <w:t xml:space="preserve">☐ Plazo y criterios de retención.</w:t>
      </w:r>
    </w:p>
    <w:p>
      <w:pPr>
        <w:spacing w:after="140" w:line="276"/>
      </w:pPr>
      <w:r>
        <w:rPr>
          <w:rFonts w:ascii="Calibri" w:cs="Calibri" w:eastAsia="Calibri" w:hAnsi="Calibri"/>
          <w:sz w:val="21"/>
          <w:szCs w:val="21"/>
        </w:rPr>
        <w:t xml:space="preserve">☐ Existencia y alcance de revisiones humanas por parte del proveedor, y posibilidad de desactivarlas por configuración administrativa.</w:t>
      </w:r>
    </w:p>
    <w:p>
      <w:pPr>
        <w:spacing w:after="140" w:line="276"/>
      </w:pPr>
      <w:r>
        <w:rPr>
          <w:rFonts w:ascii="Calibri" w:cs="Calibri" w:eastAsia="Calibri" w:hAnsi="Calibri"/>
          <w:sz w:val="21"/>
          <w:szCs w:val="21"/>
        </w:rPr>
        <w:t xml:space="preserve">☐ Régimen aplicable en materia de protección de datos y, cuando proceda, encargo del tratamiento conforme al artículo 28 del Reglamento (UE) 2016/679, </w:t>
      </w:r>
      <w:r>
        <w:rPr>
          <w:rFonts w:ascii="Calibri" w:cs="Calibri" w:eastAsia="Calibri" w:hAnsi="Calibri"/>
          <w:b/>
          <w:bCs/>
          <w:sz w:val="21"/>
          <w:szCs w:val="21"/>
        </w:rPr>
        <w:t xml:space="preserve">sin que la sola aceptación de los términos de servicio del proveedor pueda amparar el tratamiento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Encaje con la categoría de seguridad del sistema de información afectado conforme al Real Decreto 311/2022.</w:t>
      </w:r>
    </w:p>
    <w:p>
      <w:pPr>
        <w:spacing w:after="140" w:line="276"/>
      </w:pPr>
      <w:r>
        <w:rPr>
          <w:rFonts w:ascii="Calibri" w:cs="Calibri" w:eastAsia="Calibri" w:hAnsi="Calibri"/>
          <w:sz w:val="21"/>
          <w:szCs w:val="21"/>
        </w:rPr>
        <w:t xml:space="preserve">La evaluación se documenta y se conserva. Un alta sin evaluación documentada no se autoriza.</w:t>
      </w:r>
    </w:p>
    <w:p>
      <w:pPr>
        <w:spacing w:after="140" w:line="276"/>
      </w:pPr>
      <w:r>
        <w:rPr>
          <w:rFonts w:ascii="Calibri" w:cs="Calibri" w:eastAsia="Calibri" w:hAnsi="Calibri"/>
          <w:b/>
          <w:bCs/>
          <w:sz w:val="21"/>
          <w:szCs w:val="21"/>
        </w:rPr>
        <w:t xml:space="preserve">9. Responsabilidades.</w:t>
      </w:r>
      <w:r>
        <w:rPr>
          <w:rFonts w:ascii="Calibri" w:cs="Calibri" w:eastAsia="Calibri" w:hAnsi="Calibri"/>
          <w:sz w:val="21"/>
          <w:szCs w:val="21"/>
        </w:rPr>
        <w:t xml:space="preserve"> [Puesto] mantiene el inventario y autoriza las altas. [Puesto] aprueba y revisa esta política. El delegado de protección de datos informa las altas que impliquen tratamiento de datos personales. Cada responsable de unidad vela por su aplicación en su ámbito.</w:t>
      </w:r>
    </w:p>
    <w:p>
      <w:pPr>
        <w:spacing w:after="140" w:line="276"/>
      </w:pPr>
      <w:r>
        <w:rPr>
          <w:rFonts w:ascii="Calibri" w:cs="Calibri" w:eastAsia="Calibri" w:hAnsi="Calibri"/>
          <w:b/>
          <w:bCs/>
          <w:sz w:val="21"/>
          <w:szCs w:val="21"/>
        </w:rPr>
        <w:t xml:space="preserve">10. Vigencia y revisión.</w:t>
      </w:r>
      <w:r>
        <w:rPr>
          <w:rFonts w:ascii="Calibri" w:cs="Calibri" w:eastAsia="Calibri" w:hAnsi="Calibri"/>
          <w:sz w:val="21"/>
          <w:szCs w:val="21"/>
        </w:rPr>
        <w:t xml:space="preserve"> Esta política se revisa anualmente, junto con el Catálogo de Exigencias Tecnológicas, y siempre que un cambio normativo o una incidencia lo aconsejen. Se comunica al personal y a los adjudicatarios de los contratos que incorporen la cláusula de uso de sistemas de inteligencia artificial sobre información municipal.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inventario del apartado 3 es el punto que hace exigible todo lo demás y el que más trabajo cuesta mantener. Si el Ayuntamiento no puede mantenerlo, la respuesta correcta no es publicar la política sin inventario: es reducir a uno o dos los sistemas autorizados y decirlo. Una política que remite a un inventario que no existe tiene el mismo valor que una obligación esencial que nadie verifica.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 · FÓRMULAS MODELO DE VALORACIÓN Y TRATAMIENTO DE LAS OFERTAS ANORMALMENTE BAJAS</w:t>
      </w:r>
    </w:p>
    <w:p>
      <w:pPr>
        <w:spacing w:after="140" w:line="276"/>
      </w:pPr>
      <w:r>
        <w:rPr>
          <w:rFonts w:ascii="Calibri" w:cs="Calibri" w:eastAsia="Calibri" w:hAnsi="Calibri"/>
          <w:sz w:val="21"/>
          <w:szCs w:val="21"/>
        </w:rPr>
        <w:t xml:space="preserve">Función: dar escritas las fórmulas que el baremo invoca. Un pliego que remite a «la fórmula de proporcionalidad inversa publicada en el apartado [ ]» sin publicarla incumple el artículo 145.5.b) de la LCSP, que prohíbe conferir al órgano de contratación una libertad de decisión ilimitada, y deja al licitador sin poder calcular el efecto de su propia oferta. </w:t>
      </w:r>
      <w:r>
        <w:rPr>
          <w:rFonts w:ascii="Calibri" w:cs="Calibri" w:eastAsia="Calibri" w:hAnsi="Calibri"/>
          <w:b/>
          <w:bCs/>
          <w:sz w:val="21"/>
          <w:szCs w:val="21"/>
        </w:rPr>
        <w:t xml:space="preserve">Ninguna de estas fórmulas es obligatoria: son las usuales, se ofrecen para que el redactor elija una y la publique entera.</w:t>
      </w:r>
    </w:p>
    <w:p>
      <w:pPr>
        <w:spacing w:after="140" w:line="276"/>
      </w:pPr>
      <w:r>
        <w:rPr>
          <w:rFonts w:ascii="Calibri" w:cs="Calibri" w:eastAsia="Calibri" w:hAnsi="Calibri"/>
          <w:b/>
          <w:bCs/>
          <w:sz w:val="21"/>
          <w:szCs w:val="21"/>
        </w:rPr>
        <w:t xml:space="preserve">Reglas comunes, aplicables a todas las fórmulas de este anexo. Se transcriben al PCAP junto con la fórmula elegida.</w:t>
      </w:r>
    </w:p>
    <w:p>
      <w:pPr>
        <w:pStyle w:val="ListParagraph"/>
        <w:numPr>
          <w:ilvl w:val="0"/>
          <w:numId w:val="2"/>
        </w:numPr>
        <w:spacing w:after="70" w:line="268"/>
      </w:pPr>
      <w:r>
        <w:rPr>
          <w:rFonts w:ascii="Calibri" w:cs="Calibri" w:eastAsia="Calibri" w:hAnsi="Calibri"/>
          <w:b/>
          <w:bCs/>
          <w:sz w:val="21"/>
          <w:szCs w:val="21"/>
        </w:rPr>
        <w:t xml:space="preserve">Publicación íntegra.</w:t>
      </w:r>
      <w:r>
        <w:rPr>
          <w:rFonts w:ascii="Calibri" w:cs="Calibri" w:eastAsia="Calibri" w:hAnsi="Calibri"/>
          <w:sz w:val="21"/>
          <w:szCs w:val="21"/>
        </w:rPr>
        <w:t xml:space="preserve"> La fórmula se publica en el PCAP con su expresión matemática, la definición de cada término y </w:t>
      </w:r>
      <w:r>
        <w:rPr>
          <w:rFonts w:ascii="Calibri" w:cs="Calibri" w:eastAsia="Calibri" w:hAnsi="Calibri"/>
          <w:b/>
          <w:bCs/>
          <w:sz w:val="21"/>
          <w:szCs w:val="21"/>
        </w:rPr>
        <w:t xml:space="preserve">un ejemplo numérico resuelto</w:t>
      </w:r>
      <w:r>
        <w:rPr>
          <w:rFonts w:ascii="Calibri" w:cs="Calibri" w:eastAsia="Calibri" w:hAnsi="Calibri"/>
          <w:sz w:val="21"/>
          <w:szCs w:val="21"/>
        </w:rPr>
        <w:t xml:space="preserve">. Sin ejemplo, la fórmula se discute; con ejemplo, se aplica.</w:t>
      </w:r>
    </w:p>
    <w:p>
      <w:pPr>
        <w:pStyle w:val="ListParagraph"/>
        <w:numPr>
          <w:ilvl w:val="0"/>
          <w:numId w:val="2"/>
        </w:numPr>
        <w:spacing w:after="70" w:line="268"/>
      </w:pPr>
      <w:r>
        <w:rPr>
          <w:rFonts w:ascii="Calibri" w:cs="Calibri" w:eastAsia="Calibri" w:hAnsi="Calibri"/>
          <w:b/>
          <w:bCs/>
          <w:sz w:val="21"/>
          <w:szCs w:val="21"/>
        </w:rPr>
        <w:t xml:space="preserve">Techo y suelo.</w:t>
      </w:r>
      <w:r>
        <w:rPr>
          <w:rFonts w:ascii="Calibri" w:cs="Calibri" w:eastAsia="Calibri" w:hAnsi="Calibri"/>
          <w:sz w:val="21"/>
          <w:szCs w:val="21"/>
        </w:rPr>
        <w:t xml:space="preserve"> Ninguna fórmula puede atribuir más puntos que el máximo del criterio ni menos de cero. Toda fórmula lleva la acotación expresa.</w:t>
      </w:r>
    </w:p>
    <w:p>
      <w:pPr>
        <w:pStyle w:val="ListParagraph"/>
        <w:numPr>
          <w:ilvl w:val="0"/>
          <w:numId w:val="2"/>
        </w:numPr>
        <w:spacing w:after="70" w:line="268"/>
      </w:pPr>
      <w:r>
        <w:rPr>
          <w:rFonts w:ascii="Calibri" w:cs="Calibri" w:eastAsia="Calibri" w:hAnsi="Calibri"/>
          <w:b/>
          <w:bCs/>
          <w:sz w:val="21"/>
          <w:szCs w:val="21"/>
        </w:rPr>
        <w:t xml:space="preserve">Redondeo.</w:t>
      </w:r>
      <w:r>
        <w:rPr>
          <w:rFonts w:ascii="Calibri" w:cs="Calibri" w:eastAsia="Calibri" w:hAnsi="Calibri"/>
          <w:sz w:val="21"/>
          <w:szCs w:val="21"/>
        </w:rPr>
        <w:t xml:space="preserve"> Se fija en el pliego: se recomienda </w:t>
      </w:r>
      <w:r>
        <w:rPr>
          <w:rFonts w:ascii="Calibri" w:cs="Calibri" w:eastAsia="Calibri" w:hAnsi="Calibri"/>
          <w:b/>
          <w:bCs/>
          <w:sz w:val="21"/>
          <w:szCs w:val="21"/>
        </w:rPr>
        <w:t xml:space="preserve">dos decimales</w:t>
      </w:r>
      <w:r>
        <w:rPr>
          <w:rFonts w:ascii="Calibri" w:cs="Calibri" w:eastAsia="Calibri" w:hAnsi="Calibri"/>
          <w:sz w:val="21"/>
          <w:szCs w:val="21"/>
        </w:rPr>
        <w:t xml:space="preserve">, con redondeo al más próximo y, en caso de equidistancia, al alza.</w:t>
      </w:r>
    </w:p>
    <w:p>
      <w:pPr>
        <w:pStyle w:val="ListParagraph"/>
        <w:numPr>
          <w:ilvl w:val="0"/>
          <w:numId w:val="2"/>
        </w:numPr>
        <w:spacing w:after="70" w:line="268"/>
      </w:pPr>
      <w:r>
        <w:rPr>
          <w:rFonts w:ascii="Calibri" w:cs="Calibri" w:eastAsia="Calibri" w:hAnsi="Calibri"/>
          <w:b/>
          <w:bCs/>
          <w:sz w:val="21"/>
          <w:szCs w:val="21"/>
        </w:rPr>
        <w:t xml:space="preserve">Orden de aplicación.</w:t>
      </w:r>
      <w:r>
        <w:rPr>
          <w:rFonts w:ascii="Calibri" w:cs="Calibri" w:eastAsia="Calibri" w:hAnsi="Calibri"/>
          <w:sz w:val="21"/>
          <w:szCs w:val="21"/>
        </w:rPr>
        <w:t xml:space="preserve"> Primero se resuelve la admisión de las ofertas, incluido el trámite de las anormalmente bajas del apartado 5 de este anexo; después se puntúa. </w:t>
      </w:r>
      <w:r>
        <w:rPr>
          <w:rFonts w:ascii="Calibri" w:cs="Calibri" w:eastAsia="Calibri" w:hAnsi="Calibri"/>
          <w:b/>
          <w:bCs/>
          <w:sz w:val="21"/>
          <w:szCs w:val="21"/>
        </w:rPr>
        <w:t xml:space="preserve">Una oferta excluida no forma parte de la referencia de cálculo de ninguna fórmula.</w:t>
      </w:r>
    </w:p>
    <w:p>
      <w:pPr>
        <w:pStyle w:val="ListParagraph"/>
        <w:numPr>
          <w:ilvl w:val="0"/>
          <w:numId w:val="2"/>
        </w:numPr>
        <w:spacing w:after="70" w:line="268"/>
      </w:pPr>
      <w:r>
        <w:rPr>
          <w:rFonts w:ascii="Calibri" w:cs="Calibri" w:eastAsia="Calibri" w:hAnsi="Calibri"/>
          <w:b/>
          <w:bCs/>
          <w:sz w:val="21"/>
          <w:szCs w:val="21"/>
        </w:rPr>
        <w:t xml:space="preserve">Prohibición de referencias a la conducta ajena.</w:t>
      </w:r>
      <w:r>
        <w:rPr>
          <w:rFonts w:ascii="Calibri" w:cs="Calibri" w:eastAsia="Calibri" w:hAnsi="Calibri"/>
          <w:sz w:val="21"/>
          <w:szCs w:val="21"/>
        </w:rPr>
        <w:t xml:space="preserve"> No se emplearán fórmulas cuya referencia sea la media de las ofertas presentadas ni ningún otro parámetro que dependa del comportamiento de los demás licitadores. Con ellas, la puntuación de un licitador varía sin que su oferta cambie, el licitador no puede calcular el efecto de la suya y el criterio deja de medir la prestación.</w:t>
      </w:r>
    </w:p>
    <w:p>
      <w:pPr>
        <w:pStyle w:val="ListParagraph"/>
        <w:numPr>
          <w:ilvl w:val="0"/>
          <w:numId w:val="2"/>
        </w:numPr>
        <w:spacing w:after="70" w:line="268"/>
      </w:pPr>
      <w:r>
        <w:rPr>
          <w:rFonts w:ascii="Calibri" w:cs="Calibri" w:eastAsia="Calibri" w:hAnsi="Calibri"/>
          <w:b/>
          <w:bCs/>
          <w:sz w:val="21"/>
          <w:szCs w:val="21"/>
        </w:rPr>
        <w:t xml:space="preserve">Empates.</w:t>
      </w:r>
      <w:r>
        <w:rPr>
          <w:rFonts w:ascii="Calibri" w:cs="Calibri" w:eastAsia="Calibri" w:hAnsi="Calibri"/>
          <w:sz w:val="21"/>
          <w:szCs w:val="21"/>
        </w:rPr>
        <w:t xml:space="preserve"> El PCAP publica los criterios de desempate del artículo 147 de la LCSP que aplicará, y su orden. Sin publicación previa, el desempate se decide después de conocidas las ofertas.</w:t>
      </w:r>
    </w:p>
    <w:p>
      <w:pPr>
        <w:pStyle w:val="ListParagraph"/>
        <w:numPr>
          <w:ilvl w:val="0"/>
          <w:numId w:val="2"/>
        </w:numPr>
        <w:spacing w:after="70" w:line="268"/>
      </w:pPr>
      <w:r>
        <w:rPr>
          <w:rFonts w:ascii="Calibri" w:cs="Calibri" w:eastAsia="Calibri" w:hAnsi="Calibri"/>
          <w:b/>
          <w:bCs/>
          <w:sz w:val="21"/>
          <w:szCs w:val="21"/>
        </w:rPr>
        <w:t xml:space="preserve">Coherencia con el mínimo del pliego.</w:t>
      </w:r>
      <w:r>
        <w:rPr>
          <w:rFonts w:ascii="Calibri" w:cs="Calibri" w:eastAsia="Calibri" w:hAnsi="Calibri"/>
          <w:sz w:val="21"/>
          <w:szCs w:val="21"/>
        </w:rPr>
        <w:t xml:space="preserve"> Ninguna fórmula puede puntuar el cumplimiento del mínimo exigido en el pliego de prescripciones técnicas. Sólo puntúa el exceso sobre ese mínimo, definido en lista cerrada (Anexo I, prohibición de doble asignación).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FÓRMULAS DE VALORACIÓN DE LOS CRITERIOS EVALUABLES MEDIANTE LA MERA APLICACIÓN DE FÓRMULAS</w:t>
            </w:r>
          </w:p>
          <w:p>
            <w:pPr>
              <w:spacing w:after="100" w:line="264"/>
            </w:pPr>
            <w:r>
              <w:rPr>
                <w:rFonts w:ascii="Georgia" w:cs="Georgia" w:eastAsia="Georgia" w:hAnsi="Georgia"/>
                <w:b/>
                <w:bCs/>
                <w:sz w:val="20"/>
                <w:szCs w:val="20"/>
              </w:rPr>
              <w:t xml:space="preserve">A. Precio. Fórmula de proporcionalidad inversa.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se quiera evitar que una baja marginal reparta toda la puntuación.)</w:t>
            </w:r>
          </w:p>
          <w:p>
            <w:pPr>
              <w:spacing w:after="100" w:line="264"/>
            </w:pPr>
            <w:r>
              <w:rPr>
                <w:rFonts w:ascii="Georgia" w:cs="Georgia" w:eastAsia="Georgia" w:hAnsi="Georgia"/>
                <w:sz w:val="20"/>
                <w:szCs w:val="20"/>
              </w:rPr>
              <w:t xml:space="preserve">&gt; P(i) = Pmáx × (Omín / O(i))</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w:t>
            </w:r>
            <w:r>
              <w:rPr>
                <w:rFonts w:ascii="Georgia" w:cs="Georgia" w:eastAsia="Georgia" w:hAnsi="Georgia"/>
                <w:sz w:val="20"/>
                <w:szCs w:val="20"/>
              </w:rPr>
              <w:t xml:space="preserve"> = puntos del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Pmáx</w:t>
            </w:r>
            <w:r>
              <w:rPr>
                <w:rFonts w:ascii="Georgia" w:cs="Georgia" w:eastAsia="Georgia" w:hAnsi="Georgia"/>
                <w:sz w:val="20"/>
                <w:szCs w:val="20"/>
              </w:rPr>
              <w:t xml:space="preserve"> = puntuación máxima del criterio de precio; </w:t>
            </w:r>
            <w:r>
              <w:rPr>
                <w:rFonts w:ascii="Georgia" w:cs="Georgia" w:eastAsia="Georgia" w:hAnsi="Georgia"/>
                <w:b/>
                <w:bCs/>
                <w:sz w:val="20"/>
                <w:szCs w:val="20"/>
              </w:rPr>
              <w:t xml:space="preserve">O(i)</w:t>
            </w:r>
            <w:r>
              <w:rPr>
                <w:rFonts w:ascii="Georgia" w:cs="Georgia" w:eastAsia="Georgia" w:hAnsi="Georgia"/>
                <w:sz w:val="20"/>
                <w:szCs w:val="20"/>
              </w:rPr>
              <w:t xml:space="preserve"> = importe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IVA excluido; </w:t>
            </w:r>
            <w:r>
              <w:rPr>
                <w:rFonts w:ascii="Georgia" w:cs="Georgia" w:eastAsia="Georgia" w:hAnsi="Georgia"/>
                <w:b/>
                <w:bCs/>
                <w:sz w:val="20"/>
                <w:szCs w:val="20"/>
              </w:rPr>
              <w:t xml:space="preserve">Omín</w:t>
            </w:r>
            <w:r>
              <w:rPr>
                <w:rFonts w:ascii="Georgia" w:cs="Georgia" w:eastAsia="Georgia" w:hAnsi="Georgia"/>
                <w:sz w:val="20"/>
                <w:szCs w:val="20"/>
              </w:rPr>
              <w:t xml:space="preserve"> = importe ofertado más bajo de entre las ofertas admitidas, IVA excluido.</w:t>
            </w:r>
          </w:p>
          <w:p>
            <w:pPr>
              <w:spacing w:after="100" w:line="264"/>
            </w:pPr>
            <w:r>
              <w:rPr>
                <w:rFonts w:ascii="Georgia" w:cs="Georgia" w:eastAsia="Georgia" w:hAnsi="Georgia"/>
                <w:b/>
                <w:bCs/>
                <w:sz w:val="20"/>
                <w:szCs w:val="20"/>
              </w:rPr>
              <w:t xml:space="preserve">B. Precio. Fórmula de proporcionalidad directa sobre la baja.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el órgano quiera que el peso real del precio coincida con el nominal.)</w:t>
            </w:r>
          </w:p>
          <w:p>
            <w:pPr>
              <w:spacing w:after="100" w:line="264"/>
            </w:pPr>
            <w:r>
              <w:rPr>
                <w:rFonts w:ascii="Georgia" w:cs="Georgia" w:eastAsia="Georgia" w:hAnsi="Georgia"/>
                <w:sz w:val="20"/>
                <w:szCs w:val="20"/>
              </w:rPr>
              <w:t xml:space="preserve">&gt; P(i) = Pmáx × (PBL − O(i)) / (PBL − Omín)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PBL</w:t>
            </w:r>
            <w:r>
              <w:rPr>
                <w:rFonts w:ascii="Georgia" w:cs="Georgia" w:eastAsia="Georgia" w:hAnsi="Georgia"/>
                <w:sz w:val="20"/>
                <w:szCs w:val="20"/>
              </w:rPr>
              <w:t xml:space="preserve"> = presupuesto base de licitación, IVA excluido. Si Omín = PBL —ninguna oferta baja—, todas las ofertas obtienen </w:t>
            </w:r>
            <w:r>
              <w:rPr>
                <w:rFonts w:ascii="Georgia" w:cs="Georgia" w:eastAsia="Georgia" w:hAnsi="Georgia"/>
                <w:b/>
                <w:bCs/>
                <w:sz w:val="20"/>
                <w:szCs w:val="20"/>
              </w:rPr>
              <w:t xml:space="preserve">cero</w:t>
            </w:r>
            <w:r>
              <w:rPr>
                <w:rFonts w:ascii="Georgia" w:cs="Georgia" w:eastAsia="Georgia" w:hAnsi="Georgia"/>
                <w:sz w:val="20"/>
                <w:szCs w:val="20"/>
              </w:rPr>
              <w:t xml:space="preserve"> puntos en este criterio y así se hace constar.</w:t>
            </w:r>
          </w:p>
          <w:p>
            <w:pPr>
              <w:spacing w:after="100" w:line="264"/>
            </w:pPr>
            <w:r>
              <w:rPr>
                <w:rFonts w:ascii="Georgia" w:cs="Georgia" w:eastAsia="Georgia" w:hAnsi="Georgia"/>
                <w:b/>
                <w:bCs/>
                <w:sz w:val="20"/>
                <w:szCs w:val="20"/>
              </w:rPr>
              <w:t xml:space="preserve">C. Precio unitario ponderado del Cuadro de Precios Unitarios.</w:t>
            </w:r>
            <w:r>
              <w:rPr>
                <w:rFonts w:ascii="Georgia" w:cs="Georgia" w:eastAsia="Georgia" w:hAnsi="Georgia"/>
                <w:sz w:val="20"/>
                <w:szCs w:val="20"/>
              </w:rPr>
              <w:t xml:space="preserve"> Se calcula primero el precio unitario ponderado de cada oferta y después se le aplica la fórmula A o la B, sustituyendo O(i) por PU(i):</w:t>
            </w:r>
          </w:p>
          <w:p>
            <w:pPr>
              <w:spacing w:after="100" w:line="264"/>
            </w:pPr>
            <w:r>
              <w:rPr>
                <w:rFonts w:ascii="Georgia" w:cs="Georgia" w:eastAsia="Georgia" w:hAnsi="Georgia"/>
                <w:sz w:val="20"/>
                <w:szCs w:val="20"/>
              </w:rPr>
              <w:t xml:space="preserve">&gt; PU(i) = Σ [ w(k) × p(i,k) ] / 100</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p(i,k)</w:t>
            </w:r>
            <w:r>
              <w:rPr>
                <w:rFonts w:ascii="Georgia" w:cs="Georgia" w:eastAsia="Georgia" w:hAnsi="Georgia"/>
                <w:sz w:val="20"/>
                <w:szCs w:val="20"/>
              </w:rPr>
              <w:t xml:space="preserve"> = precio/hora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para el perfil </w:t>
            </w:r>
            <w:r>
              <w:rPr>
                <w:rFonts w:ascii="Georgia" w:cs="Georgia" w:eastAsia="Georgia" w:hAnsi="Georgia"/>
                <w:i/>
                <w:iCs/>
                <w:sz w:val="20"/>
                <w:szCs w:val="20"/>
              </w:rPr>
              <w:t xml:space="preserve">k</w:t>
            </w:r>
            <w:r>
              <w:rPr>
                <w:rFonts w:ascii="Georgia" w:cs="Georgia" w:eastAsia="Georgia" w:hAnsi="Georgia"/>
                <w:sz w:val="20"/>
                <w:szCs w:val="20"/>
              </w:rPr>
              <w:t xml:space="preserve">, IVA excluido; </w:t>
            </w:r>
            <w:r>
              <w:rPr>
                <w:rFonts w:ascii="Georgia" w:cs="Georgia" w:eastAsia="Georgia" w:hAnsi="Georgia"/>
                <w:b/>
                <w:bCs/>
                <w:sz w:val="20"/>
                <w:szCs w:val="20"/>
              </w:rPr>
              <w:t xml:space="preserve">w(k)</w:t>
            </w:r>
            <w:r>
              <w:rPr>
                <w:rFonts w:ascii="Georgia" w:cs="Georgia" w:eastAsia="Georgia" w:hAnsi="Georgia"/>
                <w:sz w:val="20"/>
                <w:szCs w:val="20"/>
              </w:rPr>
              <w:t xml:space="preserve"> = ponderación del perfil </w:t>
            </w:r>
            <w:r>
              <w:rPr>
                <w:rFonts w:ascii="Georgia" w:cs="Georgia" w:eastAsia="Georgia" w:hAnsi="Georgia"/>
                <w:i/>
                <w:iCs/>
                <w:sz w:val="20"/>
                <w:szCs w:val="20"/>
              </w:rPr>
              <w:t xml:space="preserve">k</w:t>
            </w:r>
            <w:r>
              <w:rPr>
                <w:rFonts w:ascii="Georgia" w:cs="Georgia" w:eastAsia="Georgia" w:hAnsi="Georgia"/>
                <w:sz w:val="20"/>
                <w:szCs w:val="20"/>
              </w:rPr>
              <w:t xml:space="preserve"> publicada en el anexo de este pliego que contiene el Cuadro de Precios Unitarios. </w:t>
            </w:r>
            <w:r>
              <w:rPr>
                <w:rFonts w:ascii="Georgia" w:cs="Georgia" w:eastAsia="Georgia" w:hAnsi="Georgia"/>
                <w:b/>
                <w:bCs/>
                <w:sz w:val="20"/>
                <w:szCs w:val="20"/>
              </w:rPr>
              <w:t xml:space="preserve">La suma de las ponderaciones w(k) debe ser 100</w:t>
            </w:r>
            <w:r>
              <w:rPr>
                <w:rFonts w:ascii="Georgia" w:cs="Georgia" w:eastAsia="Georgia" w:hAnsi="Georgia"/>
                <w:sz w:val="20"/>
                <w:szCs w:val="20"/>
              </w:rPr>
              <w:t xml:space="preserve"> y responder a la cesta de consumo previsible del contrato, motivada en el expediente.</w:t>
            </w:r>
          </w:p>
          <w:p>
            <w:pPr>
              <w:spacing w:after="100" w:line="264"/>
            </w:pPr>
            <w:r>
              <w:rPr>
                <w:rFonts w:ascii="Georgia" w:cs="Georgia" w:eastAsia="Georgia" w:hAnsi="Georgia"/>
                <w:b/>
                <w:bCs/>
                <w:sz w:val="20"/>
                <w:szCs w:val="20"/>
              </w:rPr>
              <w:t xml:space="preserve">D. Plazo ofertado, cuando menor es mejor, con suelo.</w:t>
            </w:r>
          </w:p>
          <w:p>
            <w:pPr>
              <w:spacing w:after="100" w:line="264"/>
            </w:pPr>
            <w:r>
              <w:rPr>
                <w:rFonts w:ascii="Georgia" w:cs="Georgia" w:eastAsia="Georgia" w:hAnsi="Georgia"/>
                <w:sz w:val="20"/>
                <w:szCs w:val="20"/>
              </w:rPr>
              <w:t xml:space="preserve">&gt; P(i) = Pmáx × (Tmáx − T(i)) / (Tmáx − Tsuelo)</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Tmáx</w:t>
            </w:r>
            <w:r>
              <w:rPr>
                <w:rFonts w:ascii="Georgia" w:cs="Georgia" w:eastAsia="Georgia" w:hAnsi="Georgia"/>
                <w:sz w:val="20"/>
                <w:szCs w:val="20"/>
              </w:rPr>
              <w:t xml:space="preserve"> = plazo máximo admitido por el pliego, que es el mínimo obligatorio y no puntúa; </w:t>
            </w:r>
            <w:r>
              <w:rPr>
                <w:rFonts w:ascii="Georgia" w:cs="Georgia" w:eastAsia="Georgia" w:hAnsi="Georgia"/>
                <w:b/>
                <w:bCs/>
                <w:sz w:val="20"/>
                <w:szCs w:val="20"/>
              </w:rPr>
              <w:t xml:space="preserve">T(i)</w:t>
            </w:r>
            <w:r>
              <w:rPr>
                <w:rFonts w:ascii="Georgia" w:cs="Georgia" w:eastAsia="Georgia" w:hAnsi="Georgia"/>
                <w:sz w:val="20"/>
                <w:szCs w:val="20"/>
              </w:rPr>
              <w:t xml:space="preserve"> = plazo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Tsuelo</w:t>
            </w:r>
            <w:r>
              <w:rPr>
                <w:rFonts w:ascii="Georgia" w:cs="Georgia" w:eastAsia="Georgia" w:hAnsi="Georgia"/>
                <w:sz w:val="20"/>
                <w:szCs w:val="20"/>
              </w:rPr>
              <w:t xml:space="preserve"> = plazo por debajo del cual no se otorgan más puntos. A efectos de cálculo, </w:t>
            </w:r>
            <w:r>
              <w:rPr>
                <w:rFonts w:ascii="Georgia" w:cs="Georgia" w:eastAsia="Georgia" w:hAnsi="Georgia"/>
                <w:b/>
                <w:bCs/>
                <w:sz w:val="20"/>
                <w:szCs w:val="20"/>
              </w:rPr>
              <w:t xml:space="preserve">T(i) se sustituye por Tsuelo cuando el plazo ofertado sea inferior a éste</w:t>
            </w:r>
            <w:r>
              <w:rPr>
                <w:rFonts w:ascii="Georgia" w:cs="Georgia" w:eastAsia="Georgia" w:hAnsi="Georgia"/>
                <w:sz w:val="20"/>
                <w:szCs w:val="20"/>
              </w:rPr>
              <w:t xml:space="preserve">, y la puntuación no excede de Pmáx.</w:t>
            </w:r>
          </w:p>
          <w:p>
            <w:pPr>
              <w:spacing w:after="100" w:line="264"/>
            </w:pPr>
            <w:r>
              <w:rPr>
                <w:rFonts w:ascii="Georgia" w:cs="Georgia" w:eastAsia="Georgia" w:hAnsi="Georgia"/>
                <w:b/>
                <w:bCs/>
                <w:sz w:val="20"/>
                <w:szCs w:val="20"/>
              </w:rPr>
              <w:t xml:space="preserve">E. Cantidad ofertada sobre una lista cerrada, cuando más es mejor, con techo.</w:t>
            </w:r>
          </w:p>
          <w:p>
            <w:pPr>
              <w:spacing w:after="100" w:line="264"/>
            </w:pPr>
            <w:r>
              <w:rPr>
                <w:rFonts w:ascii="Georgia" w:cs="Georgia" w:eastAsia="Georgia" w:hAnsi="Georgia"/>
                <w:sz w:val="20"/>
                <w:szCs w:val="20"/>
              </w:rPr>
              <w:t xml:space="preserve">&gt; P(i) = Pmáx × (C(i) − Cmín) / (Ctecho − Cmín)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Cmín</w:t>
            </w:r>
            <w:r>
              <w:rPr>
                <w:rFonts w:ascii="Georgia" w:cs="Georgia" w:eastAsia="Georgia" w:hAnsi="Georgia"/>
                <w:sz w:val="20"/>
                <w:szCs w:val="20"/>
              </w:rPr>
              <w:t xml:space="preserve"> = número mínimo exigido por el pliego de prescripciones técnicas, que no puntúa; </w:t>
            </w:r>
            <w:r>
              <w:rPr>
                <w:rFonts w:ascii="Georgia" w:cs="Georgia" w:eastAsia="Georgia" w:hAnsi="Georgia"/>
                <w:b/>
                <w:bCs/>
                <w:sz w:val="20"/>
                <w:szCs w:val="20"/>
              </w:rPr>
              <w:t xml:space="preserve">C(i)</w:t>
            </w:r>
            <w:r>
              <w:rPr>
                <w:rFonts w:ascii="Georgia" w:cs="Georgia" w:eastAsia="Georgia" w:hAnsi="Georgia"/>
                <w:sz w:val="20"/>
                <w:szCs w:val="20"/>
              </w:rPr>
              <w:t xml:space="preserve"> = número comprometido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contado exclusivamente sobre los elementos de la </w:t>
            </w:r>
            <w:r>
              <w:rPr>
                <w:rFonts w:ascii="Georgia" w:cs="Georgia" w:eastAsia="Georgia" w:hAnsi="Georgia"/>
                <w:b/>
                <w:bCs/>
                <w:sz w:val="20"/>
                <w:szCs w:val="20"/>
              </w:rPr>
              <w:t xml:space="preserve">lista cerrada y numerada publicada en el pliego</w:t>
            </w:r>
            <w:r>
              <w:rPr>
                <w:rFonts w:ascii="Georgia" w:cs="Georgia" w:eastAsia="Georgia" w:hAnsi="Georgia"/>
                <w:sz w:val="20"/>
                <w:szCs w:val="20"/>
              </w:rPr>
              <w:t xml:space="preserve">; </w:t>
            </w:r>
            <w:r>
              <w:rPr>
                <w:rFonts w:ascii="Georgia" w:cs="Georgia" w:eastAsia="Georgia" w:hAnsi="Georgia"/>
                <w:b/>
                <w:bCs/>
                <w:sz w:val="20"/>
                <w:szCs w:val="20"/>
              </w:rPr>
              <w:t xml:space="preserve">Ctecho</w:t>
            </w:r>
            <w:r>
              <w:rPr>
                <w:rFonts w:ascii="Georgia" w:cs="Georgia" w:eastAsia="Georgia" w:hAnsi="Georgia"/>
                <w:sz w:val="20"/>
                <w:szCs w:val="20"/>
              </w:rPr>
              <w:t xml:space="preserve"> = número a partir del cual no se otorgan más puntos. A efectos de cálculo, C(i) se sustituye por Ctecho cuando lo supere.</w:t>
            </w:r>
          </w:p>
          <w:p>
            <w:pPr>
              <w:spacing w:after="100" w:line="264"/>
            </w:pPr>
            <w:r>
              <w:rPr>
                <w:rFonts w:ascii="Georgia" w:cs="Georgia" w:eastAsia="Georgia" w:hAnsi="Georgia"/>
                <w:b/>
                <w:bCs/>
                <w:sz w:val="20"/>
                <w:szCs w:val="20"/>
              </w:rPr>
              <w:t xml:space="preserve">F. Cantidad por unidades, con puntuación fija y tope.</w:t>
            </w:r>
            <w:r>
              <w:rPr>
                <w:rFonts w:ascii="Georgia" w:cs="Georgia" w:eastAsia="Georgia" w:hAnsi="Georgia"/>
                <w:sz w:val="20"/>
                <w:szCs w:val="20"/>
              </w:rPr>
              <w:t xml:space="preserve"> </w:t>
            </w:r>
            <w:r>
              <w:rPr>
                <w:rFonts w:ascii="Georgia" w:cs="Georgia" w:eastAsia="Georgia" w:hAnsi="Georgia"/>
                <w:i/>
                <w:iCs/>
                <w:sz w:val="20"/>
                <w:szCs w:val="20"/>
              </w:rPr>
              <w:t xml:space="preserve">(Alternativa a la E cuando las unidades sean pocas y homogéneas.)</w:t>
            </w:r>
          </w:p>
          <w:p>
            <w:pPr>
              <w:spacing w:after="100" w:line="264"/>
            </w:pPr>
            <w:r>
              <w:rPr>
                <w:rFonts w:ascii="Georgia" w:cs="Georgia" w:eastAsia="Georgia" w:hAnsi="Georgia"/>
                <w:sz w:val="20"/>
                <w:szCs w:val="20"/>
              </w:rPr>
              <w:t xml:space="preserve">&gt; P(i) = mín [ Pmáx ; u × C(i) ]</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u</w:t>
            </w:r>
            <w:r>
              <w:rPr>
                <w:rFonts w:ascii="Georgia" w:cs="Georgia" w:eastAsia="Georgia" w:hAnsi="Georgia"/>
                <w:sz w:val="20"/>
                <w:szCs w:val="20"/>
              </w:rPr>
              <w:t xml:space="preserve"> = puntos por cada unidad adicional sobre el mínimo, publicados en el pliego. Sólo se computan las unidades de la lista cerrada y numerada.</w:t>
            </w:r>
          </w:p>
          <w:p>
            <w:pPr>
              <w:spacing w:after="100" w:line="264"/>
            </w:pPr>
            <w:r>
              <w:rPr>
                <w:rFonts w:ascii="Georgia" w:cs="Georgia" w:eastAsia="Georgia" w:hAnsi="Georgia"/>
                <w:b/>
                <w:bCs/>
                <w:sz w:val="20"/>
                <w:szCs w:val="20"/>
              </w:rPr>
              <w:t xml:space="preserve">G. Regla común de acotación.</w:t>
            </w:r>
            <w:r>
              <w:rPr>
                <w:rFonts w:ascii="Georgia" w:cs="Georgia" w:eastAsia="Georgia" w:hAnsi="Georgia"/>
                <w:sz w:val="20"/>
                <w:szCs w:val="20"/>
              </w:rPr>
              <w:t xml:space="preserve"> En todas las fórmulas anteriores: </w:t>
            </w:r>
            <w:r>
              <w:rPr>
                <w:rFonts w:ascii="Georgia" w:cs="Georgia" w:eastAsia="Georgia" w:hAnsi="Georgia"/>
                <w:b/>
                <w:bCs/>
                <w:sz w:val="20"/>
                <w:szCs w:val="20"/>
              </w:rPr>
              <w:t xml:space="preserve">0 ≤ P(i) ≤ Pmáx</w:t>
            </w:r>
            <w:r>
              <w:rPr>
                <w:rFonts w:ascii="Georgia" w:cs="Georgia" w:eastAsia="Georgia" w:hAnsi="Georgia"/>
                <w:sz w:val="20"/>
                <w:szCs w:val="20"/>
              </w:rPr>
              <w:t xml:space="preserve">. Los resultados se expresan con </w:t>
            </w:r>
            <w:r>
              <w:rPr>
                <w:rFonts w:ascii="Georgia" w:cs="Georgia" w:eastAsia="Georgia" w:hAnsi="Georgia"/>
                <w:b/>
                <w:bCs/>
                <w:sz w:val="20"/>
                <w:szCs w:val="20"/>
              </w:rPr>
              <w:t xml:space="preserve">[X; se recomienda DOS (2)]</w:t>
            </w:r>
            <w:r>
              <w:rPr>
                <w:rFonts w:ascii="Georgia" w:cs="Georgia" w:eastAsia="Georgia" w:hAnsi="Georgia"/>
                <w:sz w:val="20"/>
                <w:szCs w:val="20"/>
              </w:rPr>
              <w:t xml:space="preserve"> decimales, con redondeo al más próximo y, en caso de equidistancia, al alza.</w:t>
            </w:r>
          </w:p>
        </w:tc>
      </w:tr>
    </w:tbl>
    <w:p>
      <w:pPr>
        <w:spacing w:after="220"/>
      </w:pPr>
    </w:p>
    <w:p>
      <w:pPr>
        <w:spacing w:after="140" w:line="276"/>
      </w:pPr>
      <w:r>
        <w:rPr>
          <w:rFonts w:ascii="Calibri" w:cs="Calibri" w:eastAsia="Calibri" w:hAnsi="Calibri"/>
          <w:b/>
          <w:bCs/>
          <w:sz w:val="21"/>
          <w:szCs w:val="21"/>
        </w:rPr>
        <w:t xml:space="preserve">Advertencias de uso que no se copian al pliego pero deben leerse antes de elegir.</w:t>
      </w:r>
    </w:p>
    <w:p>
      <w:pPr>
        <w:pStyle w:val="ListParagraph"/>
        <w:numPr>
          <w:ilvl w:val="0"/>
          <w:numId w:val="1"/>
        </w:numPr>
        <w:spacing w:after="70" w:line="268"/>
      </w:pPr>
      <w:r>
        <w:rPr>
          <w:rFonts w:ascii="Calibri" w:cs="Calibri" w:eastAsia="Calibri" w:hAnsi="Calibri"/>
          <w:b/>
          <w:bCs/>
          <w:sz w:val="21"/>
          <w:szCs w:val="21"/>
        </w:rPr>
        <w:t xml:space="preserve">Efecto de la fórmula A.</w:t>
      </w:r>
      <w:r>
        <w:rPr>
          <w:rFonts w:ascii="Calibri" w:cs="Calibri" w:eastAsia="Calibri" w:hAnsi="Calibri"/>
          <w:sz w:val="21"/>
          <w:szCs w:val="21"/>
        </w:rPr>
        <w:t xml:space="preserve"> Reparte poco. Con un presupuesto base de 100.000 € y ofertas de 100.000 € y 90.000 €, la diferencia es del 10 % de los puntos del criterio, no del 100 %. El peso real del precio resulta menor que el peso nominal publicado. Es su virtud y su límite.</w:t>
      </w:r>
    </w:p>
    <w:p>
      <w:pPr>
        <w:pStyle w:val="ListParagraph"/>
        <w:numPr>
          <w:ilvl w:val="0"/>
          <w:numId w:val="1"/>
        </w:numPr>
        <w:spacing w:after="70" w:line="268"/>
      </w:pPr>
      <w:r>
        <w:rPr>
          <w:rFonts w:ascii="Calibri" w:cs="Calibri" w:eastAsia="Calibri" w:hAnsi="Calibri"/>
          <w:b/>
          <w:bCs/>
          <w:sz w:val="21"/>
          <w:szCs w:val="21"/>
        </w:rPr>
        <w:t xml:space="preserve">Efecto de la fórmula B.</w:t>
      </w:r>
      <w:r>
        <w:rPr>
          <w:rFonts w:ascii="Calibri" w:cs="Calibri" w:eastAsia="Calibri" w:hAnsi="Calibri"/>
          <w:sz w:val="21"/>
          <w:szCs w:val="21"/>
        </w:rPr>
        <w:t xml:space="preserve"> Atribuye el máximo a la oferta más baja y cero a quien oferte el presupuesto base. Reparte todo el rango y, por ello, amplifica el peso del precio respecto de su porcentaje nominal.</w:t>
      </w:r>
    </w:p>
    <w:p>
      <w:pPr>
        <w:pStyle w:val="ListParagraph"/>
        <w:numPr>
          <w:ilvl w:val="0"/>
          <w:numId w:val="1"/>
        </w:numPr>
        <w:spacing w:after="70" w:line="268"/>
      </w:pPr>
      <w:r>
        <w:rPr>
          <w:rFonts w:ascii="Calibri" w:cs="Calibri" w:eastAsia="Calibri" w:hAnsi="Calibri"/>
          <w:b/>
          <w:bCs/>
          <w:sz w:val="21"/>
          <w:szCs w:val="21"/>
        </w:rPr>
        <w:t xml:space="preserve">Por qué el suelo de la fórmula D no es opcional.</w:t>
      </w:r>
      <w:r>
        <w:rPr>
          <w:rFonts w:ascii="Calibri" w:cs="Calibri" w:eastAsia="Calibri" w:hAnsi="Calibri"/>
          <w:sz w:val="21"/>
          <w:szCs w:val="21"/>
        </w:rPr>
        <w:t xml:space="preserve"> Sin él, la fórmula premia plazos que ningún operador puede cumplir, el criterio deja de medir capacidad y el pliego se convierte en un incentivo al incumplimiento. El valor por defecto recomendado figura en el Anexo X.1, fila 18.</w:t>
      </w:r>
    </w:p>
    <w:p>
      <w:pPr>
        <w:pStyle w:val="ListParagraph"/>
        <w:numPr>
          <w:ilvl w:val="0"/>
          <w:numId w:val="1"/>
        </w:numPr>
        <w:spacing w:after="70" w:line="268"/>
      </w:pPr>
      <w:r>
        <w:rPr>
          <w:rFonts w:ascii="Calibri" w:cs="Calibri" w:eastAsia="Calibri" w:hAnsi="Calibri"/>
          <w:b/>
          <w:bCs/>
          <w:sz w:val="21"/>
          <w:szCs w:val="21"/>
        </w:rPr>
        <w:t xml:space="preserve">La fórmula decide el peso real del criterio.</w:t>
      </w:r>
      <w:r>
        <w:rPr>
          <w:rFonts w:ascii="Calibri" w:cs="Calibri" w:eastAsia="Calibri" w:hAnsi="Calibri"/>
          <w:sz w:val="21"/>
          <w:szCs w:val="21"/>
        </w:rPr>
        <w:t xml:space="preserve"> Dos pliegos con «precio 40 puntos» reparten cosas distintas según empleen A o B. La memoria de criterios (Anexo IV, casilla 4) tiene que justificar el peso </w:t>
      </w:r>
      <w:r>
        <w:rPr>
          <w:rFonts w:ascii="Calibri" w:cs="Calibri" w:eastAsia="Calibri" w:hAnsi="Calibri"/>
          <w:b/>
          <w:bCs/>
          <w:sz w:val="21"/>
          <w:szCs w:val="21"/>
        </w:rPr>
        <w:t xml:space="preserve">con la fórmula elegida</w:t>
      </w:r>
      <w:r>
        <w:rPr>
          <w:rFonts w:ascii="Calibri" w:cs="Calibri" w:eastAsia="Calibri" w:hAnsi="Calibri"/>
          <w:sz w:val="21"/>
          <w:szCs w:val="21"/>
        </w:rPr>
        <w:t xml:space="preserve">, no con el porcentaje nominal.</w:t>
      </w:r>
    </w:p>
    <w:p>
      <w:pPr>
        <w:pStyle w:val="ListParagraph"/>
        <w:numPr>
          <w:ilvl w:val="0"/>
          <w:numId w:val="1"/>
        </w:numPr>
        <w:spacing w:after="70" w:line="268"/>
      </w:pPr>
      <w:r>
        <w:rPr>
          <w:rFonts w:ascii="Calibri" w:cs="Calibri" w:eastAsia="Calibri" w:hAnsi="Calibri"/>
          <w:b/>
          <w:bCs/>
          <w:sz w:val="21"/>
          <w:szCs w:val="21"/>
        </w:rPr>
        <w:t xml:space="preserve">Una fórmula no arregla un criterio mal construido.</w:t>
      </w:r>
      <w:r>
        <w:rPr>
          <w:rFonts w:ascii="Calibri" w:cs="Calibri" w:eastAsia="Calibri" w:hAnsi="Calibri"/>
          <w:sz w:val="21"/>
          <w:szCs w:val="21"/>
        </w:rPr>
        <w:t xml:space="preserve"> Si el criterio puntúa algo que el PPT ya exige, o una certificación, o experiencia previa, la fórmula sólo hace más preciso el defecto. Antes de elegir fórmula, se pasan los avisos 9 y 10 del Anexo IV.</w:t>
      </w:r>
    </w:p>
    <w:p>
      <w:pPr>
        <w:pStyle w:val="ListParagraph"/>
        <w:numPr>
          <w:ilvl w:val="0"/>
          <w:numId w:val="1"/>
        </w:numPr>
        <w:spacing w:after="70" w:line="268"/>
      </w:pPr>
      <w:r>
        <w:rPr>
          <w:rFonts w:ascii="Calibri" w:cs="Calibri" w:eastAsia="Calibri" w:hAnsi="Calibri"/>
          <w:b/>
          <w:bCs/>
          <w:sz w:val="21"/>
          <w:szCs w:val="21"/>
        </w:rPr>
        <w:t xml:space="preserve">Criterios sujetos a juicio de valor.</w:t>
      </w:r>
      <w:r>
        <w:rPr>
          <w:rFonts w:ascii="Calibri" w:cs="Calibri" w:eastAsia="Calibri" w:hAnsi="Calibri"/>
          <w:sz w:val="21"/>
          <w:szCs w:val="21"/>
        </w:rPr>
        <w:t xml:space="preserve"> No se les aplica fórmula: se les aplica </w:t>
      </w:r>
      <w:r>
        <w:rPr>
          <w:rFonts w:ascii="Calibri" w:cs="Calibri" w:eastAsia="Calibri" w:hAnsi="Calibri"/>
          <w:b/>
          <w:bCs/>
          <w:sz w:val="21"/>
          <w:szCs w:val="21"/>
        </w:rPr>
        <w:t xml:space="preserve">rúbrica con descriptores por tramos</w:t>
      </w:r>
      <w:r>
        <w:rPr>
          <w:rFonts w:ascii="Calibri" w:cs="Calibri" w:eastAsia="Calibri" w:hAnsi="Calibri"/>
          <w:sz w:val="21"/>
          <w:szCs w:val="21"/>
        </w:rPr>
        <w:t xml:space="preserve">, publicada en el PCAP (artículo 145.5.b). El modelo genérico de rúbrica figura en el Anexo XX.</w:t>
      </w:r>
    </w:p>
    <w:p>
      <w:pPr>
        <w:pStyle w:val="ListParagraph"/>
        <w:numPr>
          <w:ilvl w:val="0"/>
          <w:numId w:val="1"/>
        </w:numPr>
        <w:spacing w:after="70" w:line="268"/>
      </w:pPr>
      <w:r>
        <w:rPr>
          <w:rFonts w:ascii="Calibri" w:cs="Calibri" w:eastAsia="Calibri" w:hAnsi="Calibri"/>
          <w:b/>
          <w:bCs/>
          <w:sz w:val="21"/>
          <w:szCs w:val="21"/>
        </w:rPr>
        <w:t xml:space="preserve">No se mezclan unidades.</w:t>
      </w:r>
      <w:r>
        <w:rPr>
          <w:rFonts w:ascii="Calibri" w:cs="Calibri" w:eastAsia="Calibri" w:hAnsi="Calibri"/>
          <w:sz w:val="21"/>
          <w:szCs w:val="21"/>
        </w:rPr>
        <w:t xml:space="preserve"> Una fórmula que sume euros con meses o con número de funciones no es una fórmula: es una ponderación encubierta y sin publicar.</w:t>
      </w:r>
    </w:p>
    <w:p>
      <w:pPr>
        <w:spacing w:after="140" w:line="276"/>
      </w:pPr>
      <w:r>
        <w:rPr>
          <w:rFonts w:ascii="Calibri" w:cs="Calibri" w:eastAsia="Calibri" w:hAnsi="Calibri"/>
          <w:b/>
          <w:bCs/>
          <w:sz w:val="21"/>
          <w:szCs w:val="21"/>
        </w:rPr>
        <w:t xml:space="preserve">Apartado 5 · Tratamiento de las ofertas anormalmente bajas.</w:t>
      </w:r>
    </w:p>
    <w:p>
      <w:pPr>
        <w:spacing w:after="140" w:line="276"/>
      </w:pPr>
      <w:r>
        <w:rPr>
          <w:rFonts w:ascii="Calibri" w:cs="Calibri" w:eastAsia="Calibri" w:hAnsi="Calibri"/>
          <w:sz w:val="21"/>
          <w:szCs w:val="21"/>
        </w:rPr>
        <w:t xml:space="preserve">Con un criterio de precio de peso alto, la identificación y el tratamiento de las ofertas anormalmente bajas dejan de ser un trámite y pasan a ser la principal defensa del contrato. Este catálogo no regula la materia —lo hace el </w:t>
      </w:r>
      <w:r>
        <w:rPr>
          <w:rFonts w:ascii="Calibri" w:cs="Calibri" w:eastAsia="Calibri" w:hAnsi="Calibri"/>
          <w:b/>
          <w:bCs/>
          <w:sz w:val="21"/>
          <w:szCs w:val="21"/>
        </w:rPr>
        <w:t xml:space="preserve">artículo 149 de la LCSP</w:t>
      </w:r>
      <w:r>
        <w:rPr>
          <w:rFonts w:ascii="Calibri" w:cs="Calibri" w:eastAsia="Calibri" w:hAnsi="Calibri"/>
          <w:sz w:val="21"/>
          <w:szCs w:val="21"/>
        </w:rPr>
        <w:t xml:space="preserve">—, pero sí impone tres reglas de redacción, porque su omisión es la causa habitual de que el trámite se resuelva mal:</w:t>
      </w:r>
    </w:p>
    <w:p>
      <w:pPr>
        <w:pStyle w:val="ListParagraph"/>
        <w:numPr>
          <w:ilvl w:val="0"/>
          <w:numId w:val="2"/>
        </w:numPr>
        <w:spacing w:after="70" w:line="268"/>
      </w:pPr>
      <w:r>
        <w:rPr>
          <w:rFonts w:ascii="Calibri" w:cs="Calibri" w:eastAsia="Calibri" w:hAnsi="Calibri"/>
          <w:b/>
          <w:bCs/>
          <w:sz w:val="21"/>
          <w:szCs w:val="21"/>
        </w:rPr>
        <w:t xml:space="preserve">Los parámetros objetivos se publican en el PCAP</w:t>
      </w:r>
      <w:r>
        <w:rPr>
          <w:rFonts w:ascii="Calibri" w:cs="Calibri" w:eastAsia="Calibri" w:hAnsi="Calibri"/>
          <w:sz w:val="21"/>
          <w:szCs w:val="21"/>
        </w:rPr>
        <w:t xml:space="preserve">, antes de licitar, y se refieren a la oferta en su conjunto o al criterio de precio, según se decida. Un pliego sin parámetros publicados obliga al órgano a improvisarlos después de conocidas las ofertas, que es cuando ya no se puede.</w:t>
      </w:r>
    </w:p>
    <w:p>
      <w:pPr>
        <w:pStyle w:val="ListParagraph"/>
        <w:numPr>
          <w:ilvl w:val="0"/>
          <w:numId w:val="2"/>
        </w:numPr>
        <w:spacing w:after="70" w:line="268"/>
      </w:pPr>
      <w:r>
        <w:rPr>
          <w:rFonts w:ascii="Calibri" w:cs="Calibri" w:eastAsia="Calibri" w:hAnsi="Calibri"/>
          <w:b/>
          <w:bCs/>
          <w:sz w:val="21"/>
          <w:szCs w:val="21"/>
        </w:rPr>
        <w:t xml:space="preserve">El trámite es contradictorio y previo.</w:t>
      </w:r>
      <w:r>
        <w:rPr>
          <w:rFonts w:ascii="Calibri" w:cs="Calibri" w:eastAsia="Calibri" w:hAnsi="Calibri"/>
          <w:sz w:val="21"/>
          <w:szCs w:val="21"/>
        </w:rPr>
        <w:t xml:space="preserve"> Identificada una oferta como presuntamente anormal, se requiere al licitador para que la justifique, se recaba el informe técnico y se resuelve motivadamente </w:t>
      </w:r>
      <w:r>
        <w:rPr>
          <w:rFonts w:ascii="Calibri" w:cs="Calibri" w:eastAsia="Calibri" w:hAnsi="Calibri"/>
          <w:b/>
          <w:bCs/>
          <w:sz w:val="21"/>
          <w:szCs w:val="21"/>
        </w:rPr>
        <w:t xml:space="preserve">antes</w:t>
      </w:r>
      <w:r>
        <w:rPr>
          <w:rFonts w:ascii="Calibri" w:cs="Calibri" w:eastAsia="Calibri" w:hAnsi="Calibri"/>
          <w:sz w:val="21"/>
          <w:szCs w:val="21"/>
        </w:rPr>
        <w:t xml:space="preserve"> de puntuar. Sólo entonces se aplican las fórmulas del bloque anterior.</w:t>
      </w:r>
    </w:p>
    <w:p>
      <w:pPr>
        <w:pStyle w:val="ListParagraph"/>
        <w:numPr>
          <w:ilvl w:val="0"/>
          <w:numId w:val="2"/>
        </w:numPr>
        <w:spacing w:after="70" w:line="268"/>
      </w:pPr>
      <w:r>
        <w:rPr>
          <w:rFonts w:ascii="Calibri" w:cs="Calibri" w:eastAsia="Calibri" w:hAnsi="Calibri"/>
          <w:b/>
          <w:bCs/>
          <w:sz w:val="21"/>
          <w:szCs w:val="21"/>
        </w:rPr>
        <w:t xml:space="preserve">La oferta excluida no es referencia de cálculo.</w:t>
      </w:r>
      <w:r>
        <w:rPr>
          <w:rFonts w:ascii="Calibri" w:cs="Calibri" w:eastAsia="Calibri" w:hAnsi="Calibri"/>
          <w:sz w:val="21"/>
          <w:szCs w:val="21"/>
        </w:rPr>
        <w:t xml:space="preserve"> Se hace constar expresamente en el PCAP, porque de ello depende que Omín no sea el importe de una oferta rechazada.</w:t>
      </w:r>
    </w:p>
    <w:p>
      <w:pPr>
        <w:spacing w:after="140" w:line="276"/>
      </w:pPr>
      <w:r>
        <w:rPr>
          <w:rFonts w:ascii="Calibri" w:cs="Calibri" w:eastAsia="Calibri" w:hAnsi="Calibri"/>
          <w:i/>
          <w:iCs/>
          <w:sz w:val="21"/>
          <w:szCs w:val="21"/>
        </w:rPr>
        <w:t xml:space="preserve">Comprobación encargada antes de publicar, que se añade a las del Anexo XI.3:</w:t>
      </w:r>
      <w:r>
        <w:rPr>
          <w:rFonts w:ascii="Calibri" w:cs="Calibri" w:eastAsia="Calibri" w:hAnsi="Calibri"/>
          <w:sz w:val="21"/>
          <w:szCs w:val="21"/>
        </w:rPr>
        <w:t xml:space="preserve"> si el pliego pretende remitirse a parámetros supletorios de la normativa de desarrollo en lugar de publicar los suyos, compruébese su vigencia y su aplicabilidad al contrato de que se trate. La recomendación de este catálogo es </w:t>
      </w:r>
      <w:r>
        <w:rPr>
          <w:rFonts w:ascii="Calibri" w:cs="Calibri" w:eastAsia="Calibri" w:hAnsi="Calibri"/>
          <w:b/>
          <w:bCs/>
          <w:sz w:val="21"/>
          <w:szCs w:val="21"/>
        </w:rPr>
        <w:t xml:space="preserve">publicar los parámetros en el pliego</w:t>
      </w:r>
      <w:r>
        <w:rPr>
          <w:rFonts w:ascii="Calibri" w:cs="Calibri" w:eastAsia="Calibri" w:hAnsi="Calibri"/>
          <w:sz w:val="21"/>
          <w:szCs w:val="21"/>
        </w:rPr>
        <w:t xml:space="preserve"> y no remitirse a ninguno.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XVIII · MODELOS DE ACTA</w:t>
      </w:r>
    </w:p>
    <w:p>
      <w:pPr>
        <w:spacing w:after="140" w:line="276"/>
      </w:pPr>
      <w:r>
        <w:rPr>
          <w:rFonts w:ascii="Calibri" w:cs="Calibri" w:eastAsia="Calibri" w:hAnsi="Calibri"/>
          <w:sz w:val="21"/>
          <w:szCs w:val="21"/>
        </w:rPr>
        <w:t xml:space="preserve">Función: entregar los documentos sin los cuales el catálogo no se ejecuta. Este documento convierte el acta en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en más de veinte lugares —aceptación de las exigencias del Anexo V, ensayo de reversibilidad, reversión, Comisión de Seguimiento, demostración funcional, comprobación del acceso de los órganos de control— y hasta ahora no entregaba ninguno. La consecuencia práctica de esa omisión es conocida: en un procedimiento contradictorio de penalidad o de resolución, </w:t>
      </w:r>
      <w:r>
        <w:rPr>
          <w:rFonts w:ascii="Calibri" w:cs="Calibri" w:eastAsia="Calibri" w:hAnsi="Calibri"/>
          <w:b/>
          <w:bCs/>
          <w:sz w:val="21"/>
          <w:szCs w:val="21"/>
        </w:rPr>
        <w:t xml:space="preserve">lo que no consta en acta no ocurrió</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Reglas comunes a todas las actas de este anexo.</w:t>
      </w:r>
    </w:p>
    <w:p>
      <w:pPr>
        <w:pStyle w:val="ListParagraph"/>
        <w:numPr>
          <w:ilvl w:val="0"/>
          <w:numId w:val="2"/>
        </w:numPr>
        <w:spacing w:after="70" w:line="268"/>
      </w:pPr>
      <w:r>
        <w:rPr>
          <w:rFonts w:ascii="Calibri" w:cs="Calibri" w:eastAsia="Calibri" w:hAnsi="Calibri"/>
          <w:b/>
          <w:bCs/>
          <w:sz w:val="21"/>
          <w:szCs w:val="21"/>
        </w:rPr>
        <w:t xml:space="preserve">Quién la levanta.</w:t>
      </w:r>
      <w:r>
        <w:rPr>
          <w:rFonts w:ascii="Calibri" w:cs="Calibri" w:eastAsia="Calibri" w:hAnsi="Calibri"/>
          <w:sz w:val="21"/>
          <w:szCs w:val="21"/>
        </w:rPr>
        <w:t xml:space="preserve"> La levanta el Ayuntamiento, por el puesto que en cada caso designe la cláusula. La firma del contratista acredita su presencia y su conocimiento; </w:t>
      </w:r>
      <w:r>
        <w:rPr>
          <w:rFonts w:ascii="Calibri" w:cs="Calibri" w:eastAsia="Calibri" w:hAnsi="Calibri"/>
          <w:b/>
          <w:bCs/>
          <w:sz w:val="21"/>
          <w:szCs w:val="21"/>
        </w:rPr>
        <w:t xml:space="preserve">su negativa a firmar no impide levantar el acta</w:t>
      </w:r>
      <w:r>
        <w:rPr>
          <w:rFonts w:ascii="Calibri" w:cs="Calibri" w:eastAsia="Calibri" w:hAnsi="Calibri"/>
          <w:sz w:val="21"/>
          <w:szCs w:val="21"/>
        </w:rPr>
        <w:t xml:space="preserve">, y se hace constar en ella.</w:t>
      </w:r>
    </w:p>
    <w:p>
      <w:pPr>
        <w:pStyle w:val="ListParagraph"/>
        <w:numPr>
          <w:ilvl w:val="0"/>
          <w:numId w:val="2"/>
        </w:numPr>
        <w:spacing w:after="70" w:line="268"/>
      </w:pPr>
      <w:r>
        <w:rPr>
          <w:rFonts w:ascii="Calibri" w:cs="Calibri" w:eastAsia="Calibri" w:hAnsi="Calibri"/>
          <w:b/>
          <w:bCs/>
          <w:sz w:val="21"/>
          <w:szCs w:val="21"/>
        </w:rPr>
        <w:t xml:space="preserve">Qué contiene siempre.</w:t>
      </w:r>
      <w:r>
        <w:rPr>
          <w:rFonts w:ascii="Calibri" w:cs="Calibri" w:eastAsia="Calibri" w:hAnsi="Calibri"/>
          <w:sz w:val="21"/>
          <w:szCs w:val="21"/>
        </w:rPr>
        <w:t xml:space="preserve"> Expediente, contrato, fecha, hora de inicio y de fin, lugar o medio, asistentes con nombre, puesto y organización, objeto, lo actuado, el resultado y las observaciones de cada parte.</w:t>
      </w:r>
    </w:p>
    <w:p>
      <w:pPr>
        <w:pStyle w:val="ListParagraph"/>
        <w:numPr>
          <w:ilvl w:val="0"/>
          <w:numId w:val="2"/>
        </w:numPr>
        <w:spacing w:after="70" w:line="268"/>
      </w:pPr>
      <w:r>
        <w:rPr>
          <w:rFonts w:ascii="Calibri" w:cs="Calibri" w:eastAsia="Calibri" w:hAnsi="Calibri"/>
          <w:b/>
          <w:bCs/>
          <w:sz w:val="21"/>
          <w:szCs w:val="21"/>
        </w:rPr>
        <w:t xml:space="preserve">Resultado binario.</w:t>
      </w:r>
      <w:r>
        <w:rPr>
          <w:rFonts w:ascii="Calibri" w:cs="Calibri" w:eastAsia="Calibri" w:hAnsi="Calibri"/>
          <w:sz w:val="21"/>
          <w:szCs w:val="21"/>
        </w:rPr>
        <w:t xml:space="preserve"> Cuando el acta documente la comprobación de un criterio de aceptación, el resultado se consigna como </w:t>
      </w:r>
      <w:r>
        <w:rPr>
          <w:rFonts w:ascii="Calibri" w:cs="Calibri" w:eastAsia="Calibri" w:hAnsi="Calibri"/>
          <w:b/>
          <w:bCs/>
          <w:sz w:val="21"/>
          <w:szCs w:val="21"/>
        </w:rPr>
        <w:t xml:space="preserve">conforme / no conforme</w:t>
      </w:r>
      <w:r>
        <w:rPr>
          <w:rFonts w:ascii="Calibri" w:cs="Calibri" w:eastAsia="Calibri" w:hAnsi="Calibri"/>
          <w:sz w:val="21"/>
          <w:szCs w:val="21"/>
        </w:rPr>
        <w:t xml:space="preserve">, criterio por criterio. No se admiten resultados intermedios: un criterio de aceptación que sólo pueda valorarse por apreciación no sostiene una penalidad.</w:t>
      </w:r>
    </w:p>
    <w:p>
      <w:pPr>
        <w:pStyle w:val="ListParagraph"/>
        <w:numPr>
          <w:ilvl w:val="0"/>
          <w:numId w:val="2"/>
        </w:numPr>
        <w:spacing w:after="70" w:line="268"/>
      </w:pPr>
      <w:r>
        <w:rPr>
          <w:rFonts w:ascii="Calibri" w:cs="Calibri" w:eastAsia="Calibri" w:hAnsi="Calibri"/>
          <w:b/>
          <w:bCs/>
          <w:sz w:val="21"/>
          <w:szCs w:val="21"/>
        </w:rPr>
        <w:t xml:space="preserve">Incorporación.</w:t>
      </w:r>
      <w:r>
        <w:rPr>
          <w:rFonts w:ascii="Calibri" w:cs="Calibri" w:eastAsia="Calibri" w:hAnsi="Calibri"/>
          <w:sz w:val="21"/>
          <w:szCs w:val="21"/>
        </w:rPr>
        <w:t xml:space="preserve"> Toda acta se incorpora al expediente de ejecución del contrato en el plazo de </w:t>
      </w:r>
      <w:r>
        <w:rPr>
          <w:rFonts w:ascii="Calibri" w:cs="Calibri" w:eastAsia="Calibri" w:hAnsi="Calibri"/>
          <w:b/>
          <w:bCs/>
          <w:sz w:val="21"/>
          <w:szCs w:val="21"/>
        </w:rPr>
        <w:t xml:space="preserve">[X; se recomienda 5] días hábiles</w:t>
      </w:r>
      <w:r>
        <w:rPr>
          <w:rFonts w:ascii="Calibri" w:cs="Calibri" w:eastAsia="Calibri" w:hAnsi="Calibri"/>
          <w:sz w:val="21"/>
          <w:szCs w:val="21"/>
        </w:rPr>
        <w:t xml:space="preserve"> desde su firma, y se notifica al contratista.</w:t>
      </w:r>
    </w:p>
    <w:p>
      <w:pPr>
        <w:pStyle w:val="ListParagraph"/>
        <w:numPr>
          <w:ilvl w:val="0"/>
          <w:numId w:val="2"/>
        </w:numPr>
        <w:spacing w:after="70" w:line="268"/>
      </w:pPr>
      <w:r>
        <w:rPr>
          <w:rFonts w:ascii="Calibri" w:cs="Calibri" w:eastAsia="Calibri" w:hAnsi="Calibri"/>
          <w:b/>
          <w:bCs/>
          <w:sz w:val="21"/>
          <w:szCs w:val="21"/>
        </w:rPr>
        <w:t xml:space="preserve">Lo que un acta no hace.</w:t>
      </w:r>
      <w:r>
        <w:rPr>
          <w:rFonts w:ascii="Calibri" w:cs="Calibri" w:eastAsia="Calibri" w:hAnsi="Calibri"/>
          <w:sz w:val="21"/>
          <w:szCs w:val="21"/>
        </w:rPr>
        <w:t xml:space="preserve"> No modifica el contrato, no sustituye a la resolución que corresponda ni suple la audiencia del contratista en los procedimientos que la exijan. Un acta que acuerde algo que sólo el órgano de contratación puede acordar es un acta viciada en esa parte.</w:t>
      </w:r>
    </w:p>
    <w:p>
      <w:pPr>
        <w:pStyle w:val="ListParagraph"/>
        <w:numPr>
          <w:ilvl w:val="0"/>
          <w:numId w:val="2"/>
        </w:numPr>
        <w:spacing w:after="70" w:line="268"/>
      </w:pPr>
      <w:r>
        <w:rPr>
          <w:rFonts w:ascii="Calibri" w:cs="Calibri" w:eastAsia="Calibri" w:hAnsi="Calibri"/>
          <w:b/>
          <w:bCs/>
          <w:sz w:val="21"/>
          <w:szCs w:val="21"/>
        </w:rPr>
        <w:t xml:space="preserve">Numeración.</w:t>
      </w:r>
      <w:r>
        <w:rPr>
          <w:rFonts w:ascii="Calibri" w:cs="Calibri" w:eastAsia="Calibri" w:hAnsi="Calibri"/>
          <w:sz w:val="21"/>
          <w:szCs w:val="21"/>
        </w:rPr>
        <w:t xml:space="preserve"> Correlativa por contrato y por tipo, con el formato </w:t>
      </w:r>
      <w:r>
        <w:rPr>
          <w:rFonts w:ascii="Calibri" w:cs="Calibri" w:eastAsia="Calibri" w:hAnsi="Calibri"/>
          <w:color w:val="2F5496"/>
          <w:sz w:val="21"/>
          <w:szCs w:val="21"/>
        </w:rPr>
        <w:t xml:space="preserve">[tipo]/[n.º]/[año]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A — ACTA DE ACEPTACIÓN DE LAS EXIGENCIAS TECNOLÓGICAS DETERMINADAS ----</w:t>
      </w:r>
    </w:p>
    <w:p>
      <w:pPr>
        <w:spacing w:after="140" w:line="276"/>
      </w:pPr>
      <w:r>
        <w:rPr>
          <w:rFonts w:ascii="Calibri" w:cs="Calibri" w:eastAsia="Calibri" w:hAnsi="Calibri"/>
          <w:i/>
          <w:iCs/>
          <w:sz w:val="21"/>
          <w:szCs w:val="21"/>
        </w:rPr>
        <w:t xml:space="preserve">(Anexo V, regla común 4: cada exigencia se verifica mediante prueba de aceptación sobre el entorno de pruebas, documentada en acta suscrita por el responsable del contrato.)</w:t>
      </w:r>
    </w:p>
    <w:p>
      <w:pPr>
        <w:spacing w:after="140" w:line="276"/>
      </w:pPr>
      <w:r>
        <w:rPr>
          <w:rFonts w:ascii="Calibri" w:cs="Calibri" w:eastAsia="Calibri" w:hAnsi="Calibri"/>
          <w:b/>
          <w:bCs/>
          <w:sz w:val="21"/>
          <w:szCs w:val="21"/>
        </w:rPr>
        <w:t xml:space="preserve">ACTA DE ACEPTACIÓN N.º ……/……/…… · EXIGENCIA [ET-…]</w:t>
      </w:r>
    </w:p>
    <w:p>
      <w:pPr>
        <w:spacing w:after="140" w:line="276"/>
      </w:pPr>
      <w:r>
        <w:rPr>
          <w:rFonts w:ascii="Calibri" w:cs="Calibri" w:eastAsia="Calibri" w:hAnsi="Calibri"/>
          <w:sz w:val="21"/>
          <w:szCs w:val="21"/>
        </w:rPr>
        <w:t xml:space="preserve">Expediente: ……………… · Contrato: ……………… · Adjudicatario: ………………</w:t>
      </w:r>
    </w:p>
    <w:p>
      <w:pPr>
        <w:spacing w:after="140" w:line="276"/>
      </w:pPr>
      <w:r>
        <w:rPr>
          <w:rFonts w:ascii="Calibri" w:cs="Calibri" w:eastAsia="Calibri" w:hAnsi="Calibri"/>
          <w:sz w:val="21"/>
          <w:szCs w:val="21"/>
        </w:rPr>
        <w:t xml:space="preserve">Fecha: …… / …… / …… · Hora de inicio: …… · Hora de fin: ……</w:t>
      </w:r>
    </w:p>
    <w:p>
      <w:pPr>
        <w:spacing w:after="140" w:line="276"/>
      </w:pPr>
      <w:r>
        <w:rPr>
          <w:rFonts w:ascii="Calibri" w:cs="Calibri" w:eastAsia="Calibri" w:hAnsi="Calibri"/>
          <w:sz w:val="21"/>
          <w:szCs w:val="21"/>
        </w:rPr>
        <w:t xml:space="preserve">Entorno sobre el que se ejecuta la prueba: ☐ Entorno de pruebas municipal ☐ Otro: ………</w:t>
      </w:r>
    </w:p>
    <w:p>
      <w:pPr>
        <w:spacing w:after="140" w:line="276"/>
      </w:pPr>
      <w:r>
        <w:rPr>
          <w:rFonts w:ascii="Calibri" w:cs="Calibri" w:eastAsia="Calibri" w:hAnsi="Calibri"/>
          <w:sz w:val="21"/>
          <w:szCs w:val="21"/>
        </w:rPr>
        <w:t xml:space="preserve">Juego de datos empleado: ☐ Ficticios ☐ Anonimizados · Identificación: ………………</w:t>
      </w:r>
    </w:p>
    <w:p>
      <w:pPr>
        <w:spacing w:after="140" w:line="276"/>
      </w:pPr>
      <w:r>
        <w:rPr>
          <w:rFonts w:ascii="Calibri" w:cs="Calibri" w:eastAsia="Calibri" w:hAnsi="Calibri"/>
          <w:sz w:val="21"/>
          <w:szCs w:val="21"/>
        </w:rPr>
        <w:t xml:space="preserve">Asistentes: ………………………………………………………………</w:t>
      </w:r>
    </w:p>
    <w:p>
      <w:pPr>
        <w:spacing w:after="140" w:line="276"/>
      </w:pPr>
      <w:r>
        <w:rPr>
          <w:rFonts w:ascii="Calibri" w:cs="Calibri" w:eastAsia="Calibri" w:hAnsi="Calibri"/>
          <w:b/>
          <w:bCs/>
          <w:sz w:val="21"/>
          <w:szCs w:val="21"/>
        </w:rPr>
        <w:t xml:space="preserve">Resultado por criterio de aceptación</w:t>
      </w:r>
      <w:r>
        <w:rPr>
          <w:rFonts w:ascii="Calibri" w:cs="Calibri" w:eastAsia="Calibri" w:hAnsi="Calibri"/>
          <w:sz w:val="21"/>
          <w:szCs w:val="21"/>
        </w:rPr>
        <w:t xml:space="preserve"> </w:t>
      </w:r>
      <w:r>
        <w:rPr>
          <w:rFonts w:ascii="Calibri" w:cs="Calibri" w:eastAsia="Calibri" w:hAnsi="Calibri"/>
          <w:i/>
          <w:iCs/>
          <w:sz w:val="21"/>
          <w:szCs w:val="21"/>
        </w:rPr>
        <w:t xml:space="preserve">(se transcriben los criterios del Catálogo tal como figuran en el pliego; una fila por criterio)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ha comprobado (operación efectivamente ejecutada)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 obtenida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bl>
    <w:p>
      <w:pPr>
        <w:spacing w:after="200"/>
      </w:pPr>
    </w:p>
    <w:p>
      <w:pPr>
        <w:spacing w:after="140" w:line="276"/>
      </w:pPr>
      <w:r>
        <w:rPr>
          <w:rFonts w:ascii="Calibri" w:cs="Calibri" w:eastAsia="Calibri" w:hAnsi="Calibri"/>
          <w:b/>
          <w:bCs/>
          <w:sz w:val="21"/>
          <w:szCs w:val="21"/>
        </w:rPr>
        <w:t xml:space="preserve">Declaración de resultado.</w:t>
      </w:r>
      <w:r>
        <w:rPr>
          <w:rFonts w:ascii="Calibri" w:cs="Calibri" w:eastAsia="Calibri" w:hAnsi="Calibri"/>
          <w:sz w:val="21"/>
          <w:szCs w:val="21"/>
        </w:rPr>
        <w:t xml:space="preserve"> ☐ </w:t>
      </w:r>
      <w:r>
        <w:rPr>
          <w:rFonts w:ascii="Calibri" w:cs="Calibri" w:eastAsia="Calibri" w:hAnsi="Calibri"/>
          <w:b/>
          <w:bCs/>
          <w:sz w:val="21"/>
          <w:szCs w:val="21"/>
        </w:rPr>
        <w:t xml:space="preserve">Aceptada</w:t>
      </w:r>
      <w:r>
        <w:rPr>
          <w:rFonts w:ascii="Calibri" w:cs="Calibri" w:eastAsia="Calibri" w:hAnsi="Calibri"/>
          <w:sz w:val="21"/>
          <w:szCs w:val="21"/>
        </w:rPr>
        <w:t xml:space="preserve">: todos los criterios resultan conformes. ☐ </w:t>
      </w:r>
      <w:r>
        <w:rPr>
          <w:rFonts w:ascii="Calibri" w:cs="Calibri" w:eastAsia="Calibri" w:hAnsi="Calibri"/>
          <w:b/>
          <w:bCs/>
          <w:sz w:val="21"/>
          <w:szCs w:val="21"/>
        </w:rPr>
        <w:t xml:space="preserve">No aceptada</w:t>
      </w:r>
      <w:r>
        <w:rPr>
          <w:rFonts w:ascii="Calibri" w:cs="Calibri" w:eastAsia="Calibri" w:hAnsi="Calibri"/>
          <w:sz w:val="21"/>
          <w:szCs w:val="21"/>
        </w:rPr>
        <w:t xml:space="preserve">: resultan no conformes los criterios n.º ……, por los motivos que constan. Plazo de subsanación otorgado: …… . Nueva prueba prevista para el …… / …… / …… .</w:t>
      </w:r>
    </w:p>
    <w:p>
      <w:pPr>
        <w:spacing w:after="140" w:line="276"/>
      </w:pPr>
      <w:r>
        <w:rPr>
          <w:rFonts w:ascii="Calibri" w:cs="Calibri" w:eastAsia="Calibri" w:hAnsi="Calibri"/>
          <w:b/>
          <w:bCs/>
          <w:sz w:val="21"/>
          <w:szCs w:val="21"/>
        </w:rPr>
        <w:t xml:space="preserve">Advertencia que forma parte del acta.</w:t>
      </w:r>
      <w:r>
        <w:rPr>
          <w:rFonts w:ascii="Calibri" w:cs="Calibri" w:eastAsia="Calibri" w:hAnsi="Calibri"/>
          <w:sz w:val="21"/>
          <w:szCs w:val="21"/>
        </w:rPr>
        <w:t xml:space="preserve"> La aceptación </w:t>
      </w:r>
      <w:r>
        <w:rPr>
          <w:rFonts w:ascii="Calibri" w:cs="Calibri" w:eastAsia="Calibri" w:hAnsi="Calibri"/>
          <w:b/>
          <w:bCs/>
          <w:sz w:val="21"/>
          <w:szCs w:val="21"/>
        </w:rPr>
        <w:t xml:space="preserve">no libera</w:t>
      </w:r>
      <w:r>
        <w:rPr>
          <w:rFonts w:ascii="Calibri" w:cs="Calibri" w:eastAsia="Calibri" w:hAnsi="Calibri"/>
          <w:sz w:val="21"/>
          <w:szCs w:val="21"/>
        </w:rPr>
        <w:t xml:space="preserve"> al adjudicatario de su responsabilidad por defectos, errores, vulnerabilidades, incumplimientos normativos o degradación posterior de la capacidad verificada, que debe permanecer operativa durante el resto de la vigencia del contrato y de sus prórrogas.</w:t>
      </w:r>
    </w:p>
    <w:p>
      <w:pPr>
        <w:spacing w:after="140" w:line="276"/>
      </w:pPr>
      <w:r>
        <w:rPr>
          <w:rFonts w:ascii="Calibri" w:cs="Calibri" w:eastAsia="Calibri" w:hAnsi="Calibri"/>
          <w:sz w:val="21"/>
          <w:szCs w:val="21"/>
        </w:rPr>
        <w:t xml:space="preserve">Firma del responsable del contrato · Firma del técnico que ejecuta la prueba · Firma del adjudicatario (o constancia de su negativa)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ACTA DE ENSAYO DE REVERSIBILIDAD ----</w:t>
      </w:r>
    </w:p>
    <w:p>
      <w:pPr>
        <w:spacing w:after="140" w:line="276"/>
      </w:pPr>
      <w:r>
        <w:rPr>
          <w:rFonts w:ascii="Calibri" w:cs="Calibri" w:eastAsia="Calibri" w:hAnsi="Calibri"/>
          <w:i/>
          <w:iCs/>
          <w:sz w:val="21"/>
          <w:szCs w:val="21"/>
        </w:rPr>
        <w:t xml:space="preserve">(Cláusula DT-8·v3, apartado 3: extracción y restitución efectivas de una muestra representativa en un entorno ajeno a la infraestructura del adjudicatario, a su costa.)</w:t>
      </w:r>
    </w:p>
    <w:p>
      <w:pPr>
        <w:spacing w:after="140" w:line="276"/>
      </w:pPr>
      <w:r>
        <w:rPr>
          <w:rFonts w:ascii="Calibri" w:cs="Calibri" w:eastAsia="Calibri" w:hAnsi="Calibri"/>
          <w:b/>
          <w:bCs/>
          <w:sz w:val="21"/>
          <w:szCs w:val="21"/>
        </w:rPr>
        <w:t xml:space="preserve">ACTA DE ENSAYO DE REVERSIBILIDAD N.º ……/……/……</w:t>
      </w:r>
    </w:p>
    <w:p>
      <w:pPr>
        <w:spacing w:after="140" w:line="276"/>
      </w:pPr>
      <w:r>
        <w:rPr>
          <w:rFonts w:ascii="Calibri" w:cs="Calibri" w:eastAsia="Calibri" w:hAnsi="Calibri"/>
          <w:sz w:val="21"/>
          <w:szCs w:val="21"/>
        </w:rPr>
        <w:t xml:space="preserve">Expediente · Contrato · Adjudicatario · Fecha · Hora de inicio y de fin</w:t>
      </w:r>
    </w:p>
    <w:p>
      <w:pPr>
        <w:spacing w:after="140" w:line="276"/>
      </w:pPr>
      <w:r>
        <w:rPr>
          <w:rFonts w:ascii="Calibri" w:cs="Calibri" w:eastAsia="Calibri" w:hAnsi="Calibri"/>
          <w:sz w:val="21"/>
          <w:szCs w:val="21"/>
        </w:rPr>
        <w:t xml:space="preserve">Periodicidad exigida por el pliego: cada </w:t>
      </w:r>
      <w:r>
        <w:rPr>
          <w:rFonts w:ascii="Calibri" w:cs="Calibri" w:eastAsia="Calibri" w:hAnsi="Calibri"/>
          <w:b/>
          <w:bCs/>
          <w:sz w:val="21"/>
          <w:szCs w:val="21"/>
        </w:rPr>
        <w:t xml:space="preserve">[X; se recomienda 24] meses</w:t>
      </w:r>
      <w:r>
        <w:rPr>
          <w:rFonts w:ascii="Calibri" w:cs="Calibri" w:eastAsia="Calibri" w:hAnsi="Calibri"/>
          <w:sz w:val="21"/>
          <w:szCs w:val="21"/>
        </w:rPr>
        <w:t xml:space="preserve">, y en todo caso uno durante el último año.</w:t>
      </w:r>
    </w:p>
    <w:p>
      <w:pPr>
        <w:spacing w:after="140" w:line="276"/>
      </w:pPr>
      <w:r>
        <w:rPr>
          <w:rFonts w:ascii="Calibri" w:cs="Calibri" w:eastAsia="Calibri" w:hAnsi="Calibri"/>
          <w:b/>
          <w:bCs/>
          <w:sz w:val="21"/>
          <w:szCs w:val="21"/>
        </w:rPr>
        <w:t xml:space="preserve">Entorno de destino del ensayo, ajeno a la infraestructura del adjudicatario:</w:t>
      </w:r>
      <w:r>
        <w:rPr>
          <w:rFonts w:ascii="Calibri" w:cs="Calibri" w:eastAsia="Calibri" w:hAnsi="Calibri"/>
          <w:sz w:val="21"/>
          <w:szCs w:val="21"/>
        </w:rPr>
        <w:t xml:space="preserve">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de la muestra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Formato de extracción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¿Restituido y legible en destino?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empleado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Representatividad de la muestra.</w:t>
      </w:r>
      <w:r>
        <w:rPr>
          <w:rFonts w:ascii="Calibri" w:cs="Calibri" w:eastAsia="Calibri" w:hAnsi="Calibri"/>
          <w:sz w:val="21"/>
          <w:szCs w:val="21"/>
        </w:rPr>
        <w:t xml:space="preserve"> Motívese por qué la muestra empleada es representativa del conjunto: …………………… . Sin esta motivación, el ensayo acredita que se movieron unos ficheros, no que la reversión sea posible.</w:t>
      </w:r>
    </w:p>
    <w:p>
      <w:pPr>
        <w:spacing w:after="140" w:line="276"/>
      </w:pPr>
      <w:r>
        <w:rPr>
          <w:rFonts w:ascii="Calibri" w:cs="Calibri" w:eastAsia="Calibri" w:hAnsi="Calibri"/>
          <w:b/>
          <w:bCs/>
          <w:sz w:val="21"/>
          <w:szCs w:val="21"/>
        </w:rPr>
        <w:t xml:space="preserve">Comprobación del Inventario de Componentes.</w:t>
      </w:r>
      <w:r>
        <w:rPr>
          <w:rFonts w:ascii="Calibri" w:cs="Calibri" w:eastAsia="Calibri" w:hAnsi="Calibri"/>
          <w:sz w:val="21"/>
          <w:szCs w:val="21"/>
        </w:rPr>
        <w:t xml:space="preserve"> ☐ Entregado y actualizado, con las cuatro categorías separadas (producto base · desarrollos específicos para el Ayuntamiento · componentes de terceros con su licencia · configuraciones). ☐ No entregado o incompleto. </w:t>
      </w:r>
      <w:r>
        <w:rPr>
          <w:rFonts w:ascii="Calibri" w:cs="Calibri" w:eastAsia="Calibri" w:hAnsi="Calibri"/>
          <w:i/>
          <w:iCs/>
          <w:sz w:val="21"/>
          <w:szCs w:val="21"/>
        </w:rPr>
        <w:t xml:space="preserve">(La falta del Inventario impide tener por cumplida la obligación de reversibilidad.)</w:t>
      </w:r>
    </w:p>
    <w:p>
      <w:pPr>
        <w:spacing w:after="140" w:line="276"/>
      </w:pPr>
      <w:r>
        <w:rPr>
          <w:rFonts w:ascii="Calibri" w:cs="Calibri" w:eastAsia="Calibri" w:hAnsi="Calibri"/>
          <w:b/>
          <w:bCs/>
          <w:sz w:val="21"/>
          <w:szCs w:val="21"/>
        </w:rPr>
        <w:t xml:space="preserve">Resultado.</w:t>
      </w:r>
      <w:r>
        <w:rPr>
          <w:rFonts w:ascii="Calibri" w:cs="Calibri" w:eastAsia="Calibri" w:hAnsi="Calibri"/>
          <w:sz w:val="21"/>
          <w:szCs w:val="21"/>
        </w:rPr>
        <w:t xml:space="preserve"> ☐ Satisfactorio ☐ Satisfactorio con incidencias (se relacionan) ☐ No satisfactorio.</w:t>
      </w:r>
    </w:p>
    <w:p>
      <w:pPr>
        <w:spacing w:after="140" w:line="276"/>
      </w:pPr>
      <w:r>
        <w:rPr>
          <w:rFonts w:ascii="Calibri" w:cs="Calibri" w:eastAsia="Calibri" w:hAnsi="Calibri"/>
          <w:b/>
          <w:bCs/>
          <w:sz w:val="21"/>
          <w:szCs w:val="21"/>
        </w:rPr>
        <w:t xml:space="preserve">Tiempo total empleado:</w:t>
      </w:r>
      <w:r>
        <w:rPr>
          <w:rFonts w:ascii="Calibri" w:cs="Calibri" w:eastAsia="Calibri" w:hAnsi="Calibri"/>
          <w:sz w:val="21"/>
          <w:szCs w:val="21"/>
        </w:rPr>
        <w:t xml:space="preserve"> …… . </w:t>
      </w:r>
      <w:r>
        <w:rPr>
          <w:rFonts w:ascii="Calibri" w:cs="Calibri" w:eastAsia="Calibri" w:hAnsi="Calibri"/>
          <w:b/>
          <w:bCs/>
          <w:sz w:val="21"/>
          <w:szCs w:val="21"/>
        </w:rPr>
        <w:t xml:space="preserve">Estimación de esfuerzo de migración completa que resulta del ensayo:</w:t>
      </w:r>
      <w:r>
        <w:rPr>
          <w:rFonts w:ascii="Calibri" w:cs="Calibri" w:eastAsia="Calibri" w:hAnsi="Calibri"/>
          <w:sz w:val="21"/>
          <w:szCs w:val="21"/>
        </w:rPr>
        <w:t xml:space="preserve"> …… .</w:t>
      </w:r>
    </w:p>
    <w:p>
      <w:pPr>
        <w:spacing w:after="140" w:line="276"/>
      </w:pPr>
      <w:r>
        <w:rPr>
          <w:rFonts w:ascii="Calibri" w:cs="Calibri" w:eastAsia="Calibri" w:hAnsi="Calibri"/>
          <w:b/>
          <w:bCs/>
          <w:sz w:val="21"/>
          <w:szCs w:val="21"/>
        </w:rPr>
        <w:t xml:space="preserve">Actualizaciones que deben incorporarse al Plan de Reversibilidad y al Dossier como consecuencia del ensayo:</w:t>
      </w:r>
      <w:r>
        <w:rPr>
          <w:rFonts w:ascii="Calibri" w:cs="Calibri" w:eastAsia="Calibri" w:hAnsi="Calibri"/>
          <w:sz w:val="21"/>
          <w:szCs w:val="21"/>
        </w:rPr>
        <w:t xml:space="preserve"> ……………………</w:t>
      </w:r>
    </w:p>
    <w:p>
      <w:pPr>
        <w:spacing w:after="140" w:line="276"/>
      </w:pPr>
      <w:r>
        <w:rPr>
          <w:rFonts w:ascii="Calibri" w:cs="Calibri" w:eastAsia="Calibri" w:hAnsi="Calibri"/>
          <w:sz w:val="21"/>
          <w:szCs w:val="21"/>
        </w:rPr>
        <w:t xml:space="preserve">Firma del servicio de informática · Firma del responsable del contrato · Firma del adjudicatario</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sz w:val="21"/>
          <w:szCs w:val="21"/>
        </w:rPr>
        <w:t xml:space="preserve">---- INICIO DEL MODELO C — ACTA DE REVERSIÓN ----</w:t>
      </w:r>
    </w:p>
    <w:p>
      <w:pPr>
        <w:spacing w:after="140" w:line="276"/>
      </w:pPr>
      <w:r>
        <w:rPr>
          <w:rFonts w:ascii="Calibri" w:cs="Calibri" w:eastAsia="Calibri" w:hAnsi="Calibri"/>
          <w:i/>
          <w:iCs/>
          <w:sz w:val="21"/>
          <w:szCs w:val="21"/>
        </w:rPr>
        <w:t xml:space="preserve">(Cláusula DT-8·v3, apartado 8. Es el acta de la que depende el día inicial del plazo de garantía. Su plazo para levantarse es cierto y el silencio juega a favor del contratista: léase el apartado antes de usar este modelo.)</w:t>
      </w:r>
    </w:p>
    <w:p>
      <w:pPr>
        <w:spacing w:after="140" w:line="276"/>
      </w:pPr>
      <w:r>
        <w:rPr>
          <w:rFonts w:ascii="Calibri" w:cs="Calibri" w:eastAsia="Calibri" w:hAnsi="Calibri"/>
          <w:b/>
          <w:bCs/>
          <w:sz w:val="21"/>
          <w:szCs w:val="21"/>
        </w:rPr>
        <w:t xml:space="preserve">ACTA DE REVERSIÓN N.º ……/……/……</w:t>
      </w:r>
    </w:p>
    <w:p>
      <w:pPr>
        <w:spacing w:after="140" w:line="276"/>
      </w:pPr>
      <w:r>
        <w:rPr>
          <w:rFonts w:ascii="Calibri" w:cs="Calibri" w:eastAsia="Calibri" w:hAnsi="Calibri"/>
          <w:sz w:val="21"/>
          <w:szCs w:val="21"/>
        </w:rPr>
        <w:t xml:space="preserve">Expediente · Contrato · Adjudicatario</w:t>
      </w:r>
    </w:p>
    <w:p>
      <w:pPr>
        <w:spacing w:after="140" w:line="276"/>
      </w:pPr>
      <w:r>
        <w:rPr>
          <w:rFonts w:ascii="Calibri" w:cs="Calibri" w:eastAsia="Calibri" w:hAnsi="Calibri"/>
          <w:b/>
          <w:bCs/>
          <w:sz w:val="21"/>
          <w:szCs w:val="21"/>
        </w:rPr>
        <w:t xml:space="preserve">Fecha de la comunicación de entrega íntegra por el adjudicatario:</w:t>
      </w:r>
      <w:r>
        <w:rPr>
          <w:rFonts w:ascii="Calibri" w:cs="Calibri" w:eastAsia="Calibri" w:hAnsi="Calibri"/>
          <w:sz w:val="21"/>
          <w:szCs w:val="21"/>
        </w:rPr>
        <w:t xml:space="preserve"> …… / …… / ……</w:t>
      </w:r>
    </w:p>
    <w:p>
      <w:pPr>
        <w:spacing w:after="140" w:line="276"/>
      </w:pPr>
      <w:r>
        <w:rPr>
          <w:rFonts w:ascii="Calibri" w:cs="Calibri" w:eastAsia="Calibri" w:hAnsi="Calibri"/>
          <w:b/>
          <w:bCs/>
          <w:sz w:val="21"/>
          <w:szCs w:val="21"/>
        </w:rPr>
        <w:t xml:space="preserve">Fecha de levantamiento de la presente acta:</w:t>
      </w:r>
      <w:r>
        <w:rPr>
          <w:rFonts w:ascii="Calibri" w:cs="Calibri" w:eastAsia="Calibri" w:hAnsi="Calibri"/>
          <w:sz w:val="21"/>
          <w:szCs w:val="21"/>
        </w:rPr>
        <w:t xml:space="preserve"> …… / …… / …… · </w:t>
      </w:r>
      <w:r>
        <w:rPr>
          <w:rFonts w:ascii="Calibri" w:cs="Calibri" w:eastAsia="Calibri" w:hAnsi="Calibri"/>
          <w:b/>
          <w:bCs/>
          <w:sz w:val="21"/>
          <w:szCs w:val="21"/>
        </w:rPr>
        <w:t xml:space="preserve">Plazo del pliego: [X; se recomienda 15] días hábiles desde aquella comunicación.</w:t>
      </w:r>
    </w:p>
    <w:p>
      <w:pPr>
        <w:spacing w:after="140" w:line="276"/>
      </w:pPr>
      <w:r>
        <w:rPr>
          <w:rFonts w:ascii="Calibri" w:cs="Calibri" w:eastAsia="Calibri" w:hAnsi="Calibri"/>
          <w:b/>
          <w:bCs/>
          <w:sz w:val="21"/>
          <w:szCs w:val="21"/>
        </w:rPr>
        <w:t xml:space="preserve">Relación de lo entregado</w:t>
      </w:r>
      <w:r>
        <w:rPr>
          <w:rFonts w:ascii="Calibri" w:cs="Calibri" w:eastAsia="Calibri" w:hAnsi="Calibri"/>
          <w:sz w:val="21"/>
          <w:szCs w:val="21"/>
        </w:rPr>
        <w:t xml:space="preserve"> </w:t>
      </w:r>
      <w:r>
        <w:rPr>
          <w:rFonts w:ascii="Calibri" w:cs="Calibri" w:eastAsia="Calibri" w:hAnsi="Calibri"/>
          <w:i/>
          <w:iCs/>
          <w:sz w:val="21"/>
          <w:szCs w:val="21"/>
        </w:rPr>
        <w:t xml:space="preserve">(una fila por cada letra del apartado 1 de la cláusula de reversibilidad efectivamente incorporada al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Soporte y formato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Suma de 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¿Completo?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y sus metadatos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Código de los desarrollos específicos, fuente y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Prompts corporativos, bases de conocimiento y modelos ajustados con datos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construcción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supresión de datos personales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de continuidad, con fechas de inicio y fin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Defectos apreciados y plazo de subsanación otorgado:</w:t>
      </w:r>
      <w:r>
        <w:rPr>
          <w:rFonts w:ascii="Calibri" w:cs="Calibri" w:eastAsia="Calibri" w:hAnsi="Calibri"/>
          <w:sz w:val="21"/>
          <w:szCs w:val="21"/>
        </w:rPr>
        <w:t xml:space="preserve"> …………………… · Plazo: …………</w:t>
      </w:r>
    </w:p>
    <w:p>
      <w:pPr>
        <w:spacing w:after="140" w:line="276"/>
      </w:pPr>
      <w:r>
        <w:rPr>
          <w:rFonts w:ascii="Calibri" w:cs="Calibri" w:eastAsia="Calibri" w:hAnsi="Calibri"/>
          <w:b/>
          <w:bCs/>
          <w:sz w:val="21"/>
          <w:szCs w:val="21"/>
        </w:rPr>
        <w:t xml:space="preserve">Efectos que se hacen constar expresamente.</w:t>
      </w:r>
    </w:p>
    <w:p>
      <w:pPr>
        <w:pStyle w:val="ListParagraph"/>
        <w:numPr>
          <w:ilvl w:val="0"/>
          <w:numId w:val="2"/>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plazo de garantía del contrato</w:t>
      </w:r>
      <w:r>
        <w:rPr>
          <w:rFonts w:ascii="Calibri" w:cs="Calibri" w:eastAsia="Calibri" w:hAnsi="Calibri"/>
          <w:sz w:val="21"/>
          <w:szCs w:val="21"/>
        </w:rPr>
        <w:t xml:space="preserve">, de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se computa desde la fecha de la presente acta.</w:t>
      </w:r>
    </w:p>
    <w:p>
      <w:pPr>
        <w:pStyle w:val="ListParagraph"/>
        <w:numPr>
          <w:ilvl w:val="0"/>
          <w:numId w:val="2"/>
        </w:numPr>
        <w:spacing w:after="70" w:line="268"/>
      </w:pPr>
      <w:r>
        <w:rPr>
          <w:rFonts w:ascii="Calibri" w:cs="Calibri" w:eastAsia="Calibri" w:hAnsi="Calibri"/>
          <w:sz w:val="21"/>
          <w:szCs w:val="21"/>
        </w:rPr>
        <w:t xml:space="preserve">Si esta acta no se hubiera levantado dentro del plazo indicado y sin que el Ayuntamiento hubiera formulado objeciones, la reversión se tendría por conforme a todos los efectos y el plazo de garantía se computaría desde el día siguiente al vencimiento de dicho plazo.</w:t>
      </w:r>
    </w:p>
    <w:p>
      <w:pPr>
        <w:pStyle w:val="ListParagraph"/>
        <w:numPr>
          <w:ilvl w:val="0"/>
          <w:numId w:val="2"/>
        </w:numPr>
        <w:spacing w:after="70" w:line="268"/>
      </w:pPr>
      <w:r>
        <w:rPr>
          <w:rFonts w:ascii="Calibri" w:cs="Calibri" w:eastAsia="Calibri" w:hAnsi="Calibri"/>
          <w:sz w:val="21"/>
          <w:szCs w:val="21"/>
        </w:rPr>
        <w:t xml:space="preserve">El acceso de los órganos de control se mantiene en los términos de la cláusula correspondiente del pliego y del Anexo X.1, fila 8.</w:t>
      </w:r>
    </w:p>
    <w:p>
      <w:pPr>
        <w:spacing w:after="140" w:line="276"/>
      </w:pPr>
      <w:r>
        <w:rPr>
          <w:rFonts w:ascii="Calibri" w:cs="Calibri" w:eastAsia="Calibri" w:hAnsi="Calibri"/>
          <w:sz w:val="21"/>
          <w:szCs w:val="21"/>
        </w:rPr>
        <w:t xml:space="preserve">Firma del responsable del contrato · Firma del servicio de informática · Firma del adjudicatario</w:t>
      </w:r>
    </w:p>
    <w:p>
      <w:pPr>
        <w:spacing w:after="140" w:line="276"/>
      </w:pPr>
      <w:r>
        <w:rPr>
          <w:rFonts w:ascii="Calibri" w:cs="Calibri" w:eastAsia="Calibri" w:hAnsi="Calibri"/>
          <w:sz w:val="21"/>
          <w:szCs w:val="21"/>
        </w:rPr>
        <w:t xml:space="preserve">---- FIN DEL MODELO C ----</w:t>
      </w:r>
    </w:p>
    <w:p>
      <w:pPr>
        <w:spacing w:after="140" w:line="276"/>
      </w:pPr>
      <w:r>
        <w:rPr>
          <w:rFonts w:ascii="Calibri" w:cs="Calibri" w:eastAsia="Calibri" w:hAnsi="Calibri"/>
          <w:sz w:val="21"/>
          <w:szCs w:val="21"/>
        </w:rPr>
        <w:t xml:space="preserve">---- INICIO DEL MODELO D — ACTA DE LA COMISIÓN DE SEGUIMIENTO ----</w:t>
      </w:r>
    </w:p>
    <w:p>
      <w:pPr>
        <w:spacing w:after="140" w:line="276"/>
      </w:pPr>
      <w:r>
        <w:rPr>
          <w:rFonts w:ascii="Calibri" w:cs="Calibri" w:eastAsia="Calibri" w:hAnsi="Calibri"/>
          <w:i/>
          <w:iCs/>
          <w:sz w:val="21"/>
          <w:szCs w:val="21"/>
        </w:rPr>
        <w:t xml:space="preserve">(Cláusula ADM-4·v3, apartado 2. Sus actas son medio tasado de acreditación del cumplimiento y </w:t>
      </w:r>
      <w:r>
        <w:rPr>
          <w:rFonts w:ascii="Calibri" w:cs="Calibri" w:eastAsia="Calibri" w:hAnsi="Calibri"/>
          <w:i/>
          <w:iCs/>
          <w:sz w:val="21"/>
          <w:szCs w:val="21"/>
        </w:rPr>
        <w:t xml:space="preserve">son el documento donde se aprueban los hitos que pueden llegar a ser esenciales</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ACTA N.º ……/……/…… DE LA COMISIÓN DE SEGUIMIENTO</w:t>
      </w:r>
    </w:p>
    <w:p>
      <w:pPr>
        <w:spacing w:after="140" w:line="276"/>
      </w:pPr>
      <w:r>
        <w:rPr>
          <w:rFonts w:ascii="Calibri" w:cs="Calibri" w:eastAsia="Calibri" w:hAnsi="Calibri"/>
          <w:sz w:val="21"/>
          <w:szCs w:val="21"/>
        </w:rPr>
        <w:t xml:space="preserve">Expediente · Contrato · Adjudicatario · Fecha · Hora de inicio y de fin · Lugar o medio</w:t>
      </w:r>
    </w:p>
    <w:p>
      <w:pPr>
        <w:spacing w:after="140" w:line="276"/>
      </w:pPr>
      <w:r>
        <w:rPr>
          <w:rFonts w:ascii="Calibri" w:cs="Calibri" w:eastAsia="Calibri" w:hAnsi="Calibri"/>
          <w:sz w:val="21"/>
          <w:szCs w:val="21"/>
        </w:rPr>
        <w:t xml:space="preserve">Sesión: ☐ Ordinaria ☐ Extraordinaria, a petición de ……………… , por concurrir el hecho relevante siguiente: ………………</w:t>
      </w:r>
    </w:p>
    <w:p>
      <w:pPr>
        <w:spacing w:after="140" w:line="276"/>
      </w:pPr>
      <w:r>
        <w:rPr>
          <w:rFonts w:ascii="Calibri" w:cs="Calibri" w:eastAsia="Calibri" w:hAnsi="Calibri"/>
          <w:sz w:val="21"/>
          <w:szCs w:val="21"/>
        </w:rPr>
        <w:t xml:space="preserve">Convocatoria cursada el …… / …… / …… · Antelación: </w:t>
      </w:r>
      <w:r>
        <w:rPr>
          <w:rFonts w:ascii="Calibri" w:cs="Calibri" w:eastAsia="Calibri" w:hAnsi="Calibri"/>
          <w:b/>
          <w:bCs/>
          <w:sz w:val="21"/>
          <w:szCs w:val="21"/>
        </w:rPr>
        <w:t xml:space="preserve">[X; se recomienda 10] días</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Asistentes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(preside)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 la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del órgano interventor </w:t>
            </w:r>
            <w:r>
              <w:rPr>
                <w:rFonts w:ascii="Calibri" w:cs="Calibri" w:eastAsia="Calibri" w:hAnsi="Calibri"/>
                <w:b w:val="false"/>
                <w:bCs w:val="false"/>
                <w:i/>
                <w:iCs/>
                <w:sz w:val="18"/>
                <w:szCs w:val="18"/>
              </w:rPr>
              <w:t xml:space="preserve">(si el contrato incorpora la condición especial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adjudicatario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 </w:t>
      </w:r>
      <w:r>
        <w:rPr>
          <w:rFonts w:ascii="Calibri" w:cs="Calibri" w:eastAsia="Calibri" w:hAnsi="Calibri"/>
          <w:b/>
          <w:bCs/>
          <w:sz w:val="21"/>
          <w:szCs w:val="21"/>
        </w:rPr>
        <w:t xml:space="preserve">Inasistencia no justificada del adjudicatario</w:t>
      </w:r>
      <w:r>
        <w:rPr>
          <w:rFonts w:ascii="Calibri" w:cs="Calibri" w:eastAsia="Calibri" w:hAnsi="Calibri"/>
          <w:sz w:val="21"/>
          <w:szCs w:val="21"/>
        </w:rPr>
        <w:t xml:space="preserve">, convocado con la antelación exigida. Se hace constar a los efectos del cuadro de penalidades del pliego.</w:t>
      </w:r>
    </w:p>
    <w:p>
      <w:pPr>
        <w:spacing w:after="140" w:line="276"/>
      </w:pPr>
      <w:r>
        <w:rPr>
          <w:rFonts w:ascii="Calibri" w:cs="Calibri" w:eastAsia="Calibri" w:hAnsi="Calibri"/>
          <w:b/>
          <w:bCs/>
          <w:sz w:val="21"/>
          <w:szCs w:val="21"/>
        </w:rPr>
        <w:t xml:space="preserve">Orden del día y acuerdos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Lo tratado y acordado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cada exigencia del Catálogo de Exigencias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condición especial de ejecución, una por 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las certificaciones o sistemas de gestión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Indicadores de servicio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 de servicios evolutivos </w:t>
            </w:r>
            <w:r>
              <w:rPr>
                <w:rFonts w:ascii="Calibri" w:cs="Calibri" w:eastAsia="Calibri" w:hAnsi="Calibri"/>
                <w:b w:val="false"/>
                <w:bCs w:val="false"/>
                <w:i/>
                <w:iCs/>
                <w:sz w:val="18"/>
                <w:szCs w:val="18"/>
              </w:rPr>
              <w:t xml:space="preserve">(si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registradas y su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 presentación, contenido y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Aprobación expresa de hitos</w:t>
            </w:r>
            <w:r>
              <w:rPr>
                <w:rFonts w:ascii="Calibri" w:cs="Calibri" w:eastAsia="Calibri" w:hAnsi="Calibri"/>
                <w:b w:val="false"/>
                <w:bCs w:val="false"/>
                <w:sz w:val="18"/>
                <w:szCs w:val="18"/>
              </w:rPr>
              <w:t xml:space="preserve"> </w:t>
            </w:r>
            <w:r>
              <w:rPr>
                <w:rFonts w:ascii="Calibri" w:cs="Calibri" w:eastAsia="Calibri" w:hAnsi="Calibri"/>
                <w:b w:val="false"/>
                <w:bCs w:val="false"/>
                <w:i/>
                <w:iCs/>
                <w:sz w:val="18"/>
                <w:szCs w:val="18"/>
              </w:rPr>
              <w:t xml:space="preserve">(véase el cuadro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Propuesta, en su caso, de imposición de penalidades o de incoación del procedimiento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Cuadro 8 · Aprobación expresa de hitos del Plan Anual</w:t>
      </w:r>
    </w:p>
    <w:p>
      <w:pPr>
        <w:spacing w:after="140" w:line="276"/>
      </w:pPr>
      <w:r>
        <w:rPr>
          <w:rFonts w:ascii="Calibri" w:cs="Calibri" w:eastAsia="Calibri" w:hAnsi="Calibri"/>
          <w:i/>
          <w:iCs/>
          <w:sz w:val="21"/>
          <w:szCs w:val="21"/>
        </w:rPr>
        <w:t xml:space="preserve">Advertencia que forma parte del acta: </w:t>
      </w:r>
      <w:r>
        <w:rPr>
          <w:rFonts w:ascii="Calibri" w:cs="Calibri" w:eastAsia="Calibri" w:hAnsi="Calibri"/>
          <w:i/>
          <w:iCs/>
          <w:sz w:val="21"/>
          <w:szCs w:val="21"/>
        </w:rPr>
        <w:t xml:space="preserve">sólo los hitos que se aprueben en este cuadro, con fecha cierta, adquieren carácter de obligación contractual esencial.</w:t>
      </w:r>
      <w:r>
        <w:rPr>
          <w:rFonts w:ascii="Calibri" w:cs="Calibri" w:eastAsia="Calibri" w:hAnsi="Calibri"/>
          <w:sz w:val="21"/>
          <w:szCs w:val="21"/>
        </w:rPr>
        <w:t xml:space="preserve">* Los hitos propuestos y no aprobados no lo adquieren, y así se les comunica al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que se aprueba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Acuerdo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Aprobado ☐ No aprobado ☐ Aprobado con modificación de fecha</w:t>
            </w:r>
          </w:p>
        </w:tc>
      </w:tr>
    </w:tbl>
    <w:p>
      <w:pPr>
        <w:spacing w:after="200"/>
      </w:pPr>
    </w:p>
    <w:p>
      <w:pPr>
        <w:spacing w:after="140" w:line="276"/>
      </w:pPr>
      <w:r>
        <w:rPr>
          <w:rFonts w:ascii="Calibri" w:cs="Calibri" w:eastAsia="Calibri" w:hAnsi="Calibri"/>
          <w:b/>
          <w:bCs/>
          <w:sz w:val="21"/>
          <w:szCs w:val="21"/>
        </w:rPr>
        <w:t xml:space="preserve">Observaciones del adjudicatario, que se hacen constar a su instancia:</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Constancia final.</w:t>
      </w:r>
      <w:r>
        <w:rPr>
          <w:rFonts w:ascii="Calibri" w:cs="Calibri" w:eastAsia="Calibri" w:hAnsi="Calibri"/>
          <w:sz w:val="21"/>
          <w:szCs w:val="21"/>
        </w:rPr>
        <w:t xml:space="preserve"> Esta acta se incorpora al expediente de ejecución del contrato y se notifica al adjudicatario. La aprobación de hitos que contiene la adopta el órgano de contratación, previo informe del responsable del contrato, y se documenta aquí; </w:t>
      </w:r>
      <w:r>
        <w:rPr>
          <w:rFonts w:ascii="Calibri" w:cs="Calibri" w:eastAsia="Calibri" w:hAnsi="Calibri"/>
          <w:b/>
          <w:bCs/>
          <w:sz w:val="21"/>
          <w:szCs w:val="21"/>
        </w:rPr>
        <w:t xml:space="preserve">cuando el órgano de contratación no sea quien preside la Comisión, la aprobación surte efecto desde su resolución, que se une a esta acta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Firmas de los asistentes</w:t>
      </w:r>
    </w:p>
    <w:p>
      <w:pPr>
        <w:spacing w:after="140" w:line="276"/>
      </w:pPr>
      <w:r>
        <w:rPr>
          <w:rFonts w:ascii="Calibri" w:cs="Calibri" w:eastAsia="Calibri" w:hAnsi="Calibri"/>
          <w:sz w:val="21"/>
          <w:szCs w:val="21"/>
        </w:rPr>
        <w:t xml:space="preserve">---- FIN DEL MODELO D ----</w:t>
      </w:r>
    </w:p>
    <w:p>
      <w:pPr>
        <w:spacing w:after="140" w:line="276"/>
      </w:pPr>
      <w:r>
        <w:rPr>
          <w:rFonts w:ascii="Calibri" w:cs="Calibri" w:eastAsia="Calibri" w:hAnsi="Calibri"/>
          <w:sz w:val="21"/>
          <w:szCs w:val="21"/>
        </w:rPr>
        <w:t xml:space="preserve">---- INICIO DEL MODELO E — DILIGENCIA DE COMPROBACIÓN DEL ACCESO DE LOS ÓRGANOS DE CONTROL Y DE LA EXPORTACIÓN DE DATOS ----</w:t>
      </w:r>
    </w:p>
    <w:p>
      <w:pPr>
        <w:spacing w:after="140" w:line="276"/>
      </w:pPr>
      <w:r>
        <w:rPr>
          <w:rFonts w:ascii="Calibri" w:cs="Calibri" w:eastAsia="Calibri" w:hAnsi="Calibri"/>
          <w:i/>
          <w:iCs/>
          <w:sz w:val="21"/>
          <w:szCs w:val="21"/>
        </w:rPr>
        <w:t xml:space="preserve">(Cláusula ADM-12·v3. Comprobación anual, a cargo del órgano interventor.)</w:t>
      </w:r>
    </w:p>
    <w:p>
      <w:pPr>
        <w:spacing w:after="140" w:line="276"/>
      </w:pPr>
      <w:r>
        <w:rPr>
          <w:rFonts w:ascii="Calibri" w:cs="Calibri" w:eastAsia="Calibri" w:hAnsi="Calibri"/>
          <w:b/>
          <w:bCs/>
          <w:sz w:val="21"/>
          <w:szCs w:val="21"/>
        </w:rPr>
        <w:t xml:space="preserve">DILIGENCIA N.º ……/……/…… · COMPROBACIÓN ANUAL</w:t>
      </w:r>
    </w:p>
    <w:p>
      <w:pPr>
        <w:spacing w:after="140" w:line="276"/>
      </w:pPr>
      <w:r>
        <w:rPr>
          <w:rFonts w:ascii="Calibri" w:cs="Calibri" w:eastAsia="Calibri" w:hAnsi="Calibri"/>
          <w:sz w:val="21"/>
          <w:szCs w:val="21"/>
        </w:rPr>
        <w:t xml:space="preserve">Expediente · Contrato · Adjudicatario · Fecha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w:t>
            </w:r>
            <w:r>
              <w:rPr>
                <w:rFonts w:ascii="Calibri" w:cs="Calibri" w:eastAsia="Calibri" w:hAnsi="Calibri"/>
                <w:b/>
                <w:bCs/>
                <w:sz w:val="18"/>
                <w:szCs w:val="18"/>
              </w:rPr>
              <w:t xml:space="preserve">[X; se recomienda 3] accesos nominativos</w:t>
            </w:r>
            <w:r>
              <w:rPr>
                <w:rFonts w:ascii="Calibri" w:cs="Calibri" w:eastAsia="Calibri" w:hAnsi="Calibri"/>
                <w:b w:val="false"/>
                <w:bCs w:val="false"/>
                <w:sz w:val="18"/>
                <w:szCs w:val="18"/>
              </w:rPr>
              <w:t xml:space="preserve"> de consulta están operativos y a nombre del personal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funcional del acceso se corresponde con el definido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en formato abierto, reutilizable y documentado se obtiene </w:t>
            </w:r>
            <w:r>
              <w:rPr>
                <w:rFonts w:ascii="Calibri" w:cs="Calibri" w:eastAsia="Calibri" w:hAnsi="Calibri"/>
                <w:b/>
                <w:bCs/>
                <w:sz w:val="18"/>
                <w:szCs w:val="18"/>
              </w:rPr>
              <w:t xml:space="preserve">sin desarrollo a medida y sin coste por consulta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comprende los datos que acreditan la realidad de la prestación, el grado de cumplimiento de los niveles de servicio y los datos económicos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w:t>
            </w:r>
            <w:r>
              <w:rPr>
                <w:rFonts w:ascii="Calibri" w:cs="Calibri" w:eastAsia="Calibri" w:hAnsi="Calibri"/>
                <w:b/>
                <w:bCs/>
                <w:sz w:val="18"/>
                <w:szCs w:val="18"/>
              </w:rPr>
              <w:t xml:space="preserve">diccionario de datos</w:t>
            </w:r>
            <w:r>
              <w:rPr>
                <w:rFonts w:ascii="Calibri" w:cs="Calibri" w:eastAsia="Calibri" w:hAnsi="Calibri"/>
                <w:b w:val="false"/>
                <w:bCs w:val="false"/>
                <w:sz w:val="18"/>
                <w:szCs w:val="18"/>
              </w:rPr>
              <w:t xml:space="preserve"> está entregado, actualizado a la última versión mayor en producción, y permite interpretar lo extraído </w:t>
            </w:r>
            <w:r>
              <w:rPr>
                <w:rFonts w:ascii="Calibri" w:cs="Calibri" w:eastAsia="Calibri" w:hAnsi="Calibri"/>
                <w:b/>
                <w:bCs/>
                <w:sz w:val="18"/>
                <w:szCs w:val="18"/>
              </w:rPr>
              <w:t xml:space="preserve">sin asistencia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registro de actividad permite determinar qué operación se realizó, cuándo, por quién o por qué proceso automatizado y con qué resultado, y es exportable en los mismos términos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ha facturado ni tarificado consulta alguna con cargo a estos accesos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Prueba efectivamente realizada:</w:t>
      </w:r>
      <w:r>
        <w:rPr>
          <w:rFonts w:ascii="Calibri" w:cs="Calibri" w:eastAsia="Calibri" w:hAnsi="Calibri"/>
          <w:sz w:val="21"/>
          <w:szCs w:val="21"/>
        </w:rPr>
        <w:t xml:space="preserve"> descríbase la extracción concreta ejecutada, con fecha, alcance y resultado: …………………… . </w:t>
      </w:r>
      <w:r>
        <w:rPr>
          <w:rFonts w:ascii="Calibri" w:cs="Calibri" w:eastAsia="Calibri" w:hAnsi="Calibri"/>
          <w:i/>
          <w:iCs/>
          <w:sz w:val="21"/>
          <w:szCs w:val="21"/>
        </w:rPr>
        <w:t xml:space="preserve">(Una diligencia que sólo declare que el acceso «está disponible» no comprueba nada: la comprobación es una extracción.)</w:t>
      </w:r>
    </w:p>
    <w:p>
      <w:pPr>
        <w:spacing w:after="140" w:line="276"/>
      </w:pPr>
      <w:r>
        <w:rPr>
          <w:rFonts w:ascii="Calibri" w:cs="Calibri" w:eastAsia="Calibri" w:hAnsi="Calibri"/>
          <w:b/>
          <w:bCs/>
          <w:sz w:val="21"/>
          <w:szCs w:val="21"/>
        </w:rPr>
        <w:t xml:space="preserve">Incidencias y requerimiento formulado, en su caso:</w:t>
      </w:r>
      <w:r>
        <w:rPr>
          <w:rFonts w:ascii="Calibri" w:cs="Calibri" w:eastAsia="Calibri" w:hAnsi="Calibri"/>
          <w:sz w:val="21"/>
          <w:szCs w:val="21"/>
        </w:rPr>
        <w:t xml:space="preserve"> …………………… · Plazo otorgado: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 del órgano interventor · Firma del responsable del contrato</w:t>
      </w:r>
    </w:p>
    <w:p>
      <w:pPr>
        <w:spacing w:after="140" w:line="276"/>
      </w:pPr>
      <w:r>
        <w:rPr>
          <w:rFonts w:ascii="Calibri" w:cs="Calibri" w:eastAsia="Calibri" w:hAnsi="Calibri"/>
          <w:sz w:val="21"/>
          <w:szCs w:val="21"/>
        </w:rPr>
        <w:t xml:space="preserve">---- FIN DEL MODELO E ----</w:t>
      </w:r>
    </w:p>
    <w:p>
      <w:pPr>
        <w:spacing w:after="140" w:line="276"/>
      </w:pPr>
      <w:r>
        <w:rPr>
          <w:rFonts w:ascii="Calibri" w:cs="Calibri" w:eastAsia="Calibri" w:hAnsi="Calibri"/>
          <w:b/>
          <w:bCs/>
          <w:sz w:val="21"/>
          <w:szCs w:val="21"/>
        </w:rPr>
        <w:t xml:space="preserve">Nota sobre el acta de la demostración funcional.</w:t>
      </w:r>
      <w:r>
        <w:rPr>
          <w:rFonts w:ascii="Calibri" w:cs="Calibri" w:eastAsia="Calibri" w:hAnsi="Calibri"/>
          <w:sz w:val="21"/>
          <w:szCs w:val="21"/>
        </w:rPr>
        <w:t xml:space="preserve"> Su modelo no figura aquí: va con el guion y la relación cerrada de elementos verificables, en el </w:t>
      </w:r>
      <w:r>
        <w:rPr>
          <w:rFonts w:ascii="Calibri" w:cs="Calibri" w:eastAsia="Calibri" w:hAnsi="Calibri"/>
          <w:b/>
          <w:bCs/>
          <w:sz w:val="21"/>
          <w:szCs w:val="21"/>
        </w:rPr>
        <w:t xml:space="preserve">Anexo XX</w:t>
      </w:r>
      <w:r>
        <w:rPr>
          <w:rFonts w:ascii="Calibri" w:cs="Calibri" w:eastAsia="Calibri" w:hAnsi="Calibri"/>
          <w:sz w:val="21"/>
          <w:szCs w:val="21"/>
        </w:rPr>
        <w:t xml:space="preserve">, porque los tres se publican juntos como anexo del PCAP y se leen juntos.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XIX · EXTRACTO DE VIGENCIA NORMATIVA TRANSCRIBIBLE AL PLIEGO DE PRESCRIPCIONES TÉCNICAS</w:t>
      </w:r>
    </w:p>
    <w:p>
      <w:pPr>
        <w:spacing w:after="140" w:line="276"/>
      </w:pPr>
      <w:r>
        <w:rPr>
          <w:rFonts w:ascii="Calibri" w:cs="Calibri" w:eastAsia="Calibri" w:hAnsi="Calibri"/>
          <w:sz w:val="21"/>
          <w:szCs w:val="21"/>
        </w:rPr>
        <w:t xml:space="preserve">Función: entregar el texto que la cláusula DT-1·v3 invoca cuatro veces cuando habla del «anexo de vigencia normativa de este pliego». El Anexo XI de este catálogo es un instrumento de trabajo del expediente y no se copia a ningún pliego; lo que sí se copia es este extracto, recortado a las cláusulas incorporadas. Sin él, DT-1·v3 remite a un anexo del pliego que nadie ha escrito.</w:t>
      </w:r>
    </w:p>
    <w:p>
      <w:pPr>
        <w:spacing w:after="140" w:line="276"/>
      </w:pPr>
      <w:r>
        <w:rPr>
          <w:rFonts w:ascii="Calibri" w:cs="Calibri" w:eastAsia="Calibri" w:hAnsi="Calibri"/>
          <w:b/>
          <w:bCs/>
          <w:sz w:val="21"/>
          <w:szCs w:val="21"/>
        </w:rPr>
        <w:t xml:space="preserve">Instrucciones de uso.</w:t>
      </w:r>
      <w:r>
        <w:rPr>
          <w:rFonts w:ascii="Calibri" w:cs="Calibri" w:eastAsia="Calibri" w:hAnsi="Calibri"/>
          <w:sz w:val="21"/>
          <w:szCs w:val="21"/>
        </w:rPr>
        <w:t xml:space="preserve"> (1) Se transcribe físicamente en el PPT, con su </w:t>
      </w:r>
      <w:r>
        <w:rPr>
          <w:rFonts w:ascii="Calibri" w:cs="Calibri" w:eastAsia="Calibri" w:hAnsi="Calibri"/>
          <w:b/>
          <w:bCs/>
          <w:sz w:val="21"/>
          <w:szCs w:val="21"/>
        </w:rPr>
        <w:t xml:space="preserve">fecha de corte</w:t>
      </w:r>
      <w:r>
        <w:rPr>
          <w:rFonts w:ascii="Calibri" w:cs="Calibri" w:eastAsia="Calibri" w:hAnsi="Calibri"/>
          <w:sz w:val="21"/>
          <w:szCs w:val="21"/>
        </w:rPr>
        <w:t xml:space="preserve">, y no se incorpora por remisión. (2) Se recorta a las materias de las cláusulas efectivamente incorporadas: las filas huérfanas se borran. (3) La fecha de corte del extracto que se transcriba a un pliego es la de la última revisión anual del Anexo XI aprobada; si no se ha revisado, la del Anexo XI vigente, y se dice cuál es. (4) Las tres comprobaciones del Anexo XI.3 se resuelven </w:t>
      </w:r>
      <w:r>
        <w:rPr>
          <w:rFonts w:ascii="Calibri" w:cs="Calibri" w:eastAsia="Calibri" w:hAnsi="Calibri"/>
          <w:b/>
          <w:bCs/>
          <w:sz w:val="21"/>
          <w:szCs w:val="21"/>
        </w:rPr>
        <w:t xml:space="preserve">antes</w:t>
      </w:r>
      <w:r>
        <w:rPr>
          <w:rFonts w:ascii="Calibri" w:cs="Calibri" w:eastAsia="Calibri" w:hAnsi="Calibri"/>
          <w:sz w:val="21"/>
          <w:szCs w:val="21"/>
        </w:rPr>
        <w:t xml:space="preserve"> de transcribirlo, o las filas afectadas no se transcriben.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[N] · VIGENCIA NORMATIVA DE LAS EXIGENCIAS DE ESTE PLIEGO</w:t>
            </w:r>
          </w:p>
          <w:p>
            <w:pPr>
              <w:spacing w:after="100" w:line="264"/>
            </w:pPr>
            <w:r>
              <w:rPr>
                <w:rFonts w:ascii="Georgia" w:cs="Georgia" w:eastAsia="Georgia" w:hAnsi="Georgia"/>
                <w:i/>
                <w:iCs/>
                <w:sz w:val="20"/>
                <w:szCs w:val="20"/>
              </w:rPr>
              <w:t xml:space="preserve">(Fecha de corte: …… / …… / ……)</w:t>
            </w:r>
          </w:p>
          <w:p>
            <w:pPr>
              <w:spacing w:after="100" w:line="264"/>
            </w:pPr>
            <w:r>
              <w:rPr>
                <w:rFonts w:ascii="Georgia" w:cs="Georgia" w:eastAsia="Georgia" w:hAnsi="Georgia"/>
                <w:b/>
                <w:bCs/>
                <w:sz w:val="20"/>
                <w:szCs w:val="20"/>
              </w:rPr>
              <w:t xml:space="preserve">1. Objeto de este apéndice.</w:t>
            </w:r>
            <w:r>
              <w:rPr>
                <w:rFonts w:ascii="Georgia" w:cs="Georgia" w:eastAsia="Georgia" w:hAnsi="Georgia"/>
                <w:sz w:val="20"/>
                <w:szCs w:val="20"/>
              </w:rPr>
              <w:t xml:space="preserve"> Este pliego distingue expresamente entre las obligaciones que una norma en vigor ya impone y las que el Ayuntamiento anticipa como exigencia contractual. La distinción se hace para que el licitador pueda valorar el coste de cada una y para que ninguna exigencia se presente como obligación legal vigente sin serlo.</w:t>
            </w:r>
          </w:p>
          <w:p>
            <w:pPr>
              <w:spacing w:after="100" w:line="264"/>
            </w:pPr>
            <w:r>
              <w:rPr>
                <w:rFonts w:ascii="Georgia" w:cs="Georgia" w:eastAsia="Georgia" w:hAnsi="Georgia"/>
                <w:b/>
                <w:bCs/>
                <w:sz w:val="20"/>
                <w:szCs w:val="20"/>
              </w:rPr>
              <w:t xml:space="preserve">2. Cuadro de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 exigida en este 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¿La impone hoy una norma en vigor?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Desde cuándo, o desde cuándo lo será</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inteligencia artificial y alfabetización en materia de IA (arts. 4 y 5 del 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febrero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sobre la interacción con sistemas de IA y sobre el contenido generado (art. 50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2026, con el régimen transitorio de su art. 111 para los sistemas ya introducidos en el mercado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(capítulo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2 de diciembre de 2027 para los sistemas del art. 6.2 y del anexo III, y el 2 de agosto de 2028 para los del art. 6.1 y del anexo I, conforme al Reglamento (UE) 2026/1744, de 8 de julio de 2026. </w:t>
                  </w:r>
                  <w:r>
                    <w:rPr>
                      <w:rFonts w:ascii="Calibri" w:cs="Calibri" w:eastAsia="Calibri" w:hAnsi="Calibri"/>
                      <w:b/>
                      <w:bCs/>
                      <w:sz w:val="18"/>
                      <w:szCs w:val="18"/>
                    </w:rPr>
                    <w:t xml:space="preserve">Lo que este pliego exige hoy es la entrega de la documentación y de los medios que permitirán cumplirlas: instrucciones de uso, información técnica, registros y capacidad de supervisión humana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el 2 de agosto de 2030, conforme al art. 111, apartado 2, del Reglamento (UE) 2024/1689, en su redacción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personales: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2016/679 y Ley Orgánica 3/2018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y 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de la Ley 40/2015 y art. 22 del Reglamento (UE) 2016/679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su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del Real Decreto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utilización de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Real Decreto 4/2010 y Ley 39/2015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las aplicaciones y su puesta a disposición de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157 y 158 de la Ley 40/2015; art. 308.1 de la Ley 9/2017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del texto refundido de la Ley reguladora de las Haciendas Locales y Real Decreto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viene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que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conforme a la norma designada en este pliego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con las alternativas de acreditación que en él se establecen. Se hace constar que esta certificación </w:t>
                  </w:r>
                  <w:r>
                    <w:rPr>
                      <w:rFonts w:ascii="Calibri" w:cs="Calibri" w:eastAsia="Calibri" w:hAnsi="Calibri"/>
                      <w:b/>
                      <w:bCs/>
                      <w:sz w:val="18"/>
                      <w:szCs w:val="18"/>
                    </w:rPr>
                    <w:t xml:space="preserve">no otorga presunción de conformidad</w:t>
                  </w:r>
                  <w:r>
                    <w:rPr>
                      <w:rFonts w:ascii="Calibri" w:cs="Calibri" w:eastAsia="Calibri" w:hAnsi="Calibri"/>
                      <w:b w:val="false"/>
                      <w:bCs w:val="false"/>
                      <w:sz w:val="18"/>
                      <w:szCs w:val="18"/>
                    </w:rPr>
                    <w:t xml:space="preserve"> con el Reglamento (UE) 2024/1689: esa presunción corresponde a las normas armonizadas publicadas en el Diario Oficial de la Unión Europea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Esquema Nacional de Seguridad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que exceda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inteligencia artificial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relativo a la declaración de sistemas y a la autorización previa de altas</w:t>
                  </w:r>
                </w:p>
              </w:tc>
            </w:tr>
          </w:tbl>
          <w:p>
            <w:pPr>
              <w:spacing w:after="80"/>
            </w:pPr>
          </w:p>
          <w:p>
            <w:pPr>
              <w:spacing w:after="100" w:line="264"/>
            </w:pPr>
            <w:r>
              <w:rPr>
                <w:rFonts w:ascii="Georgia" w:cs="Georgia" w:eastAsia="Georgia" w:hAnsi="Georgia"/>
                <w:b/>
                <w:bCs/>
                <w:sz w:val="20"/>
                <w:szCs w:val="20"/>
              </w:rPr>
              <w:t xml:space="preserve">3. Regla de interpretación.</w:t>
            </w:r>
            <w:r>
              <w:rPr>
                <w:rFonts w:ascii="Georgia" w:cs="Georgia" w:eastAsia="Georgia" w:hAnsi="Georgia"/>
                <w:sz w:val="20"/>
                <w:szCs w:val="20"/>
              </w:rPr>
              <w:t xml:space="preserve"> Las obligaciones de la tercera columna que se identifican como exigencia contractual de este pliego se asumen por el contratista en virtud del contrato y no en virtud de la norma citada. Su incumplimiento produce los efectos previstos en este pliego, y no los que la norma anude a su propio incumplimiento.</w:t>
            </w:r>
          </w:p>
          <w:p>
            <w:pPr>
              <w:spacing w:after="100" w:line="264"/>
            </w:pPr>
            <w:r>
              <w:rPr>
                <w:rFonts w:ascii="Georgia" w:cs="Georgia" w:eastAsia="Georgia" w:hAnsi="Georgia"/>
                <w:b/>
                <w:bCs/>
                <w:sz w:val="20"/>
                <w:szCs w:val="20"/>
              </w:rPr>
              <w:t xml:space="preserve">4. Efecto de las modificaciones normativas posteriores.</w:t>
            </w:r>
            <w:r>
              <w:rPr>
                <w:rFonts w:ascii="Georgia" w:cs="Georgia" w:eastAsia="Georgia" w:hAnsi="Georgia"/>
                <w:sz w:val="20"/>
                <w:szCs w:val="20"/>
              </w:rPr>
              <w:t xml:space="preserve"> La entrada en vigor o la modificación posterior de cualquiera de las normas citadas </w:t>
            </w:r>
            <w:r>
              <w:rPr>
                <w:rFonts w:ascii="Georgia" w:cs="Georgia" w:eastAsia="Georgia" w:hAnsi="Georgia"/>
                <w:b/>
                <w:bCs/>
                <w:sz w:val="20"/>
                <w:szCs w:val="20"/>
              </w:rPr>
              <w:t xml:space="preserve">no altera el contenido de las obligaciones asumidas en este contrato</w:t>
            </w:r>
            <w:r>
              <w:rPr>
                <w:rFonts w:ascii="Georgia" w:cs="Georgia" w:eastAsia="Georgia" w:hAnsi="Georgia"/>
                <w:sz w:val="20"/>
                <w:szCs w:val="20"/>
              </w:rPr>
              <w:t xml:space="preserve">, sin perjuicio del deber general del contratista de cumplir la normativa que le sea aplicable en cada momento. Cuando el Ayuntamiento quiera que una obligación nueva resulte exigible, la incorporará a la licitación siguiente o tramitará la modificación que proceda.</w:t>
            </w: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Este extracto es el instrumento más barato de todo el catálogo y el que más recursos evita: un pliego que dice qué exige por ley y qué exige por contrato desarma de antemano la alegación de desproporción, y un pliego que confunde ambas cosas la invita. Si por falta de tiempo hubiera que renunciar a algún anexo, no sea éste.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 · GUION, RELACIÓN CERRADA Y RÚBRICA GENÉRICOS DE LA DEMOSTRACIÓN FUNCIONAL</w:t>
      </w:r>
    </w:p>
    <w:p>
      <w:pPr>
        <w:spacing w:after="140" w:line="276"/>
      </w:pPr>
      <w:r>
        <w:rPr>
          <w:rFonts w:ascii="Calibri" w:cs="Calibri" w:eastAsia="Calibri" w:hAnsi="Calibri"/>
          <w:sz w:val="21"/>
          <w:szCs w:val="21"/>
        </w:rPr>
        <w:t xml:space="preserve">Función: entregar los tres documentos que la cláusula ADM-9·v3 remite al anexo del PCAP y que hasta ahora sólo existían para el contrato piloto. Son genéricos: el redactor sustituye el caso de uso por el suyo y conserva la estructura.</w:t>
      </w:r>
    </w:p>
    <w:p>
      <w:pPr>
        <w:spacing w:after="140" w:line="276"/>
      </w:pPr>
      <w:r>
        <w:rPr>
          <w:rFonts w:ascii="Calibri" w:cs="Calibri" w:eastAsia="Calibri" w:hAnsi="Calibri"/>
          <w:b/>
          <w:bCs/>
          <w:sz w:val="21"/>
          <w:szCs w:val="21"/>
        </w:rPr>
        <w:t xml:space="preserve">Advertencia previa, que condiciona todo lo demás y debe leerse antes de usar el anexo.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Es un medio de comprobación de la exactitud de lo declarado por escrito (art. 145.5.c de la LCSP), y su único efecto es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puntos ya asignados a la oferta escrita. Por tanto: la rúbrica del apartado 4 valora </w:t>
      </w:r>
      <w:r>
        <w:rPr>
          <w:rFonts w:ascii="Calibri" w:cs="Calibri" w:eastAsia="Calibri" w:hAnsi="Calibri"/>
          <w:b/>
          <w:bCs/>
          <w:sz w:val="21"/>
          <w:szCs w:val="21"/>
        </w:rPr>
        <w:t xml:space="preserve">lo descrito en la memoria técnica</w:t>
      </w:r>
      <w:r>
        <w:rPr>
          <w:rFonts w:ascii="Calibri" w:cs="Calibri" w:eastAsia="Calibri" w:hAnsi="Calibri"/>
          <w:sz w:val="21"/>
          <w:szCs w:val="21"/>
        </w:rPr>
        <w:t xml:space="preserve">, no el desempeño en sala; y el acta del apartado 5 no puntúa, sino que consigna si lo descrito se acreditó. Un anexo que reparta puntos por el resultado de la sesión favorece a quien ya tiene producto operativo y reproduce el supuesto que el artículo 40.b) de la LCSP declara anulable.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ANEXO [ ] DEL PLIEGO DE CLÁUSULAS ADMINISTRATIVAS PARTICULARES</w:t>
            </w:r>
          </w:p>
          <w:p>
            <w:pPr>
              <w:spacing w:after="100" w:line="264"/>
            </w:pPr>
            <w:r>
              <w:rPr>
                <w:rFonts w:ascii="Georgia" w:cs="Georgia" w:eastAsia="Georgia" w:hAnsi="Georgia"/>
                <w:b/>
                <w:bCs/>
                <w:sz w:val="20"/>
                <w:szCs w:val="20"/>
              </w:rPr>
              <w:t xml:space="preserve">GUION DE LA DEMOSTRACIÓN FUNCIONAL, RELACIÓN CERRADA DE ELEMENTOS VERIFICABLES Y MATRIZ DE DECLARACIÓN</w:t>
            </w:r>
          </w:p>
          <w:p>
            <w:pPr>
              <w:spacing w:after="100" w:line="264"/>
            </w:pPr>
            <w:r>
              <w:rPr>
                <w:rFonts w:ascii="Georgia" w:cs="Georgia" w:eastAsia="Georgia" w:hAnsi="Georgia"/>
                <w:b/>
                <w:bCs/>
                <w:sz w:val="20"/>
                <w:szCs w:val="20"/>
              </w:rPr>
              <w:t xml:space="preserve">1. Relación cerrada y numerada de elementos verificables.</w:t>
            </w:r>
          </w:p>
          <w:p>
            <w:pPr>
              <w:spacing w:after="100" w:line="264"/>
            </w:pPr>
            <w:r>
              <w:rPr>
                <w:rFonts w:ascii="Georgia" w:cs="Georgia" w:eastAsia="Georgia" w:hAnsi="Georgia"/>
                <w:sz w:val="20"/>
                <w:szCs w:val="20"/>
              </w:rPr>
              <w:t xml:space="preserve">Sólo se verificarán los elementos de esta relación, y sólo en la medida en que el licitador los haya descrito por escrito en su oferta presentada en plazo. </w:t>
            </w:r>
            <w:r>
              <w:rPr>
                <w:rFonts w:ascii="Georgia" w:cs="Georgia" w:eastAsia="Georgia" w:hAnsi="Georgia"/>
                <w:b/>
                <w:bCs/>
                <w:sz w:val="20"/>
                <w:szCs w:val="20"/>
              </w:rPr>
              <w:t xml:space="preserve">Lo mostrado en la sesión y no descrito en la oferta no se valorará en ningún caso. Lo descrito en la oferta y no acreditado en la sesión se puntuará con cero en el subcriterio correspondiente.</w:t>
            </w:r>
          </w:p>
          <w:p>
            <w:pPr>
              <w:spacing w:after="100" w:line="264"/>
            </w:pPr>
            <w:r>
              <w:rPr>
                <w:rFonts w:ascii="Georgia" w:cs="Georgia" w:eastAsia="Georgia" w:hAnsi="Georgia"/>
                <w:sz w:val="20"/>
                <w:szCs w:val="20"/>
              </w:rPr>
              <w:t xml:space="preserve">Cada elemento indica el criterio al que sirve y el </w:t>
            </w:r>
            <w:r>
              <w:rPr>
                <w:rFonts w:ascii="Georgia" w:cs="Georgia" w:eastAsia="Georgia" w:hAnsi="Georgia"/>
                <w:b/>
                <w:bCs/>
                <w:sz w:val="20"/>
                <w:szCs w:val="20"/>
              </w:rPr>
              <w:t xml:space="preserve">momento</w:t>
            </w:r>
            <w:r>
              <w:rPr>
                <w:rFonts w:ascii="Georgia" w:cs="Georgia" w:eastAsia="Georgia" w:hAnsi="Georgia"/>
                <w:sz w:val="20"/>
                <w:szCs w:val="20"/>
              </w:rPr>
              <w:t xml:space="preserve"> de su comprobación, que depende del tipo de ese criterio: los elementos que sirven a criterios sujetos a juicio de valor se comprueban en la sesión del apartado 3; los que sirven a criterios evaluables mediante la mera aplicación de fórmulas se comprueban </w:t>
            </w:r>
            <w:r>
              <w:rPr>
                <w:rFonts w:ascii="Georgia" w:cs="Georgia" w:eastAsia="Georgia" w:hAnsi="Georgia"/>
                <w:b/>
                <w:bCs/>
                <w:sz w:val="20"/>
                <w:szCs w:val="20"/>
              </w:rPr>
              <w:t xml:space="preserve">después de la apertura y valoración del sobre de criterios evaluables mediante fórmulas, y sólo respecto del licitador propuesto como adjudicatario</w:t>
            </w:r>
            <w:r>
              <w:rPr>
                <w:rFonts w:ascii="Georgia" w:cs="Georgia" w:eastAsia="Georgia" w:hAnsi="Georgia"/>
                <w:sz w:val="20"/>
                <w:szCs w:val="20"/>
              </w:rPr>
              <w:t xml:space="preserve">, en el trámite del artículo 150.2 de la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del baremo al que sirve (código publicado en el PCAP: </w:t>
                  </w:r>
                  <w:r>
                    <w:rPr>
                      <w:rFonts w:ascii="Calibri" w:cs="Calibri" w:eastAsia="Calibri" w:hAnsi="Calibri"/>
                      <w:b/>
                      <w:bCs/>
                      <w:color w:val="1F3864"/>
                      <w:sz w:val="18"/>
                      <w:szCs w:val="18"/>
                    </w:rPr>
                    <w:t xml:space="preserve">P · C1 · C2 · C3 · C4 · A · B · D · E · F · H</w:t>
                  </w: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del criterio (juicio de valor / fórmula) y momento de la 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considerará acreditado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Caso de uso.</w:t>
            </w:r>
          </w:p>
          <w:p>
            <w:pPr>
              <w:spacing w:after="100" w:line="264"/>
            </w:pPr>
            <w:r>
              <w:rPr>
                <w:rFonts w:ascii="Georgia" w:cs="Georgia" w:eastAsia="Georgia" w:hAnsi="Georgia"/>
                <w:sz w:val="20"/>
                <w:szCs w:val="20"/>
              </w:rPr>
              <w:t xml:space="preserve">Idéntico para todos los licitadores, publicado con este pliego y ejecutado sobre datos ficticios o anonimizados facilitados por el Ayuntamiento.</w:t>
            </w:r>
          </w:p>
          <w:p>
            <w:pPr>
              <w:spacing w:after="100" w:line="264"/>
            </w:pPr>
            <w:r>
              <w:rPr>
                <w:rFonts w:ascii="Georgia" w:cs="Georgia" w:eastAsia="Georgia" w:hAnsi="Georgia"/>
                <w:sz w:val="20"/>
                <w:szCs w:val="20"/>
              </w:rPr>
              <w:t xml:space="preserve">&gt; «A partir del juego de datos que se entrega con este pliego, y en un máximo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(1) …………………… ; (2) …………………… ; (3) …………………… ; (4) …………………… ; (5) …………………… .»</w:t>
            </w:r>
          </w:p>
          <w:p>
            <w:pPr>
              <w:spacing w:after="100" w:line="264"/>
            </w:pPr>
            <w:r>
              <w:rPr>
                <w:rFonts w:ascii="Georgia" w:cs="Georgia" w:eastAsia="Georgia" w:hAnsi="Georgia"/>
                <w:b/>
                <w:bCs/>
                <w:sz w:val="20"/>
                <w:szCs w:val="20"/>
              </w:rPr>
              <w:t xml:space="preserve">3. Guion y reglas de la sesión.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Fase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Duración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Identificación de los asistentes y del entorno sobre el que se opera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las tareas del caso de uso, en el orden publicado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70]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 los elementos de la relación cerrada no cubiertos por las tareas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Lectura del resultado consignado en acta y observaciones de las partes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bl>
          <w:p>
            <w:pPr>
              <w:spacing w:after="80"/>
            </w:pPr>
          </w:p>
          <w:p>
            <w:pPr>
              <w:spacing w:after="100" w:line="264"/>
            </w:pPr>
            <w:r>
              <w:rPr>
                <w:rFonts w:ascii="Georgia" w:cs="Georgia" w:eastAsia="Georgia" w:hAnsi="Georgia"/>
                <w:i/>
                <w:iCs/>
                <w:sz w:val="20"/>
                <w:szCs w:val="20"/>
              </w:rPr>
              <w:t xml:space="preserve">La suma de las cuatro fases no puede exceder de la duración máxima publicada en el apartado 2.</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Modalidad:</w:t>
            </w:r>
            <w:r>
              <w:rPr>
                <w:rFonts w:ascii="Georgia" w:cs="Georgia" w:eastAsia="Georgia" w:hAnsi="Georgia"/>
                <w:sz w:val="20"/>
                <w:szCs w:val="20"/>
              </w:rPr>
              <w:t xml:space="preserve"> videoconferencia sobre el entorno del propio licitador, salvo que el expediente motive expresamente la necesidad de presencialidad. No se exigirá despliegue, instalación ni integración en los sistemas municipales, ni entrega de bienes, ni gastos de desplazamiento de personal municipal.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Momento:</w:t>
            </w:r>
            <w:r>
              <w:rPr>
                <w:rFonts w:ascii="Georgia" w:cs="Georgia" w:eastAsia="Georgia" w:hAnsi="Georgia"/>
                <w:sz w:val="20"/>
                <w:szCs w:val="20"/>
              </w:rPr>
              <w:t xml:space="preserve"> una vez abierto el sobre de criterios sujetos a juicio de valor y, en todo caso, </w:t>
            </w:r>
            <w:r>
              <w:rPr>
                <w:rFonts w:ascii="Georgia" w:cs="Georgia" w:eastAsia="Georgia" w:hAnsi="Georgia"/>
                <w:b/>
                <w:bCs/>
                <w:sz w:val="20"/>
                <w:szCs w:val="20"/>
              </w:rPr>
              <w:t xml:space="preserve">antes de la apertura del sobre de criterios evaluables mediante la mera aplicación de fórmulas</w:t>
            </w:r>
            <w:r>
              <w:rPr>
                <w:rFonts w:ascii="Georgia" w:cs="Georgia" w:eastAsia="Georgia" w:hAnsi="Georgia"/>
                <w:sz w:val="20"/>
                <w:szCs w:val="20"/>
              </w:rPr>
              <w:t xml:space="preserve">, dejando constancia documental de la valoración con carácter previo a dicha apertura. </w:t>
            </w:r>
            <w:r>
              <w:rPr>
                <w:rFonts w:ascii="Georgia" w:cs="Georgia" w:eastAsia="Georgia" w:hAnsi="Georgia"/>
                <w:b/>
                <w:bCs/>
                <w:sz w:val="20"/>
                <w:szCs w:val="20"/>
              </w:rPr>
              <w:t xml:space="preserve">Este momento no se altera una vez publicados los pliegos.</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Orden e igualdad:</w:t>
            </w:r>
            <w:r>
              <w:rPr>
                <w:rFonts w:ascii="Georgia" w:cs="Georgia" w:eastAsia="Georgia" w:hAnsi="Georgia"/>
                <w:sz w:val="20"/>
                <w:szCs w:val="20"/>
              </w:rPr>
              <w:t xml:space="preserve"> el calendario y el orden de intervención se determinan por sorteo ante la mesa de contratación y se comunican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Todos disponen de idéntica duración máxima, del mismo entorno de referencia y de los mismos evaluadores. Cada sesión se celebra sin presencia de los restantes licitadores y sin facilitar información alguna sobre las demás ofertas.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Incidencias:</w:t>
            </w:r>
            <w:r>
              <w:rPr>
                <w:rFonts w:ascii="Georgia" w:cs="Georgia" w:eastAsia="Georgia" w:hAnsi="Georgia"/>
                <w:sz w:val="20"/>
                <w:szCs w:val="20"/>
              </w:rPr>
              <w:t xml:space="preserve"> ante una incidencia técnica no imputable al licitador se admite </w:t>
            </w:r>
            <w:r>
              <w:rPr>
                <w:rFonts w:ascii="Georgia" w:cs="Georgia" w:eastAsia="Georgia" w:hAnsi="Georgia"/>
                <w:b/>
                <w:bCs/>
                <w:sz w:val="20"/>
                <w:szCs w:val="20"/>
              </w:rPr>
              <w:t xml:space="preserve">una única</w:t>
            </w:r>
            <w:r>
              <w:rPr>
                <w:rFonts w:ascii="Georgia" w:cs="Georgia" w:eastAsia="Georgia" w:hAnsi="Georgia"/>
                <w:sz w:val="20"/>
                <w:szCs w:val="20"/>
              </w:rPr>
              <w:t xml:space="preserve"> repetición, dejando constancia en acta.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Prohibición de ampliar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Incomparecencia:</w:t>
            </w:r>
            <w:r>
              <w:rPr>
                <w:rFonts w:ascii="Georgia" w:cs="Georgia" w:eastAsia="Georgia" w:hAnsi="Georgia"/>
                <w:sz w:val="20"/>
                <w:szCs w:val="20"/>
              </w:rPr>
              <w:t xml:space="preserve"> no determina la exclusión. Los elementos declarados y no acreditados se puntúan con cero.</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Deslinde:</w:t>
            </w:r>
            <w:r>
              <w:rPr>
                <w:rFonts w:ascii="Georgia" w:cs="Georgia" w:eastAsia="Georgia" w:hAnsi="Georgia"/>
                <w:sz w:val="20"/>
                <w:szCs w:val="20"/>
              </w:rPr>
              <w:t xml:space="preserve"> el resultado de la demostración no acredita la solvencia técnica y </w:t>
            </w:r>
            <w:r>
              <w:rPr>
                <w:rFonts w:ascii="Georgia" w:cs="Georgia" w:eastAsia="Georgia" w:hAnsi="Georgia"/>
                <w:b/>
                <w:bCs/>
                <w:sz w:val="20"/>
                <w:szCs w:val="20"/>
              </w:rPr>
              <w:t xml:space="preserve">no puede fundar por sí solo la exclusión</w:t>
            </w:r>
            <w:r>
              <w:rPr>
                <w:rFonts w:ascii="Georgia" w:cs="Georgia" w:eastAsia="Georgia" w:hAnsi="Georgia"/>
                <w:sz w:val="20"/>
                <w:szCs w:val="20"/>
              </w:rPr>
              <w:t xml:space="preserve"> del licitador.</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Alcance de la sesión:</w:t>
            </w:r>
            <w:r>
              <w:rPr>
                <w:rFonts w:ascii="Georgia" w:cs="Georgia" w:eastAsia="Georgia" w:hAnsi="Georgia"/>
                <w:sz w:val="20"/>
                <w:szCs w:val="20"/>
              </w:rPr>
              <w:t xml:space="preserve"> la sesión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Los elementos que sirven a criterios evaluables mediante fórmulas no se comprueban en ella: su exactitud se comprueba, respecto del licitador propuesto como adjudicatario, en el trámite del artículo 150.2 de la LCSP, por medios documentales y, sólo cuando el órgano de contratación motive que la documentación no resuelve la duda, mediante una sesión celebrada con este mismo guion. Si de esa comprobación resulta que una declaración no es exacta, la puntuación se rectifica aplicando la fórmula publicada sobre los elementos efectivamente acreditados.</w:t>
            </w:r>
          </w:p>
          <w:p>
            <w:pPr>
              <w:spacing w:after="100" w:line="264"/>
            </w:pPr>
            <w:r>
              <w:rPr>
                <w:rFonts w:ascii="Georgia" w:cs="Georgia" w:eastAsia="Georgia" w:hAnsi="Georgia"/>
                <w:b/>
                <w:bCs/>
                <w:sz w:val="20"/>
                <w:szCs w:val="20"/>
              </w:rPr>
              <w:t xml:space="preserve">4. Rúbrica del criterio de juicio de valor al que sirve la demostración.</w:t>
            </w:r>
          </w:p>
          <w:p>
            <w:pPr>
              <w:spacing w:after="100" w:line="264"/>
            </w:pPr>
            <w:r>
              <w:rPr>
                <w:rFonts w:ascii="Georgia" w:cs="Georgia" w:eastAsia="Georgia" w:hAnsi="Georgia"/>
                <w:sz w:val="20"/>
                <w:szCs w:val="20"/>
              </w:rPr>
              <w:t xml:space="preserve">Se valora </w:t>
            </w:r>
            <w:r>
              <w:rPr>
                <w:rFonts w:ascii="Georgia" w:cs="Georgia" w:eastAsia="Georgia" w:hAnsi="Georgia"/>
                <w:b/>
                <w:bCs/>
                <w:sz w:val="20"/>
                <w:szCs w:val="20"/>
              </w:rPr>
              <w:t xml:space="preserve">lo descrito en la memoria técnica presentada en plazo</w:t>
            </w:r>
            <w:r>
              <w:rPr>
                <w:rFonts w:ascii="Georgia" w:cs="Georgia" w:eastAsia="Georgia" w:hAnsi="Georgia"/>
                <w:sz w:val="20"/>
                <w:szCs w:val="20"/>
              </w:rPr>
              <w:t xml:space="preserve">. La demostración confirma o retira estos puntos; no puede añadir ninguno.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Descriptor, referido a lo descrito por escrito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 y trazable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describe las cinco tareas con identificación de la función o módulo que las resuelve, del rastro de auditoría que generan y del formato de salida, y aporta la evidencia documental que el pliego exige para cada una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[0,7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las cinco tareas con ese detalle, pero no acredita documentalmente alguna de ellas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[0,4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tres o cuatro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[0,15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una o dos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describe ninguna tarea con el detalle exigido, o lo descrito no permite determinar cómo se resuelve</w:t>
                  </w:r>
                </w:p>
              </w:tc>
            </w:tr>
          </w:tbl>
          <w:p>
            <w:pPr>
              <w:spacing w:after="80"/>
            </w:pPr>
          </w:p>
          <w:p>
            <w:pPr>
              <w:spacing w:after="100" w:line="264"/>
            </w:pPr>
            <w:r>
              <w:rPr>
                <w:rFonts w:ascii="Georgia" w:cs="Georgia" w:eastAsia="Georgia" w:hAnsi="Georgia"/>
                <w:b/>
                <w:bCs/>
                <w:sz w:val="20"/>
                <w:szCs w:val="20"/>
              </w:rPr>
              <w:t xml:space="preserve">Regla de aplicación.</w:t>
            </w:r>
            <w:r>
              <w:rPr>
                <w:rFonts w:ascii="Georgia" w:cs="Georgia" w:eastAsia="Georgia" w:hAnsi="Georgia"/>
                <w:sz w:val="20"/>
                <w:szCs w:val="20"/>
              </w:rPr>
              <w:t xml:space="preserve"> Los puntos asignados conforme a esta rúbrica se </w:t>
            </w:r>
            <w:r>
              <w:rPr>
                <w:rFonts w:ascii="Georgia" w:cs="Georgia" w:eastAsia="Georgia" w:hAnsi="Georgia"/>
                <w:b/>
                <w:bCs/>
                <w:sz w:val="20"/>
                <w:szCs w:val="20"/>
              </w:rPr>
              <w:t xml:space="preserve">retiran</w:t>
            </w:r>
            <w:r>
              <w:rPr>
                <w:rFonts w:ascii="Georgia" w:cs="Georgia" w:eastAsia="Georgia" w:hAnsi="Georgia"/>
                <w:sz w:val="20"/>
                <w:szCs w:val="20"/>
              </w:rPr>
              <w:t xml:space="preserve"> en el subcriterio correspondiente respecto de cada tarea descrita y no acreditada en la sesión.</w:t>
            </w:r>
          </w:p>
          <w:p>
            <w:pPr>
              <w:spacing w:after="100" w:line="264"/>
            </w:pPr>
            <w:r>
              <w:rPr>
                <w:rFonts w:ascii="Georgia" w:cs="Georgia" w:eastAsia="Georgia" w:hAnsi="Georgia"/>
                <w:b/>
                <w:bCs/>
                <w:sz w:val="20"/>
                <w:szCs w:val="20"/>
              </w:rPr>
              <w:t xml:space="preserve">5. Matriz de declaración del licitador.</w:t>
            </w:r>
          </w:p>
          <w:p>
            <w:pPr>
              <w:spacing w:after="100" w:line="264"/>
            </w:pPr>
            <w:r>
              <w:rPr>
                <w:rFonts w:ascii="Georgia" w:cs="Georgia" w:eastAsia="Georgia" w:hAnsi="Georgia"/>
                <w:sz w:val="20"/>
                <w:szCs w:val="20"/>
              </w:rPr>
              <w:t xml:space="preserve">Se presenta cumplimentada </w:t>
            </w:r>
            <w:r>
              <w:rPr>
                <w:rFonts w:ascii="Georgia" w:cs="Georgia" w:eastAsia="Georgia" w:hAnsi="Georgia"/>
                <w:b/>
                <w:bCs/>
                <w:sz w:val="20"/>
                <w:szCs w:val="20"/>
              </w:rPr>
              <w:t xml:space="preserve">con la oferta</w:t>
            </w:r>
            <w:r>
              <w:rPr>
                <w:rFonts w:ascii="Georgia" w:cs="Georgia" w:eastAsia="Georgia" w:hAnsi="Georgia"/>
                <w:sz w:val="20"/>
                <w:szCs w:val="20"/>
              </w:rPr>
              <w:t xml:space="preserve"> y </w:t>
            </w:r>
            <w:r>
              <w:rPr>
                <w:rFonts w:ascii="Georgia" w:cs="Georgia" w:eastAsia="Georgia" w:hAnsi="Georgia"/>
                <w:b/>
                <w:bCs/>
                <w:sz w:val="20"/>
                <w:szCs w:val="20"/>
              </w:rPr>
              <w:t xml:space="preserve">desdoblada por sobres</w:t>
            </w:r>
            <w:r>
              <w:rPr>
                <w:rFonts w:ascii="Georgia" w:cs="Georgia" w:eastAsia="Georgia" w:hAnsi="Georgia"/>
                <w:sz w:val="20"/>
                <w:szCs w:val="20"/>
              </w:rPr>
              <w:t xml:space="preserve">: los elementos que sirven a criterios sujetos a juicio de valor, en el sobre de criterios sujetos a juicio de valor; los que sirven a criterios evaluables mediante la mera aplicación de fórmulas, en el sobre de criterios evaluables mediante fórmulas, junto con el resto de la proposición sometida a ese régimen (artículos 26 y 30.2 del Real Decreto 817/2009 y artículo 146.2 de la LCSP). Sin matriz cumplimentada, los elementos no se consideran declarados.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declara?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 y página de la memoria técnica donde se describe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o módulo que lo resuelve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Modelo de acta de la sesión.</w:t>
            </w:r>
          </w:p>
          <w:p>
            <w:pPr>
              <w:spacing w:after="100" w:line="264"/>
            </w:pPr>
            <w:r>
              <w:rPr>
                <w:rFonts w:ascii="Georgia" w:cs="Georgia" w:eastAsia="Georgia" w:hAnsi="Georgia"/>
                <w:sz w:val="20"/>
                <w:szCs w:val="20"/>
              </w:rPr>
              <w:t xml:space="preserve">De cada sesión se levanta acta escrita detallada, en el mismo acto, con el contenido siguiente. Podrá realizarse además grabación sonora o audiovisual cuando este pliego lo prevea; en tal caso se anuncia aquí y la grabación se conserva hasta que la adjudicación sea firme, a disposición del órgano competente para resolver el recurso especial. El acceso de los demás licitadores al acta y, en su caso, a la grabación se rige por el artículo 133 de la LCSP.</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ACTA DE LA SESIÓN DE DEMOSTRACIÓN FUNCIONAL</w:t>
            </w:r>
          </w:p>
          <w:p>
            <w:pPr>
              <w:spacing w:after="100" w:line="264"/>
            </w:pPr>
            <w:r>
              <w:rPr>
                <w:rFonts w:ascii="Georgia" w:cs="Georgia" w:eastAsia="Georgia" w:hAnsi="Georgia"/>
                <w:sz w:val="20"/>
                <w:szCs w:val="20"/>
              </w:rPr>
              <w:t xml:space="preserve">&gt; Expediente · Licitador · Fecha · Hora de inicio y de fin · Modalidad · Entorno · Asistentes por ambas partes · Evaluadores.</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 N.º del elemento | ¿Consta descrito en la oferta? | ¿Acreditado en la sesión? | Evidencia observada | Observaciones |</w:t>
            </w:r>
          </w:p>
          <w:p>
            <w:pPr>
              <w:spacing w:after="100" w:line="264"/>
            </w:pPr>
            <w:r>
              <w:rPr>
                <w:rFonts w:ascii="Georgia" w:cs="Georgia" w:eastAsia="Georgia" w:hAnsi="Georgia"/>
                <w:sz w:val="20"/>
                <w:szCs w:val="20"/>
              </w:rPr>
              <w:t xml:space="preserve">&gt; |---|---|---|---|---|</w:t>
            </w:r>
          </w:p>
          <w:p>
            <w:pPr>
              <w:spacing w:after="100" w:line="264"/>
            </w:pPr>
            <w:r>
              <w:rPr>
                <w:rFonts w:ascii="Georgia" w:cs="Georgia" w:eastAsia="Georgia" w:hAnsi="Georgia"/>
                <w:sz w:val="20"/>
                <w:szCs w:val="20"/>
              </w:rPr>
              <w:t xml:space="preserve">&gt; | 1 | ☐ Sí ☐ No | ☐ Sí ☐ No | | |</w:t>
            </w:r>
          </w:p>
          <w:p>
            <w:pPr>
              <w:spacing w:after="100" w:line="264"/>
            </w:pPr>
            <w:r>
              <w:rPr>
                <w:rFonts w:ascii="Georgia" w:cs="Georgia" w:eastAsia="Georgia" w:hAnsi="Georgia"/>
                <w:sz w:val="20"/>
                <w:szCs w:val="20"/>
              </w:rPr>
              <w:t xml:space="preserve">&gt; | 2 | ☐ Sí ☐ No | ☐ Sí ☐ No | | |</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Incidencias técnicas y repetición, en su caso:</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Manifestaciones orales que se rechazan por ampliar o rectificar la oferta escrita: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Observaciones del licitador, que se hacen constar a su instancia: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Firmas de los asistentes y del secretario de la mesa.</w:t>
            </w:r>
          </w:p>
          <w:p>
            <w:pPr>
              <w:spacing w:after="100" w:line="264"/>
            </w:pPr>
            <w:r>
              <w:rPr>
                <w:rFonts w:ascii="Georgia" w:cs="Georgia" w:eastAsia="Georgia" w:hAnsi="Georgia"/>
                <w:b/>
                <w:bCs/>
                <w:sz w:val="20"/>
                <w:szCs w:val="20"/>
              </w:rPr>
              <w:t xml:space="preserve">7. Regla de cierre.</w:t>
            </w:r>
            <w:r>
              <w:rPr>
                <w:rFonts w:ascii="Georgia" w:cs="Georgia" w:eastAsia="Georgia" w:hAnsi="Georgia"/>
                <w:sz w:val="20"/>
                <w:szCs w:val="20"/>
              </w:rPr>
              <w:t xml:space="preserve"> La valoración de los criterios sujetos a juicio de valor se documenta </w:t>
            </w:r>
            <w:r>
              <w:rPr>
                <w:rFonts w:ascii="Georgia" w:cs="Georgia" w:eastAsia="Georgia" w:hAnsi="Georgia"/>
                <w:b/>
                <w:bCs/>
                <w:sz w:val="20"/>
                <w:szCs w:val="20"/>
              </w:rPr>
              <w:t xml:space="preserve">antes</w:t>
            </w:r>
            <w:r>
              <w:rPr>
                <w:rFonts w:ascii="Georgia" w:cs="Georgia" w:eastAsia="Georgia" w:hAnsi="Georgia"/>
                <w:sz w:val="20"/>
                <w:szCs w:val="20"/>
              </w:rPr>
              <w:t xml:space="preserve"> de la apertura del sobre de criterios evaluables mediante fórmulas. Una valoración de juicio de valor que se cierre después de conocidos los precios no admite retroacción. La comprobación de los elementos que sirven a criterios evaluables mediante fórmulas, practicada conforme a la letra h) del apartado 3, es posterior a esa apertura y no altera el orden de valoración: esos criterios son reglados y su puntuación resulta de aplicar la fórmula publicada a los elementos acreditados.</w:t>
            </w:r>
          </w:p>
        </w:tc>
      </w:tr>
    </w:tbl>
    <w:p>
      <w:pPr>
        <w:spacing w:after="220"/>
      </w:pPr>
    </w:p>
    <w:p>
      <w:pPr>
        <w:spacing w:after="140" w:line="276"/>
      </w:pPr>
      <w:r>
        <w:rPr>
          <w:rFonts w:ascii="Calibri" w:cs="Calibri" w:eastAsia="Calibri" w:hAnsi="Calibri"/>
          <w:b/>
          <w:bCs/>
          <w:sz w:val="21"/>
          <w:szCs w:val="21"/>
        </w:rPr>
        <w:t xml:space="preserve">Notas al redactor, fuera del texto que se copia al pliego.</w:t>
      </w:r>
    </w:p>
    <w:p>
      <w:pPr>
        <w:pStyle w:val="ListParagraph"/>
        <w:numPr>
          <w:ilvl w:val="0"/>
          <w:numId w:val="1"/>
        </w:numPr>
        <w:spacing w:after="70" w:line="268"/>
      </w:pPr>
      <w:r>
        <w:rPr>
          <w:rFonts w:ascii="Calibri" w:cs="Calibri" w:eastAsia="Calibri" w:hAnsi="Calibri"/>
          <w:b/>
          <w:bCs/>
          <w:sz w:val="21"/>
          <w:szCs w:val="21"/>
        </w:rPr>
        <w:t xml:space="preserve">Cómo se construye el caso de uso del apartado 2.</w:t>
      </w:r>
      <w:r>
        <w:rPr>
          <w:rFonts w:ascii="Calibri" w:cs="Calibri" w:eastAsia="Calibri" w:hAnsi="Calibri"/>
          <w:sz w:val="21"/>
          <w:szCs w:val="21"/>
        </w:rPr>
        <w:t xml:space="preserve"> Las tareas se enuncian por su </w:t>
      </w:r>
      <w:r>
        <w:rPr>
          <w:rFonts w:ascii="Calibri" w:cs="Calibri" w:eastAsia="Calibri" w:hAnsi="Calibri"/>
          <w:b/>
          <w:bCs/>
          <w:sz w:val="21"/>
          <w:szCs w:val="21"/>
        </w:rPr>
        <w:t xml:space="preserve">resultado</w:t>
      </w:r>
      <w:r>
        <w:rPr>
          <w:rFonts w:ascii="Calibri" w:cs="Calibri" w:eastAsia="Calibri" w:hAnsi="Calibri"/>
          <w:sz w:val="21"/>
          <w:szCs w:val="21"/>
        </w:rPr>
        <w:t xml:space="preserve">, no por el camino; no se nombra producto, protocolo ni red alguna; y ninguna tarea puede exigir un despliegue, una instalación o una integración en sistemas municipales. Un caso de uso que sólo pueda resolverlo quien ya tenga la solución instalada en el Ayuntamiento no comprueba lo declarado: premia la tenencia previa.</w:t>
      </w:r>
    </w:p>
    <w:p>
      <w:pPr>
        <w:pStyle w:val="ListParagraph"/>
        <w:numPr>
          <w:ilvl w:val="0"/>
          <w:numId w:val="1"/>
        </w:numPr>
        <w:spacing w:after="70" w:line="268"/>
      </w:pPr>
      <w:r>
        <w:rPr>
          <w:rFonts w:ascii="Calibri" w:cs="Calibri" w:eastAsia="Calibri" w:hAnsi="Calibri"/>
          <w:b/>
          <w:bCs/>
          <w:sz w:val="21"/>
          <w:szCs w:val="21"/>
        </w:rPr>
        <w:t xml:space="preserve">Los coeficientes de la rúbrica.</w:t>
      </w:r>
      <w:r>
        <w:rPr>
          <w:rFonts w:ascii="Calibri" w:cs="Calibri" w:eastAsia="Calibri" w:hAnsi="Calibri"/>
          <w:sz w:val="21"/>
          <w:szCs w:val="21"/>
        </w:rPr>
        <w:t xml:space="preserve"> Los que figuran entre corchetes son los valores recomendados por defecto. Si el órgano de contratación los modifica, lo motiva en la memoria de criterios. En todo caso, los cinco tramos se publican en el PCAP con su valor numérico exacto, nunca con la fórmula del coeficiente.</w:t>
      </w:r>
    </w:p>
    <w:p>
      <w:pPr>
        <w:pStyle w:val="ListParagraph"/>
        <w:numPr>
          <w:ilvl w:val="0"/>
          <w:numId w:val="1"/>
        </w:numPr>
        <w:spacing w:after="70" w:line="268"/>
      </w:pPr>
      <w:r>
        <w:rPr>
          <w:rFonts w:ascii="Calibri" w:cs="Calibri" w:eastAsia="Calibri" w:hAnsi="Calibri"/>
          <w:b/>
          <w:bCs/>
          <w:sz w:val="21"/>
          <w:szCs w:val="21"/>
        </w:rPr>
        <w:t xml:space="preserve">Lo que cuesta.</w:t>
      </w:r>
      <w:r>
        <w:rPr>
          <w:rFonts w:ascii="Calibri" w:cs="Calibri" w:eastAsia="Calibri" w:hAnsi="Calibri"/>
          <w:sz w:val="21"/>
          <w:szCs w:val="21"/>
        </w:rPr>
        <w:t xml:space="preserve"> La demostración es la pieza más cara de este catálogo en horas municipales: entre tres y cuatro por licitador, más la preparación única del guion y del juego de datos. Con cinco licitadores, un expediente completo. Si el expediente no puede asumir esa carga, </w:t>
      </w:r>
      <w:r>
        <w:rPr>
          <w:rFonts w:ascii="Calibri" w:cs="Calibri" w:eastAsia="Calibri" w:hAnsi="Calibri"/>
          <w:b/>
          <w:bCs/>
          <w:sz w:val="21"/>
          <w:szCs w:val="21"/>
        </w:rPr>
        <w:t xml:space="preserve">la cláusula se marca NO APLICA y no ocurre nada</w:t>
      </w:r>
      <w:r>
        <w:rPr>
          <w:rFonts w:ascii="Calibri" w:cs="Calibri" w:eastAsia="Calibri" w:hAnsi="Calibri"/>
          <w:sz w:val="21"/>
          <w:szCs w:val="21"/>
        </w:rPr>
        <w:t xml:space="preserve">, precisamente porque no reparte puntos. Lo que no cabe es publicarla y no celebrarla.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 · CUADRO DE CERTIFICACIONES Y EQUIVALENCIAS ADMISIBLES</w:t>
      </w:r>
    </w:p>
    <w:p>
      <w:pPr>
        <w:spacing w:after="140" w:line="276"/>
      </w:pPr>
      <w:r>
        <w:rPr>
          <w:rFonts w:ascii="Calibri" w:cs="Calibri" w:eastAsia="Calibri" w:hAnsi="Calibri"/>
          <w:sz w:val="21"/>
          <w:szCs w:val="21"/>
        </w:rPr>
        <w:t xml:space="preserve">Función: que el redactor sepa, de un vistazo, qué puede exigir, con qué instrumento, con qué designación y qué tiene que admitir como equivalente. </w:t>
      </w:r>
      <w:r>
        <w:rPr>
          <w:rFonts w:ascii="Calibri" w:cs="Calibri" w:eastAsia="Calibri" w:hAnsi="Calibri"/>
          <w:b/>
          <w:bCs/>
          <w:sz w:val="21"/>
          <w:szCs w:val="21"/>
        </w:rPr>
        <w:t xml:space="preserve">Regla que gobierna el cuadro entero y no admite excepción: ninguna certificación de las que aquí figuran puede valorarse como criterio de adjudicación.</w:t>
      </w:r>
      <w:r>
        <w:rPr>
          <w:rFonts w:ascii="Calibri" w:cs="Calibri" w:eastAsia="Calibri" w:hAnsi="Calibri"/>
          <w:sz w:val="21"/>
          <w:szCs w:val="21"/>
        </w:rPr>
        <w:t xml:space="preserve"> Puntuar una certificación valora una característica de la empresa y no de la prestación, y la tenencia previa cae bajo el artículo 40.b) de la LCSP.</w:t>
      </w:r>
    </w:p>
    <w:p>
      <w:pPr>
        <w:spacing w:after="140" w:line="276"/>
      </w:pPr>
      <w:r>
        <w:rPr>
          <w:rFonts w:ascii="Calibri" w:cs="Calibri" w:eastAsia="Calibri" w:hAnsi="Calibri"/>
          <w:b/>
          <w:bCs/>
          <w:sz w:val="21"/>
          <w:szCs w:val="21"/>
        </w:rPr>
        <w:t xml:space="preserve">Segunda regla: designación con año y referencia estática.</w:t>
      </w:r>
      <w:r>
        <w:rPr>
          <w:rFonts w:ascii="Calibri" w:cs="Calibri" w:eastAsia="Calibri" w:hAnsi="Calibri"/>
          <w:sz w:val="21"/>
          <w:szCs w:val="21"/>
        </w:rPr>
        <w:t xml:space="preserve"> Toda norma se cita con su designación completa </w:t>
      </w:r>
      <w:r>
        <w:rPr>
          <w:rFonts w:ascii="Calibri" w:cs="Calibri" w:eastAsia="Calibri" w:hAnsi="Calibri"/>
          <w:b/>
          <w:bCs/>
          <w:sz w:val="21"/>
          <w:szCs w:val="21"/>
        </w:rPr>
        <w:t xml:space="preserve">y su año</w:t>
      </w:r>
      <w:r>
        <w:rPr>
          <w:rFonts w:ascii="Calibri" w:cs="Calibri" w:eastAsia="Calibri" w:hAnsi="Calibri"/>
          <w:sz w:val="21"/>
          <w:szCs w:val="21"/>
        </w:rPr>
        <w:t xml:space="preserve">, y el pliego añade que la designación se entiende hecha a la versión vigente </w:t>
      </w:r>
      <w:r>
        <w:rPr>
          <w:rFonts w:ascii="Calibri" w:cs="Calibri" w:eastAsia="Calibri" w:hAnsi="Calibri"/>
          <w:b/>
          <w:bCs/>
          <w:sz w:val="21"/>
          <w:szCs w:val="21"/>
        </w:rPr>
        <w:t xml:space="preserve">a la fecha de publicación del anuncio de licitación</w:t>
      </w:r>
      <w:r>
        <w:rPr>
          <w:rFonts w:ascii="Calibri" w:cs="Calibri" w:eastAsia="Calibri" w:hAnsi="Calibri"/>
          <w:sz w:val="21"/>
          <w:szCs w:val="21"/>
        </w:rPr>
        <w:t xml:space="preserve">, sin que su revisión posterior modifique el contenido de la obligación. «O norma que la sustituya» parece una cautela y es un defecto: permite que la obligación cambie después de que el licitador haya ofertado, sobre un texto que aún no existe.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o marco, con designación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exigirse como solvencia?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Equivalencias que hay que admitir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no se exige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Gestión de la inteligencia artificial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42001:2026</w:t>
            </w:r>
            <w:r>
              <w:rPr>
                <w:rFonts w:ascii="Calibri" w:cs="Calibri" w:eastAsia="Calibri" w:hAnsi="Calibri"/>
                <w:b w:val="false"/>
                <w:bCs w:val="false"/>
                <w:sz w:val="18"/>
                <w:szCs w:val="18"/>
              </w:rPr>
              <w:t xml:space="preserve">, «Tecnología de la información. Inteligencia artificial. Sistema de gestión», edición de 8 de abril de 2026, que anula la UNE-ISO/IEC 42001:2025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(recomendado) o solvencia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en contratos sujetos a regulación armonizada y cuando el sistema de IA sea elemento determinante de la prestación, no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organismo de cualquier Estado miembro; y </w:t>
            </w:r>
            <w:r>
              <w:rPr>
                <w:rFonts w:ascii="Calibri" w:cs="Calibri" w:eastAsia="Calibri" w:hAnsi="Calibri"/>
                <w:b/>
                <w:bCs/>
                <w:sz w:val="18"/>
                <w:szCs w:val="18"/>
              </w:rPr>
              <w:t xml:space="preserve">otras pruebas de medidas equivalentes</w:t>
            </w:r>
            <w:r>
              <w:rPr>
                <w:rFonts w:ascii="Calibri" w:cs="Calibri" w:eastAsia="Calibri" w:hAnsi="Calibri"/>
                <w:b w:val="false"/>
                <w:bCs w:val="false"/>
                <w:sz w:val="18"/>
                <w:szCs w:val="18"/>
              </w:rPr>
              <w:t xml:space="preserve"> (art. 93.2 LCSP): política aprobada por el órgano de dirección, procedimiento de gestión de riesgos, procedimiento de supervisión humana con puestos identificados, registro de incidencias y de cambios de modelo o versión, e informe de la última revisión con antigüedad no superior a </w:t>
            </w:r>
            <w:r>
              <w:rPr>
                <w:rFonts w:ascii="Calibri" w:cs="Calibri" w:eastAsia="Calibri" w:hAnsi="Calibri"/>
                <w:b/>
                <w:bCs/>
                <w:sz w:val="18"/>
                <w:szCs w:val="18"/>
              </w:rPr>
              <w:t xml:space="preserve">[X;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sin intervención de sistemas de IA sobre datos o procesos municipales; contratos menores; basados en acuerdo marco; adhesiones a centrales de compra; prórrogas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Seguridad de la información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u 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en el Informe de Necesidad y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cualquier Estado miembro;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conformidad con el Esquema Nacional de Seguridad ya cubra la necesidad. </w:t>
            </w:r>
            <w:r>
              <w:rPr>
                <w:rFonts w:ascii="Calibri" w:cs="Calibri" w:eastAsia="Calibri" w:hAnsi="Calibri"/>
                <w:b/>
                <w:bCs/>
                <w:sz w:val="18"/>
                <w:szCs w:val="18"/>
              </w:rPr>
              <w:t xml:space="preserve">Exigir las dos cosas sin motivar por qué no basta una es desproporcionado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Privacidad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27701:[año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Excepcional, sólo con motivación expresa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mismas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comporte tratamiento de datos personales por cuenta del Ayuntamiento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Esquema Nacional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Real Decreto 311/2022</w:t>
            </w:r>
            <w:r>
              <w:rPr>
                <w:rFonts w:ascii="Calibri" w:cs="Calibri" w:eastAsia="Calibri" w:hAnsi="Calibri"/>
                <w:b w:val="false"/>
                <w:bCs w:val="false"/>
                <w:sz w:val="18"/>
                <w:szCs w:val="18"/>
              </w:rPr>
              <w:t xml:space="preserve">, en la </w:t>
            </w:r>
            <w:r>
              <w:rPr>
                <w:rFonts w:ascii="Calibri" w:cs="Calibri" w:eastAsia="Calibri" w:hAnsi="Calibri"/>
                <w:b/>
                <w:bCs/>
                <w:sz w:val="18"/>
                <w:szCs w:val="18"/>
              </w:rPr>
              <w:t xml:space="preserve">categoría que resulte de su anexo I</w:t>
            </w:r>
            <w:r>
              <w:rPr>
                <w:rFonts w:ascii="Calibri" w:cs="Calibri" w:eastAsia="Calibri" w:hAnsi="Calibri"/>
                <w:b w:val="false"/>
                <w:bCs w:val="false"/>
                <w:sz w:val="18"/>
                <w:szCs w:val="18"/>
              </w:rPr>
              <w:t xml:space="preserve"> para el sistema de que se trate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más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como solvencia: es exigencia del sistema, no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el art. 38.1: </w:t>
            </w:r>
            <w:r>
              <w:rPr>
                <w:rFonts w:ascii="Calibri" w:cs="Calibri" w:eastAsia="Calibri" w:hAnsi="Calibri"/>
                <w:b/>
                <w:bCs/>
                <w:sz w:val="18"/>
                <w:szCs w:val="18"/>
              </w:rPr>
              <w:t xml:space="preserve">certificación de conformidad</w:t>
            </w:r>
            <w:r>
              <w:rPr>
                <w:rFonts w:ascii="Calibri" w:cs="Calibri" w:eastAsia="Calibri" w:hAnsi="Calibri"/>
                <w:b w:val="false"/>
                <w:bCs w:val="false"/>
                <w:sz w:val="18"/>
                <w:szCs w:val="18"/>
              </w:rPr>
              <w:t xml:space="preserve"> en categorías MEDIA y ALTA; </w:t>
            </w:r>
            <w:r>
              <w:rPr>
                <w:rFonts w:ascii="Calibri" w:cs="Calibri" w:eastAsia="Calibri" w:hAnsi="Calibri"/>
                <w:b/>
                <w:bCs/>
                <w:sz w:val="18"/>
                <w:szCs w:val="18"/>
              </w:rPr>
              <w:t xml:space="preserve">declaración de conformidad</w:t>
            </w:r>
            <w:r>
              <w:rPr>
                <w:rFonts w:ascii="Calibri" w:cs="Calibri" w:eastAsia="Calibri" w:hAnsi="Calibri"/>
                <w:b w:val="false"/>
                <w:bCs w:val="false"/>
                <w:sz w:val="18"/>
                <w:szCs w:val="18"/>
              </w:rPr>
              <w:t xml:space="preserve">, previa autoevaluación, en categoría BÁSICA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exige una categoría a priori ni por remisión a un nivel predeterminado. La categoría </w:t>
            </w:r>
            <w:r>
              <w:rPr>
                <w:rFonts w:ascii="Calibri" w:cs="Calibri" w:eastAsia="Calibri" w:hAnsi="Calibri"/>
                <w:b/>
                <w:bCs/>
                <w:sz w:val="18"/>
                <w:szCs w:val="18"/>
              </w:rPr>
              <w:t xml:space="preserve">resulta</w:t>
            </w:r>
            <w:r>
              <w:rPr>
                <w:rFonts w:ascii="Calibri" w:cs="Calibri" w:eastAsia="Calibri" w:hAnsi="Calibri"/>
                <w:b w:val="false"/>
                <w:bCs w:val="false"/>
                <w:sz w:val="18"/>
                <w:szCs w:val="18"/>
              </w:rPr>
              <w:t xml:space="preserve"> del análisis, firmado por el responsable de la información y el responsable del servicio, y la determina el responsable de la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del Real Decreto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exigencia se extiende a los subcontratistas cuyos sistemas sustenten el servicio, motivada en el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análisis de riesgos no la sostenga. Extenderla a toda la cadena sin análisis reduce la concurrencia sin ganar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Servicios electrónicos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de </w:t>
            </w:r>
            <w:r>
              <w:rPr>
                <w:rFonts w:ascii="Calibri" w:cs="Calibri" w:eastAsia="Calibri" w:hAnsi="Calibri"/>
                <w:b/>
                <w:bCs/>
                <w:sz w:val="18"/>
                <w:szCs w:val="18"/>
              </w:rPr>
              <w:t xml:space="preserve">prestador cualificado</w:t>
            </w:r>
            <w:r>
              <w:rPr>
                <w:rFonts w:ascii="Calibri" w:cs="Calibri" w:eastAsia="Calibri" w:hAnsi="Calibri"/>
                <w:b w:val="false"/>
                <w:bCs w:val="false"/>
                <w:sz w:val="18"/>
                <w:szCs w:val="18"/>
              </w:rPr>
              <w:t xml:space="preserve"> conforme a la normativa europea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aptitud o 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objeto comprenda efectivamente la prestación de tales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inscripción en la lista de confianza de cualquier Estado miembro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objeto no comprenda la prestación de servicios de confianza. Exigirlo «por si acaso» es una barrera de entrada sin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UNE-EN ISO 9001:[año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específica de qué aporta a </w:t>
            </w:r>
            <w:r>
              <w:rPr>
                <w:rFonts w:ascii="Calibri" w:cs="Calibri" w:eastAsia="Calibri" w:hAnsi="Calibri"/>
                <w:b/>
                <w:bCs/>
                <w:sz w:val="18"/>
                <w:szCs w:val="18"/>
              </w:rPr>
              <w:t xml:space="preserve">este</w:t>
            </w:r>
            <w:r>
              <w:rPr>
                <w:rFonts w:ascii="Calibri" w:cs="Calibri" w:eastAsia="Calibri" w:hAnsi="Calibri"/>
                <w:b w:val="false"/>
                <w:bCs w:val="false"/>
                <w:sz w:val="18"/>
                <w:szCs w:val="18"/>
              </w:rPr>
              <w:t xml:space="preserve">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Certificados equivalentes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w:t>
            </w:r>
            <w:r>
              <w:rPr>
                <w:rFonts w:ascii="Calibri" w:cs="Calibri" w:eastAsia="Calibri" w:hAnsi="Calibri"/>
                <w:b/>
                <w:bCs/>
                <w:sz w:val="18"/>
                <w:szCs w:val="18"/>
              </w:rPr>
              <w:t xml:space="preserve">no se exige</w:t>
            </w:r>
            <w:r>
              <w:rPr>
                <w:rFonts w:ascii="Calibri" w:cs="Calibri" w:eastAsia="Calibri" w:hAnsi="Calibri"/>
                <w:b w:val="false"/>
                <w:bCs w:val="false"/>
                <w:sz w:val="18"/>
                <w:szCs w:val="18"/>
              </w:rPr>
              <w:t xml:space="preserve">: es la certificación que más se pide por inercia y menos se motiva</w:t>
            </w:r>
          </w:p>
        </w:tc>
      </w:tr>
    </w:tbl>
    <w:p>
      <w:pPr>
        <w:spacing w:after="200"/>
      </w:pPr>
    </w:p>
    <w:p>
      <w:pPr>
        <w:spacing w:after="140" w:line="276"/>
      </w:pPr>
      <w:r>
        <w:rPr>
          <w:rFonts w:ascii="Calibri" w:cs="Calibri" w:eastAsia="Calibri" w:hAnsi="Calibri"/>
          <w:b/>
          <w:bCs/>
          <w:sz w:val="21"/>
          <w:szCs w:val="21"/>
        </w:rPr>
        <w:t xml:space="preserve">Cómo se acredita una equivalencia, en tres reglas.</w:t>
      </w:r>
    </w:p>
    <w:p>
      <w:pPr>
        <w:pStyle w:val="ListParagraph"/>
        <w:numPr>
          <w:ilvl w:val="0"/>
          <w:numId w:val="2"/>
        </w:numPr>
        <w:spacing w:after="70" w:line="268"/>
      </w:pPr>
      <w:r>
        <w:rPr>
          <w:rFonts w:ascii="Calibri" w:cs="Calibri" w:eastAsia="Calibri" w:hAnsi="Calibri"/>
          <w:b/>
          <w:bCs/>
          <w:sz w:val="21"/>
          <w:szCs w:val="21"/>
        </w:rPr>
        <w:t xml:space="preserve">La carga de la prueba es del licitador</w:t>
      </w:r>
      <w:r>
        <w:rPr>
          <w:rFonts w:ascii="Calibri" w:cs="Calibri" w:eastAsia="Calibri" w:hAnsi="Calibri"/>
          <w:sz w:val="21"/>
          <w:szCs w:val="21"/>
        </w:rPr>
        <w:t xml:space="preserve">, que la aporta </w:t>
      </w:r>
      <w:r>
        <w:rPr>
          <w:rFonts w:ascii="Calibri" w:cs="Calibri" w:eastAsia="Calibri" w:hAnsi="Calibri"/>
          <w:b/>
          <w:bCs/>
          <w:sz w:val="21"/>
          <w:szCs w:val="21"/>
        </w:rPr>
        <w:t xml:space="preserve">con la oferta</w:t>
      </w:r>
      <w:r>
        <w:rPr>
          <w:rFonts w:ascii="Calibri" w:cs="Calibri" w:eastAsia="Calibri" w:hAnsi="Calibri"/>
          <w:sz w:val="21"/>
          <w:szCs w:val="21"/>
        </w:rPr>
        <w:t xml:space="preserve"> o con la documentación previa a la adjudicación, según lo que el pliego determine. No se admite después.</w:t>
      </w:r>
    </w:p>
    <w:p>
      <w:pPr>
        <w:pStyle w:val="ListParagraph"/>
        <w:numPr>
          <w:ilvl w:val="0"/>
          <w:numId w:val="2"/>
        </w:numPr>
        <w:spacing w:after="70" w:line="268"/>
      </w:pPr>
      <w:r>
        <w:rPr>
          <w:rFonts w:ascii="Calibri" w:cs="Calibri" w:eastAsia="Calibri" w:hAnsi="Calibri"/>
          <w:b/>
          <w:bCs/>
          <w:sz w:val="21"/>
          <w:szCs w:val="21"/>
        </w:rPr>
        <w:t xml:space="preserve">El rechazo se motiva.</w:t>
      </w:r>
      <w:r>
        <w:rPr>
          <w:rFonts w:ascii="Calibri" w:cs="Calibri" w:eastAsia="Calibri" w:hAnsi="Calibri"/>
          <w:sz w:val="21"/>
          <w:szCs w:val="21"/>
        </w:rPr>
        <w:t xml:space="preserve"> Una equivalencia rechazada sin motivación técnica escrita es una decisión discrecional sobre un requisito de admisión, y así se alegará.</w:t>
      </w:r>
    </w:p>
    <w:p>
      <w:pPr>
        <w:pStyle w:val="ListParagraph"/>
        <w:numPr>
          <w:ilvl w:val="0"/>
          <w:numId w:val="2"/>
        </w:numPr>
        <w:spacing w:after="70" w:line="268"/>
      </w:pPr>
      <w:r>
        <w:rPr>
          <w:rFonts w:ascii="Calibri" w:cs="Calibri" w:eastAsia="Calibri" w:hAnsi="Calibri"/>
          <w:b/>
          <w:bCs/>
          <w:sz w:val="21"/>
          <w:szCs w:val="21"/>
        </w:rPr>
        <w:t xml:space="preserve">La equivalencia se juzga sobre el contenido, no sobre el título.</w:t>
      </w:r>
      <w:r>
        <w:rPr>
          <w:rFonts w:ascii="Calibri" w:cs="Calibri" w:eastAsia="Calibri" w:hAnsi="Calibri"/>
          <w:sz w:val="21"/>
          <w:szCs w:val="21"/>
        </w:rPr>
        <w:t xml:space="preserve"> Lo que hay que comprobar es si las medidas acreditadas cubren las mismas materias que la norma designada, no si el documento se llama igual.</w:t>
      </w:r>
    </w:p>
    <w:p>
      <w:pPr>
        <w:spacing w:after="140" w:line="276"/>
      </w:pPr>
      <w:r>
        <w:rPr>
          <w:rFonts w:ascii="Calibri" w:cs="Calibri" w:eastAsia="Calibri" w:hAnsi="Calibri"/>
          <w:b/>
          <w:bCs/>
          <w:sz w:val="21"/>
          <w:szCs w:val="21"/>
        </w:rPr>
        <w:t xml:space="preserve">Regla final del anexo.</w:t>
      </w:r>
      <w:r>
        <w:rPr>
          <w:rFonts w:ascii="Calibri" w:cs="Calibri" w:eastAsia="Calibri" w:hAnsi="Calibri"/>
          <w:sz w:val="21"/>
          <w:szCs w:val="21"/>
        </w:rPr>
        <w:t xml:space="preserve"> Si el redactor no sabe decir qué necesidad municipal concreta cubre una certificación, y con qué precepto, esa certificación no se exige. Un pliego que acumula certificaciones sin motivación individual no eleva la calidad de las ofertas: reduce el número de licitadores que pueden presentarlas.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 · MODELO DE ANUNCIO Y DE INFORME DE CONSULTA PRELIMINAR DEL MERCADO</w:t>
      </w:r>
    </w:p>
    <w:p>
      <w:pPr>
        <w:spacing w:after="140" w:line="276"/>
      </w:pPr>
      <w:r>
        <w:rPr>
          <w:rFonts w:ascii="Calibri" w:cs="Calibri" w:eastAsia="Calibri" w:hAnsi="Calibri"/>
          <w:sz w:val="21"/>
          <w:szCs w:val="21"/>
        </w:rPr>
        <w:t xml:space="preserve">Función: modelizar el instrumento que la memoria justificativa y el circuito del expediente describen y no entregan. La consulta preliminar del mercado del artículo 115 de la LCSP es la pieza que convierte la afirmación de neutralidad tecnológica en prueba de neutralidad tecnológica, y es además el contraste de mercado que el Anexo V exige para la revisión anual: </w:t>
      </w:r>
      <w:r>
        <w:rPr>
          <w:rFonts w:ascii="Calibri" w:cs="Calibri" w:eastAsia="Calibri" w:hAnsi="Calibri"/>
          <w:b/>
          <w:bCs/>
          <w:sz w:val="21"/>
          <w:szCs w:val="21"/>
        </w:rPr>
        <w:t xml:space="preserve">se hace una vez al año, de forma centralizada, y su documentación se reutiliza en todos los expedientes del ejercicio.</w:t>
      </w:r>
      <w:r>
        <w:rPr>
          <w:rFonts w:ascii="Calibri" w:cs="Calibri" w:eastAsia="Calibri" w:hAnsi="Calibri"/>
          <w:sz w:val="21"/>
          <w:szCs w:val="21"/>
        </w:rPr>
        <w:t xml:space="preserve"> Hacerla por expediente es inasumible y no añade nada.</w:t>
      </w:r>
    </w:p>
    <w:p>
      <w:pPr>
        <w:spacing w:after="140" w:line="276"/>
      </w:pPr>
      <w:r>
        <w:rPr>
          <w:rFonts w:ascii="Calibri" w:cs="Calibri" w:eastAsia="Calibri" w:hAnsi="Calibri"/>
          <w:b/>
          <w:bCs/>
          <w:sz w:val="21"/>
          <w:szCs w:val="21"/>
        </w:rPr>
        <w:t xml:space="preserve">Regla de orden, que es lo que más se incumple.</w:t>
      </w:r>
      <w:r>
        <w:rPr>
          <w:rFonts w:ascii="Calibri" w:cs="Calibri" w:eastAsia="Calibri" w:hAnsi="Calibri"/>
          <w:sz w:val="21"/>
          <w:szCs w:val="21"/>
        </w:rPr>
        <w:t xml:space="preserve"> La publicación del anuncio es </w:t>
      </w:r>
      <w:r>
        <w:rPr>
          <w:rFonts w:ascii="Calibri" w:cs="Calibri" w:eastAsia="Calibri" w:hAnsi="Calibri"/>
          <w:b/>
          <w:bCs/>
          <w:sz w:val="21"/>
          <w:szCs w:val="21"/>
        </w:rPr>
        <w:t xml:space="preserve">previa</w:t>
      </w:r>
      <w:r>
        <w:rPr>
          <w:rFonts w:ascii="Calibri" w:cs="Calibri" w:eastAsia="Calibri" w:hAnsi="Calibri"/>
          <w:sz w:val="21"/>
          <w:szCs w:val="21"/>
        </w:rPr>
        <w:t xml:space="preserve"> a la consulta, no posterior. Publicar después de haber hablado con el mercado no cumple el precepto y deja el expediente peor que si no se hubiera consultado.</w:t>
      </w:r>
    </w:p>
    <w:p>
      <w:pPr>
        <w:spacing w:after="140" w:line="276"/>
      </w:pPr>
      <w:r>
        <w:rPr>
          <w:rFonts w:ascii="Calibri" w:cs="Calibri" w:eastAsia="Calibri" w:hAnsi="Calibri"/>
          <w:sz w:val="21"/>
          <w:szCs w:val="21"/>
        </w:rPr>
        <w:t xml:space="preserve">---- INICIO DEL MODELO A — ANUNCIO PREVIO DE CONSULTA ----</w:t>
      </w:r>
    </w:p>
    <w:p>
      <w:pPr>
        <w:spacing w:after="140" w:line="276"/>
      </w:pPr>
      <w:r>
        <w:rPr>
          <w:rFonts w:ascii="Calibri" w:cs="Calibri" w:eastAsia="Calibri" w:hAnsi="Calibri"/>
          <w:b/>
          <w:bCs/>
          <w:sz w:val="21"/>
          <w:szCs w:val="21"/>
        </w:rPr>
        <w:t xml:space="preserve">ANUNCIO DE CONSULTA PRELIMINAR DEL MERCADO</w:t>
      </w:r>
    </w:p>
    <w:p>
      <w:pPr>
        <w:spacing w:after="140" w:line="276"/>
      </w:pPr>
      <w:r>
        <w:rPr>
          <w:rFonts w:ascii="Calibri" w:cs="Calibri" w:eastAsia="Calibri" w:hAnsi="Calibri"/>
          <w:i/>
          <w:iCs/>
          <w:sz w:val="21"/>
          <w:szCs w:val="21"/>
        </w:rPr>
        <w:t xml:space="preserve">(Artículo 115 de la Ley 9/2017, de Contratos del Sector Público)</w:t>
      </w:r>
    </w:p>
    <w:p>
      <w:pPr>
        <w:spacing w:after="140" w:line="276"/>
      </w:pPr>
      <w:r>
        <w:rPr>
          <w:rFonts w:ascii="Calibri" w:cs="Calibri" w:eastAsia="Calibri" w:hAnsi="Calibri"/>
          <w:sz w:val="21"/>
          <w:szCs w:val="21"/>
        </w:rPr>
        <w:t xml:space="preserve">Publicado en el perfil de contratante alojado en la Plataforma de Contratación del Sector Público [o servicio de información equivalente], con fecha …… / …… / …… .</w:t>
      </w:r>
    </w:p>
    <w:p>
      <w:pPr>
        <w:spacing w:after="140" w:line="276"/>
      </w:pPr>
      <w:r>
        <w:rPr>
          <w:rFonts w:ascii="Calibri" w:cs="Calibri" w:eastAsia="Calibri" w:hAnsi="Calibri"/>
          <w:b/>
          <w:bCs/>
          <w:sz w:val="21"/>
          <w:szCs w:val="21"/>
        </w:rPr>
        <w:t xml:space="preserve">1. Órgano que promueve la consulta:</w:t>
      </w:r>
      <w:r>
        <w:rPr>
          <w:rFonts w:ascii="Calibri" w:cs="Calibri" w:eastAsia="Calibri" w:hAnsi="Calibri"/>
          <w:sz w:val="21"/>
          <w:szCs w:val="21"/>
        </w:rPr>
        <w:t xml:space="preserve"> ……………………… · </w:t>
      </w:r>
      <w:r>
        <w:rPr>
          <w:rFonts w:ascii="Calibri" w:cs="Calibri" w:eastAsia="Calibri" w:hAnsi="Calibri"/>
          <w:b/>
          <w:bCs/>
          <w:sz w:val="21"/>
          <w:szCs w:val="21"/>
        </w:rPr>
        <w:t xml:space="preserve">Servicio responsable:</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2. Objeto de la consulta.</w:t>
      </w:r>
      <w:r>
        <w:rPr>
          <w:rFonts w:ascii="Calibri" w:cs="Calibri" w:eastAsia="Calibri" w:hAnsi="Calibri"/>
          <w:sz w:val="21"/>
          <w:szCs w:val="21"/>
        </w:rPr>
        <w:t xml:space="preserve"> Conocer las capacidades disponibles en el mercado en relación con [materia del ejercicio del Catálogo de Exigencias Tecnológicas: …………………], con la finalidad de preparar correctamente las licitaciones del ejercicio [ ] y de comprobar que las exigencias que se prevé incorporar pueden ser cumplidas, en el plazo previsto, por una pluralidad de operadores.</w:t>
      </w:r>
    </w:p>
    <w:p>
      <w:pPr>
        <w:spacing w:after="140" w:line="276"/>
      </w:pPr>
      <w:r>
        <w:rPr>
          <w:rFonts w:ascii="Calibri" w:cs="Calibri" w:eastAsia="Calibri" w:hAnsi="Calibri"/>
          <w:b/>
          <w:bCs/>
          <w:sz w:val="21"/>
          <w:szCs w:val="21"/>
        </w:rPr>
        <w:t xml:space="preserve">3. Cuestiones que se someten a consulta.</w:t>
      </w:r>
      <w:r>
        <w:rPr>
          <w:rFonts w:ascii="Calibri" w:cs="Calibri" w:eastAsia="Calibri" w:hAnsi="Calibri"/>
          <w:sz w:val="21"/>
          <w:szCs w:val="21"/>
        </w:rPr>
        <w:t xml:space="preserve"> </w:t>
      </w:r>
      <w:r>
        <w:rPr>
          <w:rFonts w:ascii="Calibri" w:cs="Calibri" w:eastAsia="Calibri" w:hAnsi="Calibri"/>
          <w:i/>
          <w:iCs/>
          <w:sz w:val="21"/>
          <w:szCs w:val="21"/>
        </w:rPr>
        <w:t xml:space="preserve">(Se formulan por función y por resultado, nunca por producto, protocolo o red.)</w:t>
      </w:r>
    </w:p>
    <w:p>
      <w:pPr>
        <w:spacing w:after="140" w:line="276"/>
      </w:pPr>
      <w:r>
        <w:rPr>
          <w:rFonts w:ascii="Calibri" w:cs="Calibri" w:eastAsia="Calibri" w:hAnsi="Calibri"/>
          <w:sz w:val="21"/>
          <w:szCs w:val="21"/>
        </w:rPr>
        <w:t xml:space="preserve">a) ¿Con qué medios y en qué plazo puede exponerse [la capacidad de que se trate] en soluciones ya operativas en administraciones locales?</w:t>
      </w:r>
    </w:p>
    <w:p>
      <w:pPr>
        <w:spacing w:after="140" w:line="276"/>
      </w:pPr>
      <w:r>
        <w:rPr>
          <w:rFonts w:ascii="Calibri" w:cs="Calibri" w:eastAsia="Calibri" w:hAnsi="Calibri"/>
          <w:sz w:val="21"/>
          <w:szCs w:val="21"/>
        </w:rPr>
        <w:t xml:space="preserve">b) ¿Qué plazo mínimo razonable requiere su implantación desde la formalización de un contrato?</w:t>
      </w:r>
    </w:p>
    <w:p>
      <w:pPr>
        <w:spacing w:after="140" w:line="276"/>
      </w:pPr>
      <w:r>
        <w:rPr>
          <w:rFonts w:ascii="Calibri" w:cs="Calibri" w:eastAsia="Calibri" w:hAnsi="Calibri"/>
          <w:sz w:val="21"/>
          <w:szCs w:val="21"/>
        </w:rPr>
        <w:t xml:space="preserve">c) ¿Qué criterios de aceptación permitirían comprobarla de forma binaria en un entorno de pruebas?</w:t>
      </w:r>
    </w:p>
    <w:p>
      <w:pPr>
        <w:spacing w:after="140" w:line="276"/>
      </w:pPr>
      <w:r>
        <w:rPr>
          <w:rFonts w:ascii="Calibri" w:cs="Calibri" w:eastAsia="Calibri" w:hAnsi="Calibri"/>
          <w:sz w:val="21"/>
          <w:szCs w:val="21"/>
        </w:rPr>
        <w:t xml:space="preserve">d) ¿Qué coste incremental aproximado comporta, y sobre qué base se calcula?</w:t>
      </w:r>
    </w:p>
    <w:p>
      <w:pPr>
        <w:spacing w:after="140" w:line="276"/>
      </w:pPr>
      <w:r>
        <w:rPr>
          <w:rFonts w:ascii="Calibri" w:cs="Calibri" w:eastAsia="Calibri" w:hAnsi="Calibri"/>
          <w:sz w:val="21"/>
          <w:szCs w:val="21"/>
        </w:rPr>
        <w:t xml:space="preserve">e) ¿Qué obstáculos técnicos o de licenciamiento impedirían cumplirla?</w:t>
      </w:r>
    </w:p>
    <w:p>
      <w:pPr>
        <w:spacing w:after="140" w:line="276"/>
      </w:pPr>
      <w:r>
        <w:rPr>
          <w:rFonts w:ascii="Calibri" w:cs="Calibri" w:eastAsia="Calibri" w:hAnsi="Calibri"/>
          <w:b/>
          <w:bCs/>
          <w:sz w:val="21"/>
          <w:szCs w:val="21"/>
        </w:rPr>
        <w:t xml:space="preserve">4. Inicio y plazo.</w:t>
      </w:r>
      <w:r>
        <w:rPr>
          <w:rFonts w:ascii="Calibri" w:cs="Calibri" w:eastAsia="Calibri" w:hAnsi="Calibri"/>
          <w:sz w:val="21"/>
          <w:szCs w:val="21"/>
        </w:rPr>
        <w:t xml:space="preserve"> La consulta se inicia el …… / …… / …… y las aportaciones podrán presentarse hasta el …… / …… / …… , por [medio], en [formato].</w:t>
      </w:r>
    </w:p>
    <w:p>
      <w:pPr>
        <w:spacing w:after="140" w:line="276"/>
      </w:pPr>
      <w:r>
        <w:rPr>
          <w:rFonts w:ascii="Calibri" w:cs="Calibri" w:eastAsia="Calibri" w:hAnsi="Calibri"/>
          <w:b/>
          <w:bCs/>
          <w:sz w:val="21"/>
          <w:szCs w:val="21"/>
        </w:rPr>
        <w:t xml:space="preserve">5. Terceros que van a participar.</w:t>
      </w:r>
      <w:r>
        <w:rPr>
          <w:rFonts w:ascii="Calibri" w:cs="Calibri" w:eastAsia="Calibri" w:hAnsi="Calibri"/>
          <w:sz w:val="21"/>
          <w:szCs w:val="21"/>
        </w:rPr>
        <w:t xml:space="preserve"> Se relacionan a continuación las denominaciones de los terceros cuya participación está prevista a la fecha de este anuncio: ………………………………………… . </w:t>
      </w:r>
      <w:r>
        <w:rPr>
          <w:rFonts w:ascii="Calibri" w:cs="Calibri" w:eastAsia="Calibri" w:hAnsi="Calibri"/>
          <w:i/>
          <w:iCs/>
          <w:sz w:val="21"/>
          <w:szCs w:val="21"/>
        </w:rPr>
        <w:t xml:space="preserve">(Si se han seleccionado asesores externos, se expresan las razones de su elección: …………………)</w:t>
      </w:r>
    </w:p>
    <w:p>
      <w:pPr>
        <w:spacing w:after="140" w:line="276"/>
      </w:pPr>
      <w:r>
        <w:rPr>
          <w:rFonts w:ascii="Calibri" w:cs="Calibri" w:eastAsia="Calibri" w:hAnsi="Calibri"/>
          <w:b/>
          <w:bCs/>
          <w:sz w:val="21"/>
          <w:szCs w:val="21"/>
        </w:rPr>
        <w:t xml:space="preserve">6. Advertencias que se hacen constar expresamente.</w:t>
      </w:r>
    </w:p>
    <w:p>
      <w:pPr>
        <w:spacing w:after="140" w:line="276"/>
      </w:pPr>
      <w:r>
        <w:rPr>
          <w:rFonts w:ascii="Calibri" w:cs="Calibri" w:eastAsia="Calibri" w:hAnsi="Calibri"/>
          <w:sz w:val="21"/>
          <w:szCs w:val="21"/>
        </w:rPr>
        <w:t xml:space="preserve">a) La participación en esta consulta </w:t>
      </w:r>
      <w:r>
        <w:rPr>
          <w:rFonts w:ascii="Calibri" w:cs="Calibri" w:eastAsia="Calibri" w:hAnsi="Calibri"/>
          <w:b/>
          <w:bCs/>
          <w:sz w:val="21"/>
          <w:szCs w:val="21"/>
        </w:rPr>
        <w:t xml:space="preserve">no comporta ventaja alguna</w:t>
      </w:r>
      <w:r>
        <w:rPr>
          <w:rFonts w:ascii="Calibri" w:cs="Calibri" w:eastAsia="Calibri" w:hAnsi="Calibri"/>
          <w:sz w:val="21"/>
          <w:szCs w:val="21"/>
        </w:rPr>
        <w:t xml:space="preserve"> respecto de la adjudicación de los contratos que se convoquen, ni exclusión de ellos.</w:t>
      </w:r>
    </w:p>
    <w:p>
      <w:pPr>
        <w:spacing w:after="140" w:line="276"/>
      </w:pPr>
      <w:r>
        <w:rPr>
          <w:rFonts w:ascii="Calibri" w:cs="Calibri" w:eastAsia="Calibri" w:hAnsi="Calibri"/>
          <w:sz w:val="21"/>
          <w:szCs w:val="21"/>
        </w:rPr>
        <w:t xml:space="preserve">b) No se revelará a unos participantes la solución propuesta por otros.</w:t>
      </w:r>
    </w:p>
    <w:p>
      <w:pPr>
        <w:spacing w:after="140" w:line="276"/>
      </w:pPr>
      <w:r>
        <w:rPr>
          <w:rFonts w:ascii="Calibri" w:cs="Calibri" w:eastAsia="Calibri" w:hAnsi="Calibri"/>
          <w:sz w:val="21"/>
          <w:szCs w:val="21"/>
        </w:rPr>
        <w:t xml:space="preserve">c) Toda la información aportada que resulte relevante para las licitaciones </w:t>
      </w:r>
      <w:r>
        <w:rPr>
          <w:rFonts w:ascii="Calibri" w:cs="Calibri" w:eastAsia="Calibri" w:hAnsi="Calibri"/>
          <w:b/>
          <w:bCs/>
          <w:sz w:val="21"/>
          <w:szCs w:val="21"/>
        </w:rPr>
        <w:t xml:space="preserve">se pondrá a disposición del resto de licitadores</w:t>
      </w:r>
      <w:r>
        <w:rPr>
          <w:rFonts w:ascii="Calibri" w:cs="Calibri" w:eastAsia="Calibri" w:hAnsi="Calibri"/>
          <w:sz w:val="21"/>
          <w:szCs w:val="21"/>
        </w:rPr>
        <w:t xml:space="preserve"> en las mismas condiciones.</w:t>
      </w:r>
    </w:p>
    <w:p>
      <w:pPr>
        <w:spacing w:after="140" w:line="276"/>
      </w:pPr>
      <w:r>
        <w:rPr>
          <w:rFonts w:ascii="Calibri" w:cs="Calibri" w:eastAsia="Calibri" w:hAnsi="Calibri"/>
          <w:sz w:val="21"/>
          <w:szCs w:val="21"/>
        </w:rPr>
        <w:t xml:space="preserve">d) De esta consulta no puede resultar un objeto contractual tan concreto y delimitado que únicamente se ajuste a las características técnicas de uno de los consultados.</w:t>
      </w:r>
    </w:p>
    <w:p>
      <w:pPr>
        <w:spacing w:after="140" w:line="276"/>
      </w:pPr>
      <w:r>
        <w:rPr>
          <w:rFonts w:ascii="Calibri" w:cs="Calibri" w:eastAsia="Calibri" w:hAnsi="Calibri"/>
          <w:sz w:val="21"/>
          <w:szCs w:val="21"/>
        </w:rPr>
        <w:t xml:space="preserve">e) Quienes participen deberán suscribir la declaración de participación previa en la preparación (modelo B del Anexo IX de este catálogo).</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INFORME MOTIVADO DE RESULTADO ----</w:t>
      </w:r>
    </w:p>
    <w:p>
      <w:pPr>
        <w:spacing w:after="140" w:line="276"/>
      </w:pPr>
      <w:r>
        <w:rPr>
          <w:rFonts w:ascii="Calibri" w:cs="Calibri" w:eastAsia="Calibri" w:hAnsi="Calibri"/>
          <w:b/>
          <w:bCs/>
          <w:sz w:val="21"/>
          <w:szCs w:val="21"/>
        </w:rPr>
        <w:t xml:space="preserve">INFORME MOTIVADO DE LA CONSULTA PRELIMINAR DEL MERCADO</w:t>
      </w:r>
    </w:p>
    <w:p>
      <w:pPr>
        <w:spacing w:after="140" w:line="276"/>
      </w:pPr>
      <w:r>
        <w:rPr>
          <w:rFonts w:ascii="Calibri" w:cs="Calibri" w:eastAsia="Calibri" w:hAnsi="Calibri"/>
          <w:i/>
          <w:iCs/>
          <w:sz w:val="21"/>
          <w:szCs w:val="21"/>
        </w:rPr>
        <w:t xml:space="preserve">(Art. 115.3 de la Ley 9/2017. Forma parte del expediente y se publica con la misma publicidad que los pliegos.)</w:t>
      </w:r>
    </w:p>
    <w:p>
      <w:pPr>
        <w:spacing w:after="140" w:line="276"/>
      </w:pPr>
      <w:r>
        <w:rPr>
          <w:rFonts w:ascii="Calibri" w:cs="Calibri" w:eastAsia="Calibri" w:hAnsi="Calibri"/>
          <w:b/>
          <w:bCs/>
          <w:sz w:val="21"/>
          <w:szCs w:val="21"/>
        </w:rPr>
        <w:t xml:space="preserve">1. Anuncio previo.</w:t>
      </w:r>
      <w:r>
        <w:rPr>
          <w:rFonts w:ascii="Calibri" w:cs="Calibri" w:eastAsia="Calibri" w:hAnsi="Calibri"/>
          <w:sz w:val="21"/>
          <w:szCs w:val="21"/>
        </w:rPr>
        <w:t xml:space="preserve"> Publicado el …… / …… / …… en …………… . Plazo de aportaciones: de …… a …… .</w:t>
      </w:r>
    </w:p>
    <w:p>
      <w:pPr>
        <w:spacing w:after="140" w:line="276"/>
      </w:pPr>
      <w:r>
        <w:rPr>
          <w:rFonts w:ascii="Calibri" w:cs="Calibri" w:eastAsia="Calibri" w:hAnsi="Calibri"/>
          <w:b/>
          <w:bCs/>
          <w:sz w:val="21"/>
          <w:szCs w:val="21"/>
        </w:rPr>
        <w:t xml:space="preserve">2. Estudios realizados y sus autores.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Estudio o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Autor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Encargado o espontáneo</w:t>
            </w:r>
          </w:p>
        </w:tc>
      </w:tr>
    </w:tbl>
    <w:p>
      <w:pPr>
        <w:spacing w:after="200"/>
      </w:pPr>
    </w:p>
    <w:p>
      <w:pPr>
        <w:spacing w:after="140" w:line="276"/>
      </w:pPr>
      <w:r>
        <w:rPr>
          <w:rFonts w:ascii="Calibri" w:cs="Calibri" w:eastAsia="Calibri" w:hAnsi="Calibri"/>
          <w:b/>
          <w:bCs/>
          <w:sz w:val="21"/>
          <w:szCs w:val="21"/>
        </w:rPr>
        <w:t xml:space="preserve">3. Entidades consultadas y respuestas recibidas.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Entidad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la aportación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 suscrito la declaración de participación previa?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200"/>
      </w:pPr>
    </w:p>
    <w:p>
      <w:pPr>
        <w:spacing w:after="140" w:line="276"/>
      </w:pPr>
      <w:r>
        <w:rPr>
          <w:rFonts w:ascii="Calibri" w:cs="Calibri" w:eastAsia="Calibri" w:hAnsi="Calibri"/>
          <w:b/>
          <w:bCs/>
          <w:sz w:val="21"/>
          <w:szCs w:val="21"/>
        </w:rPr>
        <w:t xml:space="preserve">4. Cuestiones formuladas y síntesis de las respuestas.</w:t>
      </w:r>
      <w:r>
        <w:rPr>
          <w:rFonts w:ascii="Calibri" w:cs="Calibri" w:eastAsia="Calibri" w:hAnsi="Calibri"/>
          <w:sz w:val="21"/>
          <w:szCs w:val="21"/>
        </w:rPr>
        <w:t xml:space="preserve"> </w:t>
      </w:r>
      <w:r>
        <w:rPr>
          <w:rFonts w:ascii="Calibri" w:cs="Calibri" w:eastAsia="Calibri" w:hAnsi="Calibri"/>
          <w:i/>
          <w:iCs/>
          <w:sz w:val="21"/>
          <w:szCs w:val="21"/>
        </w:rPr>
        <w:t xml:space="preserve">(Una fila por cuestión del apartado 3 del anuncio. La síntesis no identifica al autor de cada solución cuando ello revelaría su propuesta a los demás.)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Cuestión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Síntesis de las respuestas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Convergencias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Discrepancias</w:t>
            </w:r>
          </w:p>
        </w:tc>
      </w:tr>
    </w:tbl>
    <w:p>
      <w:pPr>
        <w:spacing w:after="200"/>
      </w:pPr>
    </w:p>
    <w:p>
      <w:pPr>
        <w:spacing w:after="140" w:line="276"/>
      </w:pPr>
      <w:r>
        <w:rPr>
          <w:rFonts w:ascii="Calibri" w:cs="Calibri" w:eastAsia="Calibri" w:hAnsi="Calibri"/>
          <w:b/>
          <w:bCs/>
          <w:sz w:val="21"/>
          <w:szCs w:val="21"/>
        </w:rPr>
        <w:t xml:space="preserve">5. Conclusión sobre la pluralidad de operadores.</w:t>
      </w:r>
      <w:r>
        <w:rPr>
          <w:rFonts w:ascii="Calibri" w:cs="Calibri" w:eastAsia="Calibri" w:hAnsi="Calibri"/>
          <w:sz w:val="21"/>
          <w:szCs w:val="21"/>
        </w:rPr>
        <w:t xml:space="preserve"> Del resultado de la consulta se concluye que las exigencias siguientes pueden ser cumplidas, en el plazo indicado,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 operadores que acreditan poder cumplirla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mínimo que declaran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incorpora al Catálogo del ejercicio?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 se aplaza</w:t>
            </w:r>
          </w:p>
        </w:tc>
      </w:tr>
    </w:tbl>
    <w:p>
      <w:pPr>
        <w:spacing w:after="200"/>
      </w:pPr>
    </w:p>
    <w:p>
      <w:pPr>
        <w:spacing w:after="140" w:line="276"/>
      </w:pPr>
      <w:r>
        <w:rPr>
          <w:rFonts w:ascii="Calibri" w:cs="Calibri" w:eastAsia="Calibri" w:hAnsi="Calibri"/>
          <w:b/>
          <w:bCs/>
          <w:sz w:val="21"/>
          <w:szCs w:val="21"/>
        </w:rPr>
        <w:t xml:space="preserve">6. Resultados que se han tenido en cuenta al elaborar los pliegos, y resultados que no.</w:t>
      </w:r>
      <w:r>
        <w:rPr>
          <w:rFonts w:ascii="Calibri" w:cs="Calibri" w:eastAsia="Calibri" w:hAnsi="Calibri"/>
          <w:sz w:val="21"/>
          <w:szCs w:val="21"/>
        </w:rPr>
        <w:t xml:space="preserve"> Se relacionan expresamente las aportaciones que se han incorporado y, respecto de las que no se han tenido en cuenta, </w:t>
      </w:r>
      <w:r>
        <w:rPr>
          <w:rFonts w:ascii="Calibri" w:cs="Calibri" w:eastAsia="Calibri" w:hAnsi="Calibri"/>
          <w:b/>
          <w:bCs/>
          <w:sz w:val="21"/>
          <w:szCs w:val="21"/>
        </w:rPr>
        <w:t xml:space="preserve">el motivo</w:t>
      </w:r>
      <w:r>
        <w:rPr>
          <w:rFonts w:ascii="Calibri" w:cs="Calibri" w:eastAsia="Calibri" w:hAnsi="Calibri"/>
          <w:sz w:val="21"/>
          <w:szCs w:val="21"/>
        </w:rPr>
        <w:t xml:space="preserve">: ………………………… . </w:t>
      </w:r>
      <w:r>
        <w:rPr>
          <w:rFonts w:ascii="Calibri" w:cs="Calibri" w:eastAsia="Calibri" w:hAnsi="Calibri"/>
          <w:i/>
          <w:iCs/>
          <w:sz w:val="21"/>
          <w:szCs w:val="21"/>
        </w:rPr>
        <w:t xml:space="preserve">(La omisión de este apartado es el defecto más frecuente y el más fácil de reprochar: el precepto obliga a dejar constancia de los motivos.)</w:t>
      </w:r>
    </w:p>
    <w:p>
      <w:pPr>
        <w:spacing w:after="140" w:line="276"/>
      </w:pPr>
      <w:r>
        <w:rPr>
          <w:rFonts w:ascii="Calibri" w:cs="Calibri" w:eastAsia="Calibri" w:hAnsi="Calibri"/>
          <w:b/>
          <w:bCs/>
          <w:sz w:val="21"/>
          <w:szCs w:val="21"/>
        </w:rPr>
        <w:t xml:space="preserve">7. Medidas adoptadas para que la participación previa no falsee la competencia.</w:t>
      </w:r>
      <w:r>
        <w:rPr>
          <w:rFonts w:ascii="Calibri" w:cs="Calibri" w:eastAsia="Calibri" w:hAnsi="Calibri"/>
          <w:sz w:val="21"/>
          <w:szCs w:val="21"/>
        </w:rPr>
        <w:t xml:space="preserve"> Se remite al cuadro C del Anexo IX, cuyas filas se cumplimentan con la constancia documental de este expediente.</w:t>
      </w:r>
    </w:p>
    <w:p>
      <w:pPr>
        <w:spacing w:after="140" w:line="276"/>
      </w:pPr>
      <w:r>
        <w:rPr>
          <w:rFonts w:ascii="Calibri" w:cs="Calibri" w:eastAsia="Calibri" w:hAnsi="Calibri"/>
          <w:sz w:val="21"/>
          <w:szCs w:val="21"/>
        </w:rPr>
        <w:t xml:space="preserve">Firma del servicio responsable · Fecha</w:t>
      </w:r>
    </w:p>
    <w:p>
      <w:pPr>
        <w:spacing w:after="140" w:line="276"/>
      </w:pPr>
      <w:r>
        <w:rPr>
          <w:rFonts w:ascii="Calibri" w:cs="Calibri" w:eastAsia="Calibri" w:hAnsi="Calibri"/>
          <w:sz w:val="21"/>
          <w:szCs w:val="21"/>
        </w:rPr>
        <w:t xml:space="preserve">---- FIN DEL MODELO B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XXIII · PRESTACIONES DE CARÁCTER INTELECTUAL: REGLA DE MOTIVACIÓN</w:t>
      </w:r>
    </w:p>
    <w:p>
      <w:pPr>
        <w:spacing w:after="140" w:line="276"/>
      </w:pPr>
      <w:r>
        <w:rPr>
          <w:rFonts w:ascii="Calibri" w:cs="Calibri" w:eastAsia="Calibri" w:hAnsi="Calibri"/>
          <w:sz w:val="21"/>
          <w:szCs w:val="21"/>
        </w:rPr>
        <w:t xml:space="preserve">Función: cerrar un concepto del que dependen tres decisiones de este catálogo y que ninguna de sus partes define. De la calificación de un contrato como de prestaciones de carácter intelectual dependen: el </w:t>
      </w:r>
      <w:r>
        <w:rPr>
          <w:rFonts w:ascii="Calibri" w:cs="Calibri" w:eastAsia="Calibri" w:hAnsi="Calibri"/>
          <w:b/>
          <w:bCs/>
          <w:sz w:val="21"/>
          <w:szCs w:val="21"/>
        </w:rPr>
        <w:t xml:space="preserve">51 %</w:t>
      </w:r>
      <w:r>
        <w:rPr>
          <w:rFonts w:ascii="Calibri" w:cs="Calibri" w:eastAsia="Calibri" w:hAnsi="Calibri"/>
          <w:sz w:val="21"/>
          <w:szCs w:val="21"/>
        </w:rPr>
        <w:t xml:space="preserve"> mínimo de criterios cualitativos (art. 145.4 LCSP), el </w:t>
      </w:r>
      <w:r>
        <w:rPr>
          <w:rFonts w:ascii="Calibri" w:cs="Calibri" w:eastAsia="Calibri" w:hAnsi="Calibri"/>
          <w:b/>
          <w:bCs/>
          <w:sz w:val="21"/>
          <w:szCs w:val="21"/>
        </w:rPr>
        <w:t xml:space="preserve">45 %</w:t>
      </w:r>
      <w:r>
        <w:rPr>
          <w:rFonts w:ascii="Calibri" w:cs="Calibri" w:eastAsia="Calibri" w:hAnsi="Calibri"/>
          <w:sz w:val="21"/>
          <w:szCs w:val="21"/>
        </w:rPr>
        <w:t xml:space="preserve"> de tope de juicio de valor en el procedimiento abierto simplificado en lugar del 25 % (art. 159.1.b), y la </w:t>
      </w:r>
      <w:r>
        <w:rPr>
          <w:rFonts w:ascii="Calibri" w:cs="Calibri" w:eastAsia="Calibri" w:hAnsi="Calibri"/>
          <w:b/>
          <w:bCs/>
          <w:sz w:val="21"/>
          <w:szCs w:val="21"/>
        </w:rPr>
        <w:t xml:space="preserve">exclusión del procedimiento abreviado</w:t>
      </w:r>
      <w:r>
        <w:rPr>
          <w:rFonts w:ascii="Calibri" w:cs="Calibri" w:eastAsia="Calibri" w:hAnsi="Calibri"/>
          <w:sz w:val="21"/>
          <w:szCs w:val="21"/>
        </w:rPr>
        <w:t xml:space="preserve"> (art. 159.6).</w:t>
      </w:r>
    </w:p>
    <w:p>
      <w:pPr>
        <w:spacing w:after="140" w:line="276"/>
      </w:pPr>
      <w:r>
        <w:rPr>
          <w:rFonts w:ascii="Calibri" w:cs="Calibri" w:eastAsia="Calibri" w:hAnsi="Calibri"/>
          <w:b/>
          <w:bCs/>
          <w:sz w:val="21"/>
          <w:szCs w:val="21"/>
        </w:rPr>
        <w:t xml:space="preserve">Advertencia de método, que se formula como se formulan en este documento todas las afirmaciones negativas.</w:t>
      </w:r>
      <w:r>
        <w:rPr>
          <w:rFonts w:ascii="Calibri" w:cs="Calibri" w:eastAsia="Calibri" w:hAnsi="Calibri"/>
          <w:sz w:val="21"/>
          <w:szCs w:val="21"/>
        </w:rPr>
        <w:t xml:space="preserve"> La Ley de Contratos del Sector Público emplea la expresión en los preceptos citados y no la define. Este catálogo </w:t>
      </w:r>
      <w:r>
        <w:rPr>
          <w:rFonts w:ascii="Calibri" w:cs="Calibri" w:eastAsia="Calibri" w:hAnsi="Calibri"/>
          <w:b/>
          <w:bCs/>
          <w:sz w:val="21"/>
          <w:szCs w:val="21"/>
        </w:rPr>
        <w:t xml:space="preserve">no ha verificado en fuente primaria</w:t>
      </w:r>
      <w:r>
        <w:rPr>
          <w:rFonts w:ascii="Calibri" w:cs="Calibri" w:eastAsia="Calibri" w:hAnsi="Calibri"/>
          <w:sz w:val="21"/>
          <w:szCs w:val="21"/>
        </w:rPr>
        <w:t xml:space="preserve"> doctrina que delimite el concepto para los contratos de servicios informáticos; la comprobación queda encargada antes de aprobar cualquier expediente que se apoye en la calificación, y se añade a las comprobaciones pendientes del Anexo XI.3. Lo que sigue no es, por tanto, una definición: es una </w:t>
      </w:r>
      <w:r>
        <w:rPr>
          <w:rFonts w:ascii="Calibri" w:cs="Calibri" w:eastAsia="Calibri" w:hAnsi="Calibri"/>
          <w:b/>
          <w:bCs/>
          <w:sz w:val="21"/>
          <w:szCs w:val="21"/>
        </w:rPr>
        <w:t xml:space="preserve">regla de motivación</w:t>
      </w:r>
      <w:r>
        <w:rPr>
          <w:rFonts w:ascii="Calibri" w:cs="Calibri" w:eastAsia="Calibri" w:hAnsi="Calibri"/>
          <w:sz w:val="21"/>
          <w:szCs w:val="21"/>
        </w:rPr>
        <w:t xml:space="preserve">, y su valor está en obligar a escribir el razonamiento donde tiene que estar.</w:t>
      </w:r>
    </w:p>
    <w:p>
      <w:pPr>
        <w:spacing w:after="140" w:line="276"/>
      </w:pPr>
      <w:r>
        <w:rPr>
          <w:rFonts w:ascii="Calibri" w:cs="Calibri" w:eastAsia="Calibri" w:hAnsi="Calibri"/>
          <w:b/>
          <w:bCs/>
          <w:sz w:val="21"/>
          <w:szCs w:val="21"/>
        </w:rPr>
        <w:t xml:space="preserve">Regla primera: la calificación se motiva en el expediente, antes de aprobar el pliego, y no se deduce del objeto.</w:t>
      </w:r>
      <w:r>
        <w:rPr>
          <w:rFonts w:ascii="Calibri" w:cs="Calibri" w:eastAsia="Calibri" w:hAnsi="Calibri"/>
          <w:sz w:val="21"/>
          <w:szCs w:val="21"/>
        </w:rPr>
        <w:t xml:space="preserve"> No basta con que el contrato sea de servicios informáticos. Se motiva por escrito, en el Informe de Necesidad, y la motivación se traslada a la memoria de criterios.</w:t>
      </w:r>
    </w:p>
    <w:p>
      <w:pPr>
        <w:spacing w:after="140" w:line="276"/>
      </w:pPr>
      <w:r>
        <w:rPr>
          <w:rFonts w:ascii="Calibri" w:cs="Calibri" w:eastAsia="Calibri" w:hAnsi="Calibri"/>
          <w:b/>
          <w:bCs/>
          <w:sz w:val="21"/>
          <w:szCs w:val="21"/>
        </w:rPr>
        <w:t xml:space="preserve">Regla segunda: se motiva sobre la prestación, no sobre el sector.</w:t>
      </w:r>
      <w:r>
        <w:rPr>
          <w:rFonts w:ascii="Calibri" w:cs="Calibri" w:eastAsia="Calibri" w:hAnsi="Calibri"/>
          <w:sz w:val="21"/>
          <w:szCs w:val="21"/>
        </w:rPr>
        <w:t xml:space="preserve"> Los indicios que sostienen la calificación, que deben concurrir de forma acumulativa y acreditarse uno a 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prestación consiste principalmente en </w:t>
            </w:r>
            <w:r>
              <w:rPr>
                <w:rFonts w:ascii="Calibri" w:cs="Calibri" w:eastAsia="Calibri" w:hAnsi="Calibri"/>
                <w:b/>
                <w:bCs/>
                <w:sz w:val="18"/>
                <w:szCs w:val="18"/>
              </w:rPr>
              <w:t xml:space="preserve">análisis, diseño, concepción o elaboración</w:t>
            </w:r>
            <w:r>
              <w:rPr>
                <w:rFonts w:ascii="Calibri" w:cs="Calibri" w:eastAsia="Calibri" w:hAnsi="Calibri"/>
                <w:b w:val="false"/>
                <w:bCs w:val="false"/>
                <w:sz w:val="18"/>
                <w:szCs w:val="18"/>
              </w:rPr>
              <w:t xml:space="preserve">, y su resultado no es un bien ni un servicio predeterminado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del entregable principal: si es un producto ya existente que se instala y se mantiene, el indicio no concurre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w:t>
            </w:r>
            <w:r>
              <w:rPr>
                <w:rFonts w:ascii="Calibri" w:cs="Calibri" w:eastAsia="Calibri" w:hAnsi="Calibri"/>
                <w:b/>
                <w:bCs/>
                <w:sz w:val="18"/>
                <w:szCs w:val="18"/>
              </w:rPr>
              <w:t xml:space="preserve">varía sustancialmente</w:t>
            </w:r>
            <w:r>
              <w:rPr>
                <w:rFonts w:ascii="Calibri" w:cs="Calibri" w:eastAsia="Calibri" w:hAnsi="Calibri"/>
                <w:b w:val="false"/>
                <w:bCs w:val="false"/>
                <w:sz w:val="18"/>
                <w:szCs w:val="18"/>
              </w:rPr>
              <w:t xml:space="preserve"> según la aptitud y el criterio profesional de quien lo ejecuta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Comparación razonada de dos soluciones posibles para la misma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calidad del resultado </w:t>
            </w:r>
            <w:r>
              <w:rPr>
                <w:rFonts w:ascii="Calibri" w:cs="Calibri" w:eastAsia="Calibri" w:hAnsi="Calibri"/>
                <w:b/>
                <w:bCs/>
                <w:sz w:val="18"/>
                <w:szCs w:val="18"/>
              </w:rPr>
              <w:t xml:space="preserve">no puede asegurarse mediante prescripciones técnicas cerradas</w:t>
            </w:r>
            <w:r>
              <w:rPr>
                <w:rFonts w:ascii="Calibri" w:cs="Calibri" w:eastAsia="Calibri" w:hAnsi="Calibri"/>
                <w:b w:val="false"/>
                <w:bCs w:val="false"/>
                <w:sz w:val="18"/>
                <w:szCs w:val="18"/>
              </w:rPr>
              <w:t xml:space="preserve"> y sólo se comprueba valorando la solución propuesta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por qué el PPT no puede describir exhaustivamente el resultado exigido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está determinado principalmente por el </w:t>
            </w:r>
            <w:r>
              <w:rPr>
                <w:rFonts w:ascii="Calibri" w:cs="Calibri" w:eastAsia="Calibri" w:hAnsi="Calibri"/>
                <w:b/>
                <w:bCs/>
                <w:sz w:val="18"/>
                <w:szCs w:val="18"/>
              </w:rPr>
              <w:t xml:space="preserve">esfuerzo profesional cualificado</w:t>
            </w:r>
            <w:r>
              <w:rPr>
                <w:rFonts w:ascii="Calibri" w:cs="Calibri" w:eastAsia="Calibri" w:hAnsi="Calibri"/>
                <w:b w:val="false"/>
                <w:bCs w:val="false"/>
                <w:sz w:val="18"/>
                <w:szCs w:val="18"/>
              </w:rPr>
              <w:t xml:space="preserve">, y no por licencias, equipos o infraestructura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Desglose del presupuesto base de licitación por partidas</w:t>
            </w:r>
          </w:p>
        </w:tc>
      </w:tr>
    </w:tbl>
    <w:p>
      <w:pPr>
        <w:spacing w:after="200"/>
      </w:pPr>
    </w:p>
    <w:p>
      <w:pPr>
        <w:spacing w:after="140" w:line="276"/>
      </w:pPr>
      <w:r>
        <w:rPr>
          <w:rFonts w:ascii="Calibri" w:cs="Calibri" w:eastAsia="Calibri" w:hAnsi="Calibri"/>
          <w:b/>
          <w:bCs/>
          <w:sz w:val="21"/>
          <w:szCs w:val="21"/>
        </w:rPr>
        <w:t xml:space="preserve">Regla tercera: la calificación tiene consecuencias en cadena, y se comprueban todas antes de publicar.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el contrato </w:t>
            </w:r>
            <w:r>
              <w:rPr>
                <w:rFonts w:ascii="Calibri" w:cs="Calibri" w:eastAsia="Calibri" w:hAnsi="Calibri"/>
                <w:b/>
                <w:bCs/>
                <w:color w:val="1F3864"/>
                <w:sz w:val="18"/>
                <w:szCs w:val="18"/>
              </w:rPr>
              <w:t xml:space="preserve">es</w:t>
            </w:r>
            <w:r>
              <w:rPr>
                <w:rFonts w:ascii="Calibri" w:cs="Calibri" w:eastAsia="Calibri" w:hAnsi="Calibri"/>
                <w:b/>
                <w:bCs/>
                <w:color w:val="1F3864"/>
                <w:sz w:val="18"/>
                <w:szCs w:val="18"/>
              </w:rPr>
              <w:t xml:space="preserve"> de prestaciones de carácter intelectual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w:t>
            </w:r>
            <w:r>
              <w:rPr>
                <w:rFonts w:ascii="Calibri" w:cs="Calibri" w:eastAsia="Calibri" w:hAnsi="Calibri"/>
                <w:b/>
                <w:bCs/>
                <w:color w:val="1F3864"/>
                <w:sz w:val="18"/>
                <w:szCs w:val="18"/>
              </w:rPr>
              <w:t xml:space="preserve">no</w:t>
            </w:r>
            <w:r>
              <w:rPr>
                <w:rFonts w:ascii="Calibri" w:cs="Calibri" w:eastAsia="Calibri" w:hAnsi="Calibri"/>
                <w:b/>
                <w:bCs/>
                <w:color w:val="1F3864"/>
                <w:sz w:val="18"/>
                <w:szCs w:val="18"/>
              </w:rPr>
              <w:t xml:space="preserve"> lo 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cualitativos deben representar al menos el </w:t>
            </w:r>
            <w:r>
              <w:rPr>
                <w:rFonts w:ascii="Calibri" w:cs="Calibri" w:eastAsia="Calibri" w:hAnsi="Calibri"/>
                <w:b/>
                <w:bCs/>
                <w:sz w:val="18"/>
                <w:szCs w:val="18"/>
              </w:rPr>
              <w:t xml:space="preserve">51 %</w:t>
            </w:r>
            <w:r>
              <w:rPr>
                <w:rFonts w:ascii="Calibri" w:cs="Calibri" w:eastAsia="Calibri" w:hAnsi="Calibri"/>
                <w:b w:val="false"/>
                <w:bCs w:val="false"/>
                <w:sz w:val="18"/>
                <w:szCs w:val="18"/>
              </w:rPr>
              <w:t xml:space="preserve"> de la puntuación (art. 145.4)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opera ese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abierto simplificado, el juicio de valor puede llegar al </w:t>
            </w:r>
            <w:r>
              <w:rPr>
                <w:rFonts w:ascii="Calibri" w:cs="Calibri" w:eastAsia="Calibri" w:hAnsi="Calibri"/>
                <w:b/>
                <w:bCs/>
                <w:sz w:val="18"/>
                <w:szCs w:val="18"/>
              </w:rPr>
              <w:t xml:space="preserve">45 %</w:t>
            </w:r>
            <w:r>
              <w:rPr>
                <w:rFonts w:ascii="Calibri" w:cs="Calibri" w:eastAsia="Calibri" w:hAnsi="Calibri"/>
                <w:b w:val="false"/>
                <w:bCs w:val="false"/>
                <w:sz w:val="18"/>
                <w:szCs w:val="18"/>
              </w:rPr>
              <w:t xml:space="preserve">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tope es el </w:t>
            </w:r>
            <w:r>
              <w:rPr>
                <w:rFonts w:ascii="Calibri" w:cs="Calibri" w:eastAsia="Calibri" w:hAnsi="Calibri"/>
                <w:b/>
                <w:bCs/>
                <w:sz w:val="18"/>
                <w:szCs w:val="18"/>
              </w:rPr>
              <w:t xml:space="preserve">25 %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cabe el procedimiento abreviado</w:t>
            </w:r>
            <w:r>
              <w:rPr>
                <w:rFonts w:ascii="Calibri" w:cs="Calibri" w:eastAsia="Calibri" w:hAnsi="Calibri"/>
                <w:b w:val="false"/>
                <w:bCs w:val="false"/>
                <w:sz w:val="18"/>
                <w:szCs w:val="18"/>
              </w:rPr>
              <w:t xml:space="preserve"> (art. 159.6)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Cabe, si se cumplen sus demás requisitos</w:t>
            </w:r>
          </w:p>
        </w:tc>
      </w:tr>
    </w:tbl>
    <w:p>
      <w:pPr>
        <w:spacing w:after="200"/>
      </w:pPr>
    </w:p>
    <w:p>
      <w:pPr>
        <w:spacing w:after="140" w:line="276"/>
      </w:pPr>
      <w:r>
        <w:rPr>
          <w:rFonts w:ascii="Calibri" w:cs="Calibri" w:eastAsia="Calibri" w:hAnsi="Calibri"/>
          <w:b/>
          <w:bCs/>
          <w:sz w:val="21"/>
          <w:szCs w:val="21"/>
        </w:rPr>
        <w:t xml:space="preserve">Regla cuarta, y es la que más veces se incumple: la calificación no se usa a conveniencia.</w:t>
      </w:r>
      <w:r>
        <w:rPr>
          <w:rFonts w:ascii="Calibri" w:cs="Calibri" w:eastAsia="Calibri" w:hAnsi="Calibri"/>
          <w:sz w:val="21"/>
          <w:szCs w:val="21"/>
        </w:rPr>
        <w:t xml:space="preserve"> Un expediente no puede invocar el carácter intelectual para justificar un 45 % de juicio de valor y, en el mismo pliego, tramitar por el procedimiento abreviado, que esa misma calificación excluye. Ni puede invocarlo para el 51 % y negarlo al calcular el tope del simplificado. </w:t>
      </w:r>
      <w:r>
        <w:rPr>
          <w:rFonts w:ascii="Calibri" w:cs="Calibri" w:eastAsia="Calibri" w:hAnsi="Calibri"/>
          <w:b/>
          <w:bCs/>
          <w:sz w:val="21"/>
          <w:szCs w:val="21"/>
        </w:rPr>
        <w:t xml:space="preserve">La calificación es una y produce todos sus efectos.</w:t>
      </w:r>
      <w:r>
        <w:rPr>
          <w:rFonts w:ascii="Calibri" w:cs="Calibri" w:eastAsia="Calibri" w:hAnsi="Calibri"/>
          <w:sz w:val="21"/>
          <w:szCs w:val="21"/>
        </w:rPr>
        <w:t xml:space="preserve"> El aviso correspondiente figura en el Anexo IV, comprobaciones 2, 3 y 4.</w:t>
      </w:r>
    </w:p>
    <w:p>
      <w:pPr>
        <w:spacing w:after="140" w:line="276"/>
      </w:pPr>
      <w:r>
        <w:rPr>
          <w:rFonts w:ascii="Calibri" w:cs="Calibri" w:eastAsia="Calibri" w:hAnsi="Calibri"/>
          <w:b/>
          <w:bCs/>
          <w:sz w:val="21"/>
          <w:szCs w:val="21"/>
        </w:rPr>
        <w:t xml:space="preserve">Regla quinta: por defecto, no se califica.</w:t>
      </w:r>
      <w:r>
        <w:rPr>
          <w:rFonts w:ascii="Calibri" w:cs="Calibri" w:eastAsia="Calibri" w:hAnsi="Calibri"/>
          <w:sz w:val="21"/>
          <w:szCs w:val="21"/>
        </w:rPr>
        <w:t xml:space="preserve"> Cuando el contrato tenga por objeto el suministro, la implantación y el mantenimiento evolutivo de una solución de mercado —que es el supuesto ordinario de este catálogo—, la calificación </w:t>
      </w:r>
      <w:r>
        <w:rPr>
          <w:rFonts w:ascii="Calibri" w:cs="Calibri" w:eastAsia="Calibri" w:hAnsi="Calibri"/>
          <w:b/>
          <w:bCs/>
          <w:sz w:val="21"/>
          <w:szCs w:val="21"/>
        </w:rPr>
        <w:t xml:space="preserve">no</w:t>
      </w:r>
      <w:r>
        <w:rPr>
          <w:rFonts w:ascii="Calibri" w:cs="Calibri" w:eastAsia="Calibri" w:hAnsi="Calibri"/>
          <w:sz w:val="21"/>
          <w:szCs w:val="21"/>
        </w:rPr>
        <w:t xml:space="preserve"> procede, y el expediente lo dice en una línea. Calificar por inercia un contrato de mantenimiento como prestación intelectual, para elevar el peso del juicio de valor, es exactamente lo que un órgano de recursos comprueba primero.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XXIV · CONTRATOS YA FORMALIZADOS CON LA VERSIÓN 2 DEL CLAUSULADO</w:t>
      </w:r>
    </w:p>
    <w:p>
      <w:pPr>
        <w:spacing w:after="140" w:line="276"/>
      </w:pPr>
      <w:r>
        <w:rPr>
          <w:rFonts w:ascii="Calibri" w:cs="Calibri" w:eastAsia="Calibri" w:hAnsi="Calibri"/>
          <w:sz w:val="21"/>
          <w:szCs w:val="21"/>
        </w:rPr>
        <w:t xml:space="preserve">Función: resolver el caso que el resto del documento no cubre. La tabla de correspondencias del Anexo XII dice a quien </w:t>
      </w:r>
      <w:r>
        <w:rPr>
          <w:rFonts w:ascii="Calibri" w:cs="Calibri" w:eastAsia="Calibri" w:hAnsi="Calibri"/>
          <w:b/>
          <w:bCs/>
          <w:sz w:val="21"/>
          <w:szCs w:val="21"/>
        </w:rPr>
        <w:t xml:space="preserve">va a redactar</w:t>
      </w:r>
      <w:r>
        <w:rPr>
          <w:rFonts w:ascii="Calibri" w:cs="Calibri" w:eastAsia="Calibri" w:hAnsi="Calibri"/>
          <w:sz w:val="21"/>
          <w:szCs w:val="21"/>
        </w:rPr>
        <w:t xml:space="preserve"> qué debe rectificar; el circuito del expediente cubre las prórrogas; el piloto cubre lo que está por licitar. Falta el contrato </w:t>
      </w:r>
      <w:r>
        <w:rPr>
          <w:rFonts w:ascii="Calibri" w:cs="Calibri" w:eastAsia="Calibri" w:hAnsi="Calibri"/>
          <w:b/>
          <w:bCs/>
          <w:sz w:val="21"/>
          <w:szCs w:val="21"/>
        </w:rPr>
        <w:t xml:space="preserve">vivo, formalizado y en ejecución</w:t>
      </w:r>
      <w:r>
        <w:rPr>
          <w:rFonts w:ascii="Calibri" w:cs="Calibri" w:eastAsia="Calibri" w:hAnsi="Calibri"/>
          <w:sz w:val="21"/>
          <w:szCs w:val="21"/>
        </w:rPr>
        <w:t xml:space="preserve"> con cláusulas de la versión 2.</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Regla primera, y de ella deriva todo lo demás: los pliegos son </w:t>
      </w:r>
      <w:r>
        <w:rPr>
          <w:rFonts w:ascii="Calibri" w:cs="Calibri" w:eastAsia="Calibri" w:hAnsi="Calibri"/>
          <w:sz w:val="21"/>
          <w:szCs w:val="21"/>
        </w:rPr>
        <w:t xml:space="preserve">lex contractus</w:t>
      </w:r>
      <w:r>
        <w:rPr>
          <w:rFonts w:ascii="Calibri" w:cs="Calibri" w:eastAsia="Calibri" w:hAnsi="Calibri"/>
          <w:i/>
          <w:iCs/>
          <w:sz w:val="21"/>
          <w:szCs w:val="21"/>
        </w:rPr>
        <w:t xml:space="preserve">.</w:t>
      </w:r>
      <w:r>
        <w:rPr>
          <w:rFonts w:ascii="Calibri" w:cs="Calibri" w:eastAsia="Calibri" w:hAnsi="Calibri"/>
          <w:sz w:val="21"/>
          <w:szCs w:val="21"/>
        </w:rPr>
        <w:t xml:space="preserve">* Las correcciones de la versión 3 </w:t>
      </w:r>
      <w:r>
        <w:rPr>
          <w:rFonts w:ascii="Calibri" w:cs="Calibri" w:eastAsia="Calibri" w:hAnsi="Calibri"/>
          <w:b/>
          <w:bCs/>
          <w:sz w:val="21"/>
          <w:szCs w:val="21"/>
        </w:rPr>
        <w:t xml:space="preserve">no se aplican retroactivamente</w:t>
      </w:r>
      <w:r>
        <w:rPr>
          <w:rFonts w:ascii="Calibri" w:cs="Calibri" w:eastAsia="Calibri" w:hAnsi="Calibri"/>
          <w:sz w:val="21"/>
          <w:szCs w:val="21"/>
        </w:rPr>
        <w:t xml:space="preserve"> a un contrato en vigor. Lo pactado es lo que figura en sus pliegos, con sus defectos. Nada de lo que este catálogo diga altera un contrato ya formalizado, y así se hace constar en la resolución de aprobación anual del Anexo XV.</w:t>
      </w:r>
    </w:p>
    <w:p>
      <w:pPr>
        <w:spacing w:after="140" w:line="276"/>
      </w:pPr>
      <w:r>
        <w:rPr>
          <w:rFonts w:ascii="Calibri" w:cs="Calibri" w:eastAsia="Calibri" w:hAnsi="Calibri"/>
          <w:b/>
          <w:bCs/>
          <w:sz w:val="21"/>
          <w:szCs w:val="21"/>
        </w:rPr>
        <w:t xml:space="preserve">Regla segunda: lo que no se puede hacer.</w:t>
      </w:r>
    </w:p>
    <w:p>
      <w:pPr>
        <w:pStyle w:val="ListParagraph"/>
        <w:numPr>
          <w:ilvl w:val="0"/>
          <w:numId w:val="1"/>
        </w:numPr>
        <w:spacing w:after="70" w:line="268"/>
      </w:pPr>
      <w:r>
        <w:rPr>
          <w:rFonts w:ascii="Calibri" w:cs="Calibri" w:eastAsia="Calibri" w:hAnsi="Calibri"/>
          <w:b/>
          <w:bCs/>
          <w:sz w:val="21"/>
          <w:szCs w:val="21"/>
        </w:rPr>
        <w:t xml:space="preserve">No se introducen las cláusulas de la versión 3 por la vía de una modificación contractual.</w:t>
      </w:r>
      <w:r>
        <w:rPr>
          <w:rFonts w:ascii="Calibri" w:cs="Calibri" w:eastAsia="Calibri" w:hAnsi="Calibri"/>
          <w:sz w:val="21"/>
          <w:szCs w:val="21"/>
        </w:rPr>
        <w:t xml:space="preserve"> Una modificación no prevista de las del artículo 205 de la LCSP exige que concurran sus supuestos; añadir obligaciones nuevas al contratista porque el Ayuntamiento ha mejorado su clausulado no es ninguno de ellos. Intentarlo produce una modificación anulable y un contratista con derecho a reclamar.</w:t>
      </w:r>
    </w:p>
    <w:p>
      <w:pPr>
        <w:pStyle w:val="ListParagraph"/>
        <w:numPr>
          <w:ilvl w:val="0"/>
          <w:numId w:val="1"/>
        </w:numPr>
        <w:spacing w:after="70" w:line="268"/>
      </w:pPr>
      <w:r>
        <w:rPr>
          <w:rFonts w:ascii="Calibri" w:cs="Calibri" w:eastAsia="Calibri" w:hAnsi="Calibri"/>
          <w:b/>
          <w:bCs/>
          <w:sz w:val="21"/>
          <w:szCs w:val="21"/>
        </w:rPr>
        <w:t xml:space="preserve">No se reinterpretan las cláusulas de la versión 2 con el vocabulario de la versión 3.</w:t>
      </w:r>
      <w:r>
        <w:rPr>
          <w:rFonts w:ascii="Calibri" w:cs="Calibri" w:eastAsia="Calibri" w:hAnsi="Calibri"/>
          <w:sz w:val="21"/>
          <w:szCs w:val="21"/>
        </w:rPr>
        <w:t xml:space="preserve"> Si el contrato dice «obsolescencia tecnológica» con la definición abierta que la versión 3 abandonó, esa es la obligación pactada, y su indeterminación juega contra quien la redactó.</w:t>
      </w:r>
    </w:p>
    <w:p>
      <w:pPr>
        <w:pStyle w:val="ListParagraph"/>
        <w:numPr>
          <w:ilvl w:val="0"/>
          <w:numId w:val="1"/>
        </w:numPr>
        <w:spacing w:after="70" w:line="268"/>
      </w:pPr>
      <w:r>
        <w:rPr>
          <w:rFonts w:ascii="Calibri" w:cs="Calibri" w:eastAsia="Calibri" w:hAnsi="Calibri"/>
          <w:b/>
          <w:bCs/>
          <w:sz w:val="21"/>
          <w:szCs w:val="21"/>
        </w:rPr>
        <w:t xml:space="preserve">No se penaliza sobre hechos que el contrato no tipifica.</w:t>
      </w:r>
      <w:r>
        <w:rPr>
          <w:rFonts w:ascii="Calibri" w:cs="Calibri" w:eastAsia="Calibri" w:hAnsi="Calibri"/>
          <w:sz w:val="21"/>
          <w:szCs w:val="21"/>
        </w:rPr>
        <w:t xml:space="preserve"> El cuadro de penalidades de la versión 3 no es aplicable a un contrato que no lo incorpora.</w:t>
      </w:r>
    </w:p>
    <w:p>
      <w:pPr>
        <w:spacing w:after="140" w:line="276"/>
      </w:pPr>
      <w:r>
        <w:rPr>
          <w:rFonts w:ascii="Calibri" w:cs="Calibri" w:eastAsia="Calibri" w:hAnsi="Calibri"/>
          <w:b/>
          <w:bCs/>
          <w:sz w:val="21"/>
          <w:szCs w:val="21"/>
        </w:rPr>
        <w:t xml:space="preserve">Regla tercera: lo que sí se puede hacer, por orden de menor a mayor intervención.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procede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se documenta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Inventariar</w:t>
            </w:r>
            <w:r>
              <w:rPr>
                <w:rFonts w:ascii="Calibri" w:cs="Calibri" w:eastAsia="Calibri" w:hAnsi="Calibri"/>
                <w:b w:val="false"/>
                <w:bCs w:val="false"/>
                <w:sz w:val="18"/>
                <w:szCs w:val="18"/>
              </w:rPr>
              <w:t xml:space="preserve"> los contratos vivos con cláusulas de la versión 2, con su fecha de finalización y de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y es lo primero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por el responsable de cada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Ejercer las facultades que el contrato ya concede</w:t>
            </w:r>
            <w:r>
              <w:rPr>
                <w:rFonts w:ascii="Calibri" w:cs="Calibri" w:eastAsia="Calibri" w:hAnsi="Calibri"/>
                <w:b w:val="false"/>
                <w:bCs w:val="false"/>
                <w:sz w:val="18"/>
                <w:szCs w:val="18"/>
              </w:rPr>
              <w:t xml:space="preserve"> —seguimiento, informes, entrega de documentación— aunque el contrato no las llame como las llama la versión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del Anexo XVIII, adaptadas al contenido del contrato de que se trate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Solicitar del contratista, sin contraprestación y con carácter voluntario</w:t>
            </w:r>
            <w:r>
              <w:rPr>
                <w:rFonts w:ascii="Calibri" w:cs="Calibri" w:eastAsia="Calibri" w:hAnsi="Calibri"/>
                <w:b w:val="false"/>
                <w:bCs w:val="false"/>
                <w:sz w:val="18"/>
                <w:szCs w:val="18"/>
              </w:rPr>
              <w:t xml:space="preserve">, la entrega anticipada del inventario de componentes y del 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los prevea y el contratista acceda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escrito que </w:t>
            </w:r>
            <w:r>
              <w:rPr>
                <w:rFonts w:ascii="Calibri" w:cs="Calibri" w:eastAsia="Calibri" w:hAnsi="Calibri"/>
                <w:b/>
                <w:bCs/>
                <w:sz w:val="18"/>
                <w:szCs w:val="18"/>
              </w:rPr>
              <w:t xml:space="preserve">declare expresamente su carácter voluntario y gratuito</w:t>
            </w:r>
            <w:r>
              <w:rPr>
                <w:rFonts w:ascii="Calibri" w:cs="Calibri" w:eastAsia="Calibri" w:hAnsi="Calibri"/>
                <w:b w:val="false"/>
                <w:bCs w:val="false"/>
                <w:sz w:val="18"/>
                <w:szCs w:val="18"/>
              </w:rPr>
              <w:t xml:space="preserve">, y que no altera 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Preparar la reversión con lo que el contrato dé de 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penúltimo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con el modelo B del Anexo XVIII, en la medida en que el contrato lo permita; y en su defecto, informe que deje constancia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puede exigirse, para la siguiente licitación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prorrogar</w:t>
            </w:r>
            <w:r>
              <w:rPr>
                <w:rFonts w:ascii="Calibri" w:cs="Calibri" w:eastAsia="Calibri" w:hAnsi="Calibri"/>
                <w:b w:val="false"/>
                <w:bCs w:val="false"/>
                <w:sz w:val="18"/>
                <w:szCs w:val="18"/>
              </w:rPr>
              <w:t xml:space="preserve">, cuando la prórroga sea potestativa y el contrato carezca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informe anterior acredite el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previo al acuerdo de prórroga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Aplicar el catálogo íntegro en la licitación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II e Informe de Necesidad del nuevo expediente</w:t>
            </w:r>
          </w:p>
        </w:tc>
      </w:tr>
    </w:tbl>
    <w:p>
      <w:pPr>
        <w:spacing w:after="200"/>
      </w:pPr>
    </w:p>
    <w:p>
      <w:pPr>
        <w:spacing w:after="140" w:line="276"/>
      </w:pPr>
      <w:r>
        <w:rPr>
          <w:rFonts w:ascii="Calibri" w:cs="Calibri" w:eastAsia="Calibri" w:hAnsi="Calibri"/>
          <w:b/>
          <w:bCs/>
          <w:sz w:val="21"/>
          <w:szCs w:val="21"/>
        </w:rPr>
        <w:t xml:space="preserve">Regla cuarta: las prórrogas.</w:t>
      </w:r>
      <w:r>
        <w:rPr>
          <w:rFonts w:ascii="Calibri" w:cs="Calibri" w:eastAsia="Calibri" w:hAnsi="Calibri"/>
          <w:sz w:val="21"/>
          <w:szCs w:val="21"/>
        </w:rPr>
        <w:t xml:space="preserve"> En una prórroga no caben obligaciones nuevas. Lo que sí cabe, y conviene, es que el informe que la propone deje constancia de qué exigencias del catálogo </w:t>
      </w:r>
      <w:r>
        <w:rPr>
          <w:rFonts w:ascii="Calibri" w:cs="Calibri" w:eastAsia="Calibri" w:hAnsi="Calibri"/>
          <w:b/>
          <w:bCs/>
          <w:sz w:val="21"/>
          <w:szCs w:val="21"/>
        </w:rPr>
        <w:t xml:space="preserve">no</w:t>
      </w:r>
      <w:r>
        <w:rPr>
          <w:rFonts w:ascii="Calibri" w:cs="Calibri" w:eastAsia="Calibri" w:hAnsi="Calibri"/>
          <w:sz w:val="21"/>
          <w:szCs w:val="21"/>
        </w:rPr>
        <w:t xml:space="preserve"> pueden introducirse y de qué consecuencias tiene, para que la decisión de prorrogar se adopte sabiendo lo que se prorroga.</w:t>
      </w:r>
    </w:p>
    <w:p>
      <w:pPr>
        <w:spacing w:after="140" w:line="276"/>
      </w:pPr>
      <w:r>
        <w:rPr>
          <w:rFonts w:ascii="Calibri" w:cs="Calibri" w:eastAsia="Calibri" w:hAnsi="Calibri"/>
          <w:b/>
          <w:bCs/>
          <w:sz w:val="21"/>
          <w:szCs w:val="21"/>
        </w:rPr>
        <w:t xml:space="preserve">Regla quinta, y es la única buena noticia del anexo: el valor está en la siguiente licitación.</w:t>
      </w:r>
      <w:r>
        <w:rPr>
          <w:rFonts w:ascii="Calibri" w:cs="Calibri" w:eastAsia="Calibri" w:hAnsi="Calibri"/>
          <w:sz w:val="21"/>
          <w:szCs w:val="21"/>
        </w:rPr>
        <w:t xml:space="preserve"> Un contrato vivo mal cubierto no se arregla; se documenta. El Dossier de Reversibilidad que hoy no existe se sustituye por el informe de lo que no puede exigirse, y ese informe es el mejor material de partida del pliego siguiente. Es también el argumento más eficaz ante el órgano de gobierno para aprobar el acuerdo del Anexo VIII.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XXV · REGLA DE COMPOSICIÓN Y NUMERACIÓN DE LOS APÉNDICES TÉCNICOS DEL PLIEGO</w:t>
      </w:r>
    </w:p>
    <w:p>
      <w:pPr>
        <w:spacing w:after="140" w:line="276"/>
      </w:pPr>
      <w:r>
        <w:rPr>
          <w:rFonts w:ascii="Calibri" w:cs="Calibri" w:eastAsia="Calibri" w:hAnsi="Calibri"/>
          <w:sz w:val="21"/>
          <w:szCs w:val="21"/>
        </w:rPr>
        <w:t xml:space="preserve">Función: evitar que tres cláusulas técnicas remitan cada una a «el apéndice de este pliego» sin que nadie diga cuántos son ni cómo se numeran. Las cláusulas DT-4·v3, DT-7·v3 y DT-9·v3 exigen apéndice, y el Anexo XIX de este catálogo añade uno más. Un pliego con apéndices sin rotular produce remisiones que no resuelven.</w:t>
      </w:r>
    </w:p>
    <w:p>
      <w:pPr>
        <w:spacing w:after="140" w:line="276"/>
      </w:pPr>
      <w:r>
        <w:rPr>
          <w:rFonts w:ascii="Calibri" w:cs="Calibri" w:eastAsia="Calibri" w:hAnsi="Calibri"/>
          <w:b/>
          <w:bCs/>
          <w:sz w:val="21"/>
          <w:szCs w:val="21"/>
        </w:rPr>
        <w:t xml:space="preserve">Una sola sede para la interfaz normalizada.</w:t>
      </w:r>
      <w:r>
        <w:rPr>
          <w:rFonts w:ascii="Calibri" w:cs="Calibri" w:eastAsia="Calibri" w:hAnsi="Calibri"/>
          <w:sz w:val="21"/>
          <w:szCs w:val="21"/>
        </w:rPr>
        <w:t xml:space="preserve"> DT-7·v3 y DT-9·v3 versan sobre el mismo elemento —los módulos y las funciones de la interfaz normalizada— y comparten un </w:t>
      </w:r>
      <w:r>
        <w:rPr>
          <w:rFonts w:ascii="Calibri" w:cs="Calibri" w:eastAsia="Calibri" w:hAnsi="Calibri"/>
          <w:b/>
          <w:bCs/>
          <w:sz w:val="21"/>
          <w:szCs w:val="21"/>
        </w:rPr>
        <w:t xml:space="preserve">único apéndice</w:t>
      </w:r>
      <w:r>
        <w:rPr>
          <w:rFonts w:ascii="Calibri" w:cs="Calibri" w:eastAsia="Calibri" w:hAnsi="Calibri"/>
          <w:sz w:val="21"/>
          <w:szCs w:val="21"/>
        </w:rPr>
        <w:t xml:space="preserve">. La versión anterior de esta regla les daba uno a cada una, con el resultado de que un pliego montado al pie de la letra tenía </w:t>
      </w:r>
      <w:r>
        <w:rPr>
          <w:rFonts w:ascii="Calibri" w:cs="Calibri" w:eastAsia="Calibri" w:hAnsi="Calibri"/>
          <w:b/>
          <w:bCs/>
          <w:sz w:val="21"/>
          <w:szCs w:val="21"/>
        </w:rPr>
        <w:t xml:space="preserve">dos relaciones cerradas sobre la misma interfaz</w:t>
      </w:r>
      <w:r>
        <w:rPr>
          <w:rFonts w:ascii="Calibri" w:cs="Calibri" w:eastAsia="Calibri" w:hAnsi="Calibri"/>
          <w:sz w:val="21"/>
          <w:szCs w:val="21"/>
        </w:rPr>
        <w:t xml:space="preserve"> y el criterio de adjudicación A no decía respecto de cuál se medía el exceso ofertado: indeterminación del término de comparación de un criterio automático (arts. 145.5.b y 145.5.c LCSP) y el vicio que la regla V.A.1.7 del Anexo V declara inadmisible. Los módulos, las funciones mínimas y las funciones adicionales ofertables se relacionan </w:t>
      </w:r>
      <w:r>
        <w:rPr>
          <w:rFonts w:ascii="Calibri" w:cs="Calibri" w:eastAsia="Calibri" w:hAnsi="Calibri"/>
          <w:b/>
          <w:bCs/>
          <w:sz w:val="21"/>
          <w:szCs w:val="21"/>
        </w:rPr>
        <w:t xml:space="preserve">exclusivamente</w:t>
      </w:r>
      <w:r>
        <w:rPr>
          <w:rFonts w:ascii="Calibri" w:cs="Calibri" w:eastAsia="Calibri" w:hAnsi="Calibri"/>
          <w:sz w:val="21"/>
          <w:szCs w:val="21"/>
        </w:rPr>
        <w:t xml:space="preserve"> en el apartado inicial del Apéndice técnico 2, delante de la transcripción del Catálogo del ejercicio.</w:t>
      </w:r>
    </w:p>
    <w:p>
      <w:pPr>
        <w:spacing w:after="140" w:line="276"/>
      </w:pPr>
      <w:r>
        <w:rPr>
          <w:rFonts w:ascii="Calibri" w:cs="Calibri" w:eastAsia="Calibri" w:hAnsi="Calibri"/>
          <w:b/>
          <w:bCs/>
          <w:sz w:val="21"/>
          <w:szCs w:val="21"/>
        </w:rPr>
        <w:t xml:space="preserve">Regla de composición del PPT.</w:t>
      </w:r>
      <w:r>
        <w:rPr>
          <w:rFonts w:ascii="Calibri" w:cs="Calibri" w:eastAsia="Calibri" w:hAnsi="Calibri"/>
          <w:sz w:val="21"/>
          <w:szCs w:val="21"/>
        </w:rPr>
        <w:t xml:space="preserve"> Todo pliego de prescripciones técnicas que incorpore cláusulas de este catálogo se compone de: (a) el cuerpo del pliego; (b) los apéndices técnicos que siguen, en este orden y con esta rotulación; y (c) los que el objeto del contrato exija además, numerados a continuación.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Rótulo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lo exige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suprime si…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w:t>
            </w:r>
            <w:r>
              <w:rPr>
                <w:rFonts w:ascii="Calibri" w:cs="Calibri" w:eastAsia="Calibri" w:hAnsi="Calibri"/>
                <w:b/>
                <w:bCs/>
                <w:sz w:val="18"/>
                <w:szCs w:val="18"/>
              </w:rPr>
              <w:t xml:space="preserve">cerrada y numerada</w:t>
            </w:r>
            <w:r>
              <w:rPr>
                <w:rFonts w:ascii="Calibri" w:cs="Calibri" w:eastAsia="Calibri" w:hAnsi="Calibri"/>
                <w:b w:val="false"/>
                <w:bCs w:val="false"/>
                <w:sz w:val="18"/>
                <w:szCs w:val="18"/>
              </w:rPr>
              <w:t xml:space="preserve"> de los procesos cuya automatización se exige como mínimo, y de los que pueden ofertarse por encima del mínimo, separados en dos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se marca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apartados, en este orden: (i) relación cerrada y numerada de los módulos sobre los que se expone la interfaz,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exigidas y, en bloque separado, de las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es la única base del criterio A; y (ii) transcripción física del Catálogo de Exigencias Tecnológicas del ejercicio, con su versión y su fecha, recortado a los módulos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Ambas</w:t>
            </w:r>
            <w:r>
              <w:rPr>
                <w:rFonts w:ascii="Calibri" w:cs="Calibri" w:eastAsia="Calibri" w:hAnsi="Calibri"/>
                <w:b w:val="false"/>
                <w:bCs w:val="false"/>
                <w:sz w:val="18"/>
                <w:szCs w:val="18"/>
              </w:rPr>
              <w:t xml:space="preserve"> se marcan NO APLICA. Si sólo se marca NO APLICA DT-7·v3, decae el apartado (i); si sólo se marca NO APLICA DT-9·v3, decae el apartado (ii). El apéndice conserva rótulo y número en los dos casos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Vigencia normativa de las exigencias de este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extracto del Anexo XIX, con su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ninguna cláusula que distinga entre obligación legal y exigencia contractual anticipada</w:t>
            </w:r>
          </w:p>
        </w:tc>
      </w:tr>
    </w:tbl>
    <w:p>
      <w:pPr>
        <w:spacing w:after="200"/>
      </w:pPr>
    </w:p>
    <w:p>
      <w:pPr>
        <w:spacing w:after="140" w:line="276"/>
      </w:pPr>
      <w:r>
        <w:rPr>
          <w:rFonts w:ascii="Calibri" w:cs="Calibri" w:eastAsia="Calibri" w:hAnsi="Calibri"/>
          <w:b/>
          <w:bCs/>
          <w:sz w:val="21"/>
          <w:szCs w:val="21"/>
        </w:rPr>
        <w:t xml:space="preserve">Reglas de aplicación.</w:t>
      </w:r>
    </w:p>
    <w:p>
      <w:pPr>
        <w:pStyle w:val="ListParagraph"/>
        <w:numPr>
          <w:ilvl w:val="0"/>
          <w:numId w:val="2"/>
        </w:numPr>
        <w:spacing w:after="70" w:line="268"/>
      </w:pPr>
      <w:r>
        <w:rPr>
          <w:rFonts w:ascii="Calibri" w:cs="Calibri" w:eastAsia="Calibri" w:hAnsi="Calibri"/>
          <w:b/>
          <w:bCs/>
          <w:sz w:val="21"/>
          <w:szCs w:val="21"/>
        </w:rPr>
        <w:t xml:space="preserve">Los apéndices no se renumeran al suprimir uno.</w:t>
      </w:r>
      <w:r>
        <w:rPr>
          <w:rFonts w:ascii="Calibri" w:cs="Calibri" w:eastAsia="Calibri" w:hAnsi="Calibri"/>
          <w:sz w:val="21"/>
          <w:szCs w:val="21"/>
        </w:rPr>
        <w:t xml:space="preserve"> Si el Apéndice técnico 1 no procede, el pliego empieza por el 2 y lo hace constar en el índice: «Apéndice técnico 1 · No procede». Renumerar rompe todas las remisiones del cuerpo del pliego, que es exactamente el defecto que este anexo evita.</w:t>
      </w:r>
    </w:p>
    <w:p>
      <w:pPr>
        <w:pStyle w:val="ListParagraph"/>
        <w:numPr>
          <w:ilvl w:val="0"/>
          <w:numId w:val="2"/>
        </w:numPr>
        <w:spacing w:after="70" w:line="268"/>
      </w:pPr>
      <w:r>
        <w:rPr>
          <w:rFonts w:ascii="Calibri" w:cs="Calibri" w:eastAsia="Calibri" w:hAnsi="Calibri"/>
          <w:b/>
          <w:bCs/>
          <w:sz w:val="21"/>
          <w:szCs w:val="21"/>
        </w:rPr>
        <w:t xml:space="preserve">Las remisiones del cuerpo del pliego citan el rótulo completo</w:t>
      </w:r>
      <w:r>
        <w:rPr>
          <w:rFonts w:ascii="Calibri" w:cs="Calibri" w:eastAsia="Calibri" w:hAnsi="Calibri"/>
          <w:sz w:val="21"/>
          <w:szCs w:val="21"/>
        </w:rPr>
        <w:t xml:space="preserve">, no sólo el número: «el Apéndice técnico 2 · Exigencias tecnológicas determinadas». Cuando la remisión se refiera sólo a una parte del apéndice, se cita también el apartado: «el apartado de módulos y funciones de la interfaz normalizada del Apéndice técnico 2 · Exigencias tecnológicas determinadas».</w:t>
      </w:r>
    </w:p>
    <w:p>
      <w:pPr>
        <w:pStyle w:val="ListParagraph"/>
        <w:numPr>
          <w:ilvl w:val="0"/>
          <w:numId w:val="2"/>
        </w:numPr>
        <w:spacing w:after="70" w:line="268"/>
      </w:pPr>
      <w:r>
        <w:rPr>
          <w:rFonts w:ascii="Calibri" w:cs="Calibri" w:eastAsia="Calibri" w:hAnsi="Calibri"/>
          <w:b/>
          <w:bCs/>
          <w:sz w:val="21"/>
          <w:szCs w:val="21"/>
        </w:rPr>
        <w:t xml:space="preserve">Los anexos del PCAP se numeran por separado y con numeración propia del expediente.</w:t>
      </w:r>
      <w:r>
        <w:rPr>
          <w:rFonts w:ascii="Calibri" w:cs="Calibri" w:eastAsia="Calibri" w:hAnsi="Calibri"/>
          <w:sz w:val="21"/>
          <w:szCs w:val="21"/>
        </w:rPr>
        <w:t xml:space="preserve"> No se emplea la numeración romana de este catálogo para los anexos de un pliego: el Anexo IX de este catálogo es la declaración de conflicto de interés y el X es la tabla de parámetros, y un redactor que siga esa remisión aterriza en el documento equivocado. En el articulado, las remisiones a anexos del pliego se escriben </w:t>
      </w:r>
      <w:r>
        <w:rPr>
          <w:rFonts w:ascii="Calibri" w:cs="Calibri" w:eastAsia="Calibri" w:hAnsi="Calibri"/>
          <w:b/>
          <w:bCs/>
          <w:sz w:val="21"/>
          <w:szCs w:val="21"/>
        </w:rPr>
        <w:t xml:space="preserve">«Anexo [ ] de este pliego»</w:t>
      </w:r>
      <w:r>
        <w:rPr>
          <w:rFonts w:ascii="Calibri" w:cs="Calibri" w:eastAsia="Calibri" w:hAnsi="Calibri"/>
          <w:sz w:val="21"/>
          <w:szCs w:val="21"/>
        </w:rPr>
        <w:t xml:space="preserve">, y el número lo pone el redactor del expediente.</w:t>
      </w:r>
    </w:p>
    <w:p>
      <w:pPr>
        <w:pStyle w:val="ListParagraph"/>
        <w:numPr>
          <w:ilvl w:val="0"/>
          <w:numId w:val="2"/>
        </w:numPr>
        <w:spacing w:after="70" w:line="268"/>
      </w:pPr>
      <w:r>
        <w:rPr>
          <w:rFonts w:ascii="Calibri" w:cs="Calibri" w:eastAsia="Calibri" w:hAnsi="Calibri"/>
          <w:b/>
          <w:bCs/>
          <w:sz w:val="21"/>
          <w:szCs w:val="21"/>
        </w:rPr>
        <w:t xml:space="preserve">Todo apéndice se transcribe físicamente.</w:t>
      </w:r>
      <w:r>
        <w:rPr>
          <w:rFonts w:ascii="Calibri" w:cs="Calibri" w:eastAsia="Calibri" w:hAnsi="Calibri"/>
          <w:sz w:val="21"/>
          <w:szCs w:val="21"/>
        </w:rPr>
        <w:t xml:space="preserve"> Ninguno se incorpora por remisión a un documento municipal revisable.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DE ALCANCE · INSTRUMENTOS QUE ESTA VERSIÓN NO ENTREGA</w:t>
      </w:r>
    </w:p>
    <w:p>
      <w:pPr>
        <w:spacing w:after="140" w:line="276"/>
      </w:pPr>
      <w:r>
        <w:rPr>
          <w:rFonts w:ascii="Calibri" w:cs="Calibri" w:eastAsia="Calibri" w:hAnsi="Calibri"/>
          <w:sz w:val="21"/>
          <w:szCs w:val="21"/>
        </w:rPr>
        <w:t xml:space="preserve">Este catálogo se ha comprometido a no afirmar lo que no ha comprobado. La misma regla obliga a no anunciar lo que no entrega. </w:t>
      </w:r>
      <w:r>
        <w:rPr>
          <w:rFonts w:ascii="Calibri" w:cs="Calibri" w:eastAsia="Calibri" w:hAnsi="Calibri"/>
          <w:b/>
          <w:bCs/>
          <w:sz w:val="21"/>
          <w:szCs w:val="21"/>
        </w:rPr>
        <w:t xml:space="preserve">Dos instrumentos que este documento invoca no se incluyen en la versión 3.0, y se dice aquí para que ningún índice, ninguna remisión y ninguna memoria los den por disponibles.</w:t>
      </w:r>
    </w:p>
    <w:p>
      <w:pPr>
        <w:spacing w:after="140" w:line="276"/>
      </w:pPr>
      <w:r>
        <w:rPr>
          <w:rFonts w:ascii="Calibri" w:cs="Calibri" w:eastAsia="Calibri" w:hAnsi="Calibri"/>
          <w:b/>
          <w:bCs/>
          <w:sz w:val="21"/>
          <w:szCs w:val="21"/>
        </w:rPr>
        <w:t xml:space="preserve">1. Pliegos-tipo ensamblados (PPT-tipo y PCAP-tipo).</w:t>
      </w:r>
      <w:r>
        <w:rPr>
          <w:rFonts w:ascii="Calibri" w:cs="Calibri" w:eastAsia="Calibri" w:hAnsi="Calibri"/>
          <w:sz w:val="21"/>
          <w:szCs w:val="21"/>
        </w:rPr>
        <w:t xml:space="preserve"> El área de contratación lo pidió con estas palabras: lo que se usa un martes por la mañana no es el documento doctrinal, son los pliegos-tipo ensamblados para los perfiles de contrato frecuentes. Es una petición fundada y este documento la asume. </w:t>
      </w:r>
      <w:r>
        <w:rPr>
          <w:rFonts w:ascii="Calibri" w:cs="Calibri" w:eastAsia="Calibri" w:hAnsi="Calibri"/>
          <w:b/>
          <w:bCs/>
          <w:sz w:val="21"/>
          <w:szCs w:val="21"/>
        </w:rPr>
        <w:t xml:space="preserve">No se entrega en esta versión.</w:t>
      </w:r>
      <w:r>
        <w:rPr>
          <w:rFonts w:ascii="Calibri" w:cs="Calibri" w:eastAsia="Calibri" w:hAnsi="Calibri"/>
          <w:sz w:val="21"/>
          <w:szCs w:val="21"/>
        </w:rPr>
        <w:t xml:space="preserve"> Mientras no se entregue, el redactor compone el pliego a partir de los bloques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 las Partes I a III y de los apéndices del Anexo XXV, siguiendo el circuito de la Parte V. Se deja constancia de que el catálogo, sin los pliegos-tipo, exige del redactor un trabajo de ensamblado que los pliegos-tipo eliminarían, y de que ese trabajo es la causa principal de que un catálogo bien construido se lea y no se aplique.</w:t>
      </w:r>
    </w:p>
    <w:p>
      <w:pPr>
        <w:spacing w:after="140" w:line="276"/>
      </w:pPr>
      <w:r>
        <w:rPr>
          <w:rFonts w:ascii="Calibri" w:cs="Calibri" w:eastAsia="Calibri" w:hAnsi="Calibri"/>
          <w:b/>
          <w:bCs/>
          <w:sz w:val="21"/>
          <w:szCs w:val="21"/>
        </w:rPr>
        <w:t xml:space="preserve">2. Expediente piloto completo.</w:t>
      </w:r>
      <w:r>
        <w:rPr>
          <w:rFonts w:ascii="Calibri" w:cs="Calibri" w:eastAsia="Calibri" w:hAnsi="Calibri"/>
          <w:sz w:val="21"/>
          <w:szCs w:val="21"/>
        </w:rPr>
        <w:t xml:space="preserve"> La Parte VI resuelve el caso —calificación, categoría de seguridad, cláusulas aplicables y no aplicables, catálogo recortado, baremo, umbrales, verificadores y carga— pero </w:t>
      </w:r>
      <w:r>
        <w:rPr>
          <w:rFonts w:ascii="Calibri" w:cs="Calibri" w:eastAsia="Calibri" w:hAnsi="Calibri"/>
          <w:b/>
          <w:bCs/>
          <w:sz w:val="21"/>
          <w:szCs w:val="21"/>
        </w:rPr>
        <w:t xml:space="preserve">no entrega el expediente documento a documento</w:t>
      </w:r>
      <w:r>
        <w:rPr>
          <w:rFonts w:ascii="Calibri" w:cs="Calibri" w:eastAsia="Calibri" w:hAnsi="Calibri"/>
          <w:sz w:val="21"/>
          <w:szCs w:val="21"/>
        </w:rPr>
        <w:t xml:space="preserve">. Los documentos del circuito figuran enumerados en la Parte V, y buena parte de ellos está modelizada en los anexos II, III, IV, XIV, XV, XVIII, XX y XXII de esta parte; lo que falta es el juego completo, cumplimentado con los datos del contrato piloto, y el modelo de los documentos del circuito que ningún anexo cubre. </w:t>
      </w:r>
      <w:r>
        <w:rPr>
          <w:rFonts w:ascii="Calibri" w:cs="Calibri" w:eastAsia="Calibri" w:hAnsi="Calibri"/>
          <w:b/>
          <w:bCs/>
          <w:sz w:val="21"/>
          <w:szCs w:val="21"/>
        </w:rPr>
        <w:t xml:space="preserve">No se entrega en esta versión.</w:t>
      </w:r>
    </w:p>
    <w:p>
      <w:pPr>
        <w:spacing w:after="140" w:line="276"/>
      </w:pPr>
      <w:r>
        <w:rPr>
          <w:rFonts w:ascii="Calibri" w:cs="Calibri" w:eastAsia="Calibri" w:hAnsi="Calibri"/>
          <w:b/>
          <w:bCs/>
          <w:sz w:val="21"/>
          <w:szCs w:val="21"/>
        </w:rPr>
        <w:t xml:space="preserve">Compromiso.</w:t>
      </w:r>
      <w:r>
        <w:rPr>
          <w:rFonts w:ascii="Calibri" w:cs="Calibri" w:eastAsia="Calibri" w:hAnsi="Calibri"/>
          <w:sz w:val="21"/>
          <w:szCs w:val="21"/>
        </w:rPr>
        <w:t xml:space="preserve"> Ambos instrumentos quedan incorporados al compromiso de evaluación del piloto: los informes a los seis y a los doce meses se pronunciarán sobre su necesidad real y sobre el perfil de contrato por el que conviene empezar. Un documento que promete en su índice lo que no contiene pierde más credibilidad que uno que reconoce lo que le falta.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FINAL · CUSTODIA Y VERSIONADO DE ESTE DOCUMENTO</w:t>
      </w:r>
    </w:p>
    <w:p>
      <w:pPr>
        <w:spacing w:after="140" w:line="276"/>
      </w:pPr>
      <w:r>
        <w:rPr>
          <w:rFonts w:ascii="Calibri" w:cs="Calibri" w:eastAsia="Calibri" w:hAnsi="Calibri"/>
          <w:sz w:val="21"/>
          <w:szCs w:val="21"/>
        </w:rPr>
        <w:t xml:space="preserve">Un catálogo del que circulan cinco copias distintas deja de ser un catálogo. Antes de su publicación debe quedar resuelto, y hacerse constar en el acuerdo de aprobación:</w:t>
      </w:r>
    </w:p>
    <w:p>
      <w:pPr>
        <w:pStyle w:val="ListParagraph"/>
        <w:numPr>
          <w:ilvl w:val="0"/>
          <w:numId w:val="2"/>
        </w:numPr>
        <w:spacing w:after="70" w:line="268"/>
      </w:pPr>
      <w:r>
        <w:rPr>
          <w:rFonts w:ascii="Calibri" w:cs="Calibri" w:eastAsia="Calibri" w:hAnsi="Calibri"/>
          <w:b/>
          <w:bCs/>
          <w:sz w:val="21"/>
          <w:szCs w:val="21"/>
        </w:rPr>
        <w:t xml:space="preserve">Dónde vive el maestro.</w:t>
      </w:r>
      <w:r>
        <w:rPr>
          <w:rFonts w:ascii="Calibri" w:cs="Calibri" w:eastAsia="Calibri" w:hAnsi="Calibri"/>
          <w:sz w:val="21"/>
          <w:szCs w:val="21"/>
        </w:rPr>
        <w:t xml:space="preserve"> Una única ubicación oficial, publicada en el perfil de contratante y en el portal de transparencia, en formato reutilizable. Toda copia de trabajo se identifica como tal.</w:t>
      </w:r>
    </w:p>
    <w:p>
      <w:pPr>
        <w:pStyle w:val="ListParagraph"/>
        <w:numPr>
          <w:ilvl w:val="0"/>
          <w:numId w:val="2"/>
        </w:numPr>
        <w:spacing w:after="70" w:line="268"/>
      </w:pPr>
      <w:r>
        <w:rPr>
          <w:rFonts w:ascii="Calibri" w:cs="Calibri" w:eastAsia="Calibri" w:hAnsi="Calibri"/>
          <w:b/>
          <w:bCs/>
          <w:sz w:val="21"/>
          <w:szCs w:val="21"/>
        </w:rPr>
        <w:t xml:space="preserve">Quién lo versiona.</w:t>
      </w:r>
      <w:r>
        <w:rPr>
          <w:rFonts w:ascii="Calibri" w:cs="Calibri" w:eastAsia="Calibri" w:hAnsi="Calibri"/>
          <w:sz w:val="21"/>
          <w:szCs w:val="21"/>
        </w:rPr>
        <w:t xml:space="preserve"> El servicio promotor, mediante propuesta al órgano que lo aprobó. Las versiones se numeran y se fechan; ninguna sustituye a la anterior sin acuerdo expreso.</w:t>
      </w:r>
    </w:p>
    <w:p>
      <w:pPr>
        <w:pStyle w:val="ListParagraph"/>
        <w:numPr>
          <w:ilvl w:val="0"/>
          <w:numId w:val="2"/>
        </w:numPr>
        <w:spacing w:after="70" w:line="268"/>
      </w:pPr>
      <w:r>
        <w:rPr>
          <w:rFonts w:ascii="Calibri" w:cs="Calibri" w:eastAsia="Calibri" w:hAnsi="Calibri"/>
          <w:b/>
          <w:bCs/>
          <w:sz w:val="21"/>
          <w:szCs w:val="21"/>
        </w:rPr>
        <w:t xml:space="preserve">Cómo se sabe cuál es la vigente.</w:t>
      </w:r>
      <w:r>
        <w:rPr>
          <w:rFonts w:ascii="Calibri" w:cs="Calibri" w:eastAsia="Calibri" w:hAnsi="Calibri"/>
          <w:sz w:val="21"/>
          <w:szCs w:val="21"/>
        </w:rPr>
        <w:t xml:space="preserve"> Cada pliego cita la versión del catálogo y la versión del Catálogo de Exigencias Tecnológicas que aplica, con su fecha. Esa cita es la que permite, dos años después, saber qué se exigió exactamente.</w:t>
      </w:r>
    </w:p>
    <w:p>
      <w:pPr>
        <w:pStyle w:val="ListParagraph"/>
        <w:numPr>
          <w:ilvl w:val="0"/>
          <w:numId w:val="2"/>
        </w:numPr>
        <w:spacing w:after="70" w:line="268"/>
      </w:pPr>
      <w:r>
        <w:rPr>
          <w:rFonts w:ascii="Calibri" w:cs="Calibri" w:eastAsia="Calibri" w:hAnsi="Calibri"/>
          <w:b/>
          <w:bCs/>
          <w:sz w:val="21"/>
          <w:szCs w:val="21"/>
        </w:rPr>
        <w:t xml:space="preserve">Qué se revisa y cuándo.</w:t>
      </w:r>
      <w:r>
        <w:rPr>
          <w:rFonts w:ascii="Calibri" w:cs="Calibri" w:eastAsia="Calibri" w:hAnsi="Calibri"/>
          <w:sz w:val="21"/>
          <w:szCs w:val="21"/>
        </w:rPr>
        <w:t xml:space="preserve"> El Catálogo de Exigencias Tecnológicas, cada año, con contraste de mercado. El articulado, sólo cuando la evaluación del piloto o un cambio normativo lo exijan. La separación entre ambos ritmos es deliberada: es lo que permite que la revisión anual ocurra de verdad y que el articulado no se reabra cada doce meses.</w:t>
      </w:r>
    </w:p>
    <w:p>
      <w:pPr>
        <w:pStyle w:val="ListParagraph"/>
        <w:numPr>
          <w:ilvl w:val="0"/>
          <w:numId w:val="2"/>
        </w:numPr>
        <w:spacing w:after="70" w:line="268"/>
      </w:pPr>
      <w:r>
        <w:rPr>
          <w:rFonts w:ascii="Calibri" w:cs="Calibri" w:eastAsia="Calibri" w:hAnsi="Calibri"/>
          <w:b/>
          <w:bCs/>
          <w:sz w:val="21"/>
          <w:szCs w:val="21"/>
        </w:rPr>
        <w:t xml:space="preserve">Qué se hace con lo que se aprende.</w:t>
      </w:r>
      <w:r>
        <w:rPr>
          <w:rFonts w:ascii="Calibri" w:cs="Calibri" w:eastAsia="Calibri" w:hAnsi="Calibri"/>
          <w:sz w:val="21"/>
          <w:szCs w:val="21"/>
        </w:rPr>
        <w:t xml:space="preserve"> Los informes de evaluación del piloto (VI.8) concluyen con propuesta motivada de ajuste del catálogo, del anexo anual y de los valores por defecto del Anexo X. Un catálogo que no se corrige con lo que aprende envejece igual que el pliego que pretende sustituir.</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5esc0dgjt4xzz7ptlyqj" Type="http://schemas.openxmlformats.org/officeDocument/2006/relationships/hyperlink" Target="https://www.pozuelodealarcon.org/tu-ayuntamiento/organizacion-municipal/trayectoria-profesional-delfina-lafuente-veira" TargetMode="External"/><Relationship Id="rIdgdxep2cg_k0yu2adtbpyg" Type="http://schemas.openxmlformats.org/officeDocument/2006/relationships/hyperlink" Target="https://www.ufv.es/una-nueva-definicion-para-las-ciudades-que-transformaran-el-mundo-noticias-actualidad/" TargetMode="External"/><Relationship Id="rIdze5mvqrlkhgb3mhtelhbx" Type="http://schemas.openxmlformats.org/officeDocument/2006/relationships/hyperlink" Target="https://miguelangeldominguez.info" TargetMode="External"/><Relationship Id="rIdzt109vm9g56joqprm1tvh" Type="http://schemas.openxmlformats.org/officeDocument/2006/relationships/hyperlink" Target="https://www.comunidad.madrid/tacp/sites/default/files/resolucion_383-2024_expediente_383-2024.pdf" TargetMode="External"/><Relationship Id="rIdlqlz9_xx4w_h7pnrbw48o" Type="http://schemas.openxmlformats.org/officeDocument/2006/relationships/hyperlink" Target="https://www.hacienda.gob.es/dgpatrimonio/junta%20consultiva/informes/informes2026/informe202518modificaciones204y205delalcsp.pdf" TargetMode="External"/><Relationship Id="rId7hguimre3pkdthhzql1zu" Type="http://schemas.openxmlformats.org/officeDocument/2006/relationships/hyperlink" Target="https://contratos-publicos.comunidad.madrid/media/827829/download" TargetMode="External"/><Relationship Id="rIdrwuimbosxsbijvzdxvsqt" Type="http://schemas.openxmlformats.org/officeDocument/2006/relationships/hyperlink" Target="https://www.boe.es/buscar/act.php?id=BOE-A-2017-12902" TargetMode="External"/><Relationship Id="rIdszgv_lg8xiwnful9gpw5f" Type="http://schemas.openxmlformats.org/officeDocument/2006/relationships/hyperlink" Target="https://www.boe.es/buscar/doc.php?id=DOUE-L-2025-81543" TargetMode="External"/><Relationship Id="rIdgrljibyty5tft4zelfit_" Type="http://schemas.openxmlformats.org/officeDocument/2006/relationships/hyperlink" Target="https://www.boe.es/buscar/doc.php?id=BOE-A-2016-11098" TargetMode="External"/><Relationship Id="rIdvs6pqfvmqjf3fhndip_5j" Type="http://schemas.openxmlformats.org/officeDocument/2006/relationships/hyperlink" Target="https://www.boe.es/buscar/doc.php?id=DOUE-L-2026-81147" TargetMode="External"/><Relationship Id="rIdf_cmn82ihbr8q-8oyxflt" Type="http://schemas.openxmlformats.org/officeDocument/2006/relationships/hyperlink" Target="https://www.comunidad.madrid/tacp/sites/default/files/resolucion_383-2024_expediente_383-2024.pdf" TargetMode="External"/><Relationship Id="rId_ozxm12dzmjv2gbd-lnu2" Type="http://schemas.openxmlformats.org/officeDocument/2006/relationships/hyperlink" Target="https://www.boe.es/buscar/doc.php?id=DOUE-L-2026-81147" TargetMode="External"/><Relationship Id="rId6vftqqdsomyx-acoszndi" Type="http://schemas.openxmlformats.org/officeDocument/2006/relationships/hyperlink" Target="https://www.linuxfoundation.org/press/linux-foundation-announces-the-formation-of-the-agentic-ai-foundation" TargetMode="External"/><Relationship Id="rIdj-tssryqehptzlr1kbgch" Type="http://schemas.openxmlformats.org/officeDocument/2006/relationships/hyperlink" Target="https://single-market-economy.ec.europa.eu/single-market/european-standards/ict-standardisation/ict-technical-specifications_en" TargetMode="External"/><Relationship Id="rIdzm1glkj1wrc6kh4gfkab9" Type="http://schemas.openxmlformats.org/officeDocument/2006/relationships/hyperlink" Target="https://www.hacienda.gob.es/TACRC/Resoluciones/A%C3%B1o%202022/Recurso%200998-2022%20(Res%201113" TargetMode="External"/><Relationship Id="rIdilrfaosyr1-4ntuq_t6mc" Type="http://schemas.openxmlformats.org/officeDocument/2006/relationships/hyperlink" Target="https://www.comunidad.madrid/tacp/sites/default/files/resolucion_535-2025_expediente_526-2025.pdf" TargetMode="External"/><Relationship Id="rId_5qkn1f618q9pkauzz-bi" Type="http://schemas.openxmlformats.org/officeDocument/2006/relationships/hyperlink" Target="https://eur-lex.europa.eu/legal-content/ES/TXT/HTML/?uri=CELEX:62023CJ0424" TargetMode="External"/><Relationship Id="rId67dg2o44i_jfvg-ojx190" Type="http://schemas.openxmlformats.org/officeDocument/2006/relationships/hyperlink" Target="https://eur-lex.europa.eu/legal-content/ES/TXT/HTML/?uri=CELEX:62017CJ0014" TargetMode="External"/><Relationship Id="rIdrh1fbdpfnyqykubnoojdp" Type="http://schemas.openxmlformats.org/officeDocument/2006/relationships/hyperlink" Target="https://www.hacienda.gob.es/TACRC/Resoluciones/A%C3%B1o%202021/Recurso%201372-2021%20VAL%20314-2021%20(Res%201727" TargetMode="External"/><Relationship Id="rIdmq2fiece8ut1rwypnapzu" Type="http://schemas.openxmlformats.org/officeDocument/2006/relationships/hyperlink" Target="https://www.hacienda.gob.es/TACRC/Resoluciones/A%C3%B1o%202020/Recurso%200323-2020%20%20(Res%20549" TargetMode="External"/><Relationship Id="rIdq5vu6lwjtc_uuvu08zh1t" Type="http://schemas.openxmlformats.org/officeDocument/2006/relationships/hyperlink" Target="https://www.comunidad.madrid/tacp/sites/default/files/resolucion_535-2025_expediente_526-2025.pdf" TargetMode="External"/><Relationship Id="rIdk3e9yxsz2vj38n_eeem2c" Type="http://schemas.openxmlformats.org/officeDocument/2006/relationships/hyperlink" Target="https://www.comunidad.madrid/tacp/sites/default/files/resolucion_92-2024_recurso_070-2024_web.pdf" TargetMode="External"/><Relationship Id="rId5wtovlq5v5twwa8zucrv2" Type="http://schemas.openxmlformats.org/officeDocument/2006/relationships/hyperlink" Target="https://www.comunidad.madrid/tacp/sites/default/files/resolucion_383-2024_expediente_383-2024.pdf" TargetMode="External"/><Relationship Id="rIdm0xuljtxmkze70p740q-s" Type="http://schemas.openxmlformats.org/officeDocument/2006/relationships/hyperlink" Target="https://www.comunidad.madrid/tacp/sites/default/files/resolucion_383-2024_expediente_383-2024.pdf" TargetMode="External"/><Relationship Id="rId4_hboqlqaksyldbtjfx5f" Type="http://schemas.openxmlformats.org/officeDocument/2006/relationships/hyperlink" Target="https://www.comunidad.madrid/tacp/sites/default/files/resolucion_535-2025_expediente_526-2025.pdf" TargetMode="External"/><Relationship Id="rIdwes6beekwpucbooaeal4d" Type="http://schemas.openxmlformats.org/officeDocument/2006/relationships/hyperlink" Target="https://www.hacienda.gob.es/tacrc/resoluciones/a%C3%B1o%202019/recurso%200557-2019%20val%20113-2019%20(res%20786" TargetMode="External"/><Relationship Id="rId6xwunprjtifqhvolnyopm" Type="http://schemas.openxmlformats.org/officeDocument/2006/relationships/hyperlink" Target="https://www.hacienda.gob.es/TACRC/Resoluciones/A%C3%B1o%202021/Recurso%201372-2021%20VAL%20314-2021%20(Res%201727" TargetMode="External"/><Relationship Id="rIdb66zey4qwn5vcrw9y0usm" Type="http://schemas.openxmlformats.org/officeDocument/2006/relationships/hyperlink" Target="https://tienda.aenor.com/p/norma-une-en-iso-iec-42001-2026-n0075951" TargetMode="External"/><Relationship Id="rIdeue2iczot87gmoi4vf5zt" Type="http://schemas.openxmlformats.org/officeDocument/2006/relationships/hyperlink" Target="https://www.euskadi.eus/contenidos/informacion/kpecpe_oarc_memorias_doctrina/eu_def/adjuntos/Doktrina-2018-2023.pdf" TargetMode="External"/><Relationship Id="rId2lokhyz-c-xhnysf36onh" Type="http://schemas.openxmlformats.org/officeDocument/2006/relationships/hyperlink" Target="https://www.hacienda.gob.es/TACRC/Resoluciones/A%C3%B1o%202022/Recurso%200998-2022%20(Res%201113" TargetMode="External"/><Relationship Id="rIds9hipb1qhhndj-l0ykkat" Type="http://schemas.openxmlformats.org/officeDocument/2006/relationships/hyperlink" Target="https://www.hacienda.gob.es/tacrc/resoluciones/a%C3%B1o%202022/recurso%200846-2022%20(res%201287" TargetMode="External"/><Relationship Id="rIdpv4pwno6s2wk3tmbkwizb" Type="http://schemas.openxmlformats.org/officeDocument/2006/relationships/hyperlink" Target="https://www.hacienda.gob.es/TACRC/Documentos/RESOLUCIONES%20DE%20PLENO%202022/Resoluci%C3%B3n%20Recurso%20842-2022%20(Res%201111" TargetMode="External"/><Relationship Id="rId9grfxflix6zvbr7on4a1u" Type="http://schemas.openxmlformats.org/officeDocument/2006/relationships/hyperlink" Target="https://contratacion.castillalamancha.es/sites/default/files/infocontrataclm/descargar_consulta_019-2022.pdf" TargetMode="External"/><Relationship Id="rIdzbwskoavotggbbe2ddrbc" Type="http://schemas.openxmlformats.org/officeDocument/2006/relationships/hyperlink" Target="http://www.contratosdelsectorpublico.es/DocumentosWEB/02TribunalesContractuales/TACP%20Aragon/TACP%20Arag%C3%B3n%2076-2015.pdf" TargetMode="External"/><Relationship Id="rId1hxtsnsb6f9taa6zrnukt" Type="http://schemas.openxmlformats.org/officeDocument/2006/relationships/hyperlink" Target="https://www.hacienda.gob.es/TACRC/Documentos/RESOLUCIONES%20DE%20PLENO%202022/Resoluci%C3%B3n%20Recurso%20842-2022%20(Res%201111" TargetMode="External"/><Relationship Id="rIdojzfgw9uwc6roowdh-hqx" Type="http://schemas.openxmlformats.org/officeDocument/2006/relationships/hyperlink" Target="https://www.comunidad.madrid/tacp/sites/default/files/resolucion_383-2024_expediente_383-2024.pdf" TargetMode="External"/><Relationship Id="rIdky8gdzvebt6mvuv3q389f" Type="http://schemas.openxmlformats.org/officeDocument/2006/relationships/hyperlink" Target="https://www.comunidad.madrid/tacp/sites/default/files/resolucion_383-2024_expediente_383-2024.pdf" TargetMode="External"/><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Clausulado tipo, versión 3.0</dc:description>
  <cp:lastModifiedBy>Un-named</cp:lastModifiedBy>
  <cp:revision>1</cp:revision>
  <dcterms:created xsi:type="dcterms:W3CDTF">2026-09-01T11:49:57.571Z</dcterms:created>
  <dcterms:modified xsi:type="dcterms:W3CDTF">2026-09-01T11:49:57.571Z</dcterms:modified>
</cp:coreProperties>
</file>

<file path=docProps/custom.xml><?xml version="1.0" encoding="utf-8"?>
<Properties xmlns="http://schemas.openxmlformats.org/officeDocument/2006/custom-properties" xmlns:vt="http://schemas.openxmlformats.org/officeDocument/2006/docPropsVTypes"/>
</file>