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GuideTitle"/>
      </w:pPr>
      <w:r>
        <w:rPr>
          <w:rFonts w:ascii="Georgia" w:cs="Georgia" w:eastAsia="Georgia" w:hAnsi="Georgia"/>
          <w:b/>
          <w:bCs/>
          <w:color w:val="1F3864"/>
        </w:rPr>
        <w:t xml:space="preserve">AI Clauses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Guía municipal de decisión y aplicación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Cómo elegir, motivar, copiar y verificar cláusulas de inteligencia artificial y deep tech en contratación pública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Versión 3.0 · Fecha de corte normativa y doctrinal: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1 de septiembre de 2026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Autoría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Delfina Lafuente Veira · Dr. José Antonio Ondiviela García · Miguel Ángel Domínguez Castellano · Enrique Jiménez · Roberto García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Autores y supervisores técnicos: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Enrique Jiménez y Roberto García, técnicos del área de contratación del Ayuntamiento de Pozuelo de Alarcón.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Estado del documento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Este catálogo nace de un caso real del Ayuntamiento de Pozuelo de Alarcón, pero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no es un documento oficial del Ayuntamiento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ha sido aprobado por ningún órgano municipal y no expresa la posición de la Corporación. Es una propuesta técnica publicada para el debate y la reutilización.</w:t>
      </w:r>
    </w:p>
    <w:p>
      <w:pPr>
        <w:pStyle w:val="GuideCoverText"/>
      </w:pPr>
      <w:r>
        <w:rPr>
          <w:rFonts w:ascii="Calibri" w:cs="Calibri" w:eastAsia="Calibri" w:hAnsi="Calibri"/>
          <w:color w:val="22201D"/>
          <w:sz w:val="21"/>
          <w:szCs w:val="21"/>
        </w:rPr>
        <w:t xml:space="preserve">Antes de incorporar cualquiera de sus cláusulas a un expediente deben cumplirse tres condiciones que, a la fecha de corte, siguen pendientes: acuerdo del órgano de gobierno que apruebe el plan y el catálogo anual; consulta preliminar del mercado y contraste documentado; y declaraciones de conflicto de interés firmadas. Son condiciones de </w:t>
      </w: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aplicación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, no de publicación.</w:t>
      </w:r>
    </w:p>
    <w:p>
      <w:pPr>
        <w:pStyle w:val="GuideH2"/>
      </w:pPr>
      <w:r>
        <w:rPr>
          <w:rFonts w:ascii="Calibri" w:cs="Calibri" w:eastAsia="Calibri" w:hAnsi="Calibri"/>
          <w:b/>
          <w:bCs/>
          <w:color w:val="1F3864"/>
        </w:rPr>
        <w:t xml:space="preserve">Ruta rápida por perfil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Concejalía y órgano de contratación: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2 a 8,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Contratación y Asesoría Jurídica o Secretaría: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 a 13 y 16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Intervención: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3, 5 a 8, 12, 17 a 20.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Servicios técnicos y TI: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páginas 5, 8 a 16, 18 y 19.</w:t>
      </w:r>
    </w:p>
    <w:p>
      <w:pPr>
        <w:pStyle w:val="GuideCoverText"/>
      </w:pPr>
      <w:r>
        <w:rPr>
          <w:rFonts w:ascii="Calibri" w:cs="Calibri" w:eastAsia="Calibri" w:hAnsi="Calibri"/>
          <w:b/>
          <w:bCs/>
          <w:color w:val="22201D"/>
          <w:sz w:val="21"/>
          <w:szCs w:val="21"/>
        </w:rPr>
        <w:t xml:space="preserve">Fuentes completas:</w:t>
      </w:r>
      <w:r>
        <w:rPr>
          <w:rFonts w:ascii="Calibri" w:cs="Calibri" w:eastAsia="Calibri" w:hAnsi="Calibri"/>
          <w:color w:val="22201D"/>
          <w:sz w:val="21"/>
          <w:szCs w:val="21"/>
        </w:rPr>
        <w:t xml:space="preserve"> autoría y condiciones de uso; Parte 0, apertura y §§0.1–0.3; Parte IV, §M11; README, «Estado de este documento».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problema: el contrato dura más que la tecnología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Un ayuntamiento contrata un sistema de contabilidad, padrón, tributos, patrimonio o atención ciudadana por varios años. El día de la firma puede estar actualizado. Durante la ejecución aparecen capacidades que no existían o no podían describirse al redactar el pliego. Si el contrato no las prevé de forma exigible, quedan tres salidas: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Pagar dos veces: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contratar aparte la modernización de lo ya adquirido.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Aguantar: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prestar el servicio con una herramienta que envejece durante el contrato.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Quedar cautivo: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cambiar de proveedor porque migrar datos, configuraciones y desarrollos resulta demasiado costoso.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Pedir simplemente que la solución «se mantenga actualizada» no resuelve nada. La empresa no puede poner precio a una obligación cuyo contenido futuro desconoce; el Ayuntamiento no puede comprobarla con un criterio objetivo; y una obligación indeterminada no se vuelve válida por añadirle una penalidad.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respuesta del catálogo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vez de comprar una evolución futura indefinida, el pliego compra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capacidades concretas, fechadas, presupuestables y verificables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Cada capacidad tiene plazo, criterio de aceptación, medio de acreditación, actor municipal que la comprueba y consecuencia tasada si se incumple. El Anexo V se revisa para las licitaciones siguientes, pero la versión incorporada a un contrato permanece invariable durante toda su vigencia.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segunda mitad de la solución no habla de IA, sino de competencia: titularidad de los datos y desarrollos específicos, interoperabilidad, inventario de componentes, reversibilidad, acceso de los órganos de control y salida ordenada. El objetivo es que la licitación siguiente no esté decidida de hecho por la dependencia del proveedor anterior.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decisión municipal no es «adoptar todas las cláusulas». Es construir un circuito que permita incorporar sólo las necesarias y dejar fuera las demás.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resumen en dos páginas; Parte 0, §0.2; Parte IV, §§M1.1 y M3; Parte I, §7.4.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es, qué no es y qué puede prometer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Es un catálogo de aplicación motivada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cláusula entrega siete piezas en el mismo orden: texto para el pliego; ubicación; necesidad y fundamento; acreditación; verificación; consecuencia; y supuestos en los que no se aplica. El expediente toma únicamente las piezas que su necesidad concreta justifica.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No es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norma: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obliga por figurar en este documento.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pliego ni un pliego-tipo: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decisión y la adaptación pertenecen a cada expediente.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Una instrucción transversal: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ninguna cláusula entra «por si acaso» o porque la llevara el contrato anterior.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La memoria justificativa del contrato: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motivación debe escribirse en el expediente antes de publicar; no puede completarse cuando llega un recurso.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contrato de resultados tecnológicos: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garantiza la evolución del mercado ni promete incorporar cualquier novedad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sí está diseñado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Cada exigencia debe tener un origen de necesidad identificado; un único instrumento contractual; prueba y verificación con actor y periodicidad; consecuencia tasada; y dependencias conocidas. Si una pieza cae, las demás se conservan salvo que aquélla sea presupuesto necesario de otra.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no se promete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promete que ningún tribunal pueda anular un pliego. A la fecha de corte no consta doctrina específica sobre varias de estas figuras. El primer recurso sobre ellas creará precedente. La defensa reside en la motivación y en el expediente, no en una garantía editorial.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puede publicarse para el debate, pero no debe aplicarse mientras sigan pendientes el acuerdo institucional, la consulta preliminar del mercado y las declaraciones de conflicto de interés. Publicar no es aplicar.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§§0.1 y 0.3; Parte I, §§1.2–1.4 y 7.8; Parte IV, §§M8 y M11;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Primera decisión: ¿este contrato admite el catálogo?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Use este recorrido antes de abrir una ficha.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sistema de información municipal o tratamiento de información municipal?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no lo hay, el catálogo no se aplica. En obras y concesiones sólo alcanza al componente de sistemas de información.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¿Hay pliegos propios?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Si es un contrato menor, no existe el documento contractual en el que incorporar condiciones especiales, penalidades, obligaciones esenciales o criterios. Sólo cabe la lista cerrada de exigencias normativas de la Parte V, §V.7.1.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contrato basado en acuerdo marco o una adhesión a una central?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No pueden añadirse obligaciones que el instrumento de origen no permita. Cabe elegir opciones ya previstas, utilizar extremos expresamente abiertos o trasladar la necesidad a la siguiente licitación del acuerdo marco.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una prórroga?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prórroga continúa el contrato en las mismas condiciones. No introduce un Anexo V posterior ni obligaciones nuevas. Sí debe comprobarse lo ya exigible y preparar con tiempo la contratación sucesora.</w:t>
      </w:r>
    </w:p>
    <w:p>
      <w:pPr>
        <w:pStyle w:val="GuideList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¿Es un procedimiento con pliego propio y componente tecnológico?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Puede iniciarse la selección motivada, sin que el tipo o la cuantía activen por sí solos ninguna cláusula.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 común cuando la respuesta es «ahora no»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se documenta aunque el instrumento no permita atenderla. Un informe breve que identifique la necesidad, explique la limitación y la traslade a la contratación siguiente permite justificar la decisión presente y preparar la futura.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prohibido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fracciona un objeto para llevarlo a contrato menor; no se añaden obligaciones nuevas a una prórroga; y no se convierte una aceptación informal del proveedor en obligación contractual. Lo que no está en el instrumento aplicable no es exigible ni penalizable.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§§2.1–2.4; Parte 0, §0.6; Parte V, §V.7; Anexo XXIV.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 la necesidad a una cláusula defendible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no nace de marcar una casilla. Primero se identifica y documenta; después la Ficha de Aplicabilidad la traduce en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orígenes, sin una cuarta vía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Origen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Cuándo existe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Quién lo acredita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 · Normativo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Una norma impone un deber municipal que requiere colaboración del contratista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Servicio competente por la materia, con cita del precepto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F ·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 servicio gestor necesita la capacidad para prestar su servicio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Gestor del contrato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I · Institucional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No la impone una norma ni la pide el gestor; deriva de una política municipal aprobada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Acuerdo del órgano de gobierno e informe del servicio promotor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necesidad institucional no se sostiene con una frase genérica sobre transformación digital. Requiere un acto aprobado, publicado, fechado y aplicable al contrato. Sin él, la exigencia se marca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test del expediente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Para cada exigencia, la memoria debe mostrar una relación con el objeto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directa, clara y proporcional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La Ficha del Anexo II recoge seis extremos: necesidad; norma o acuerdo de origen; proporcionalidad; puesto que verifica; momento o periodicidad; y documento que deja evidencia. Una casilla vacía invalida la selección.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firma cambia según el origen. Una persona no puede declarar por sí sola necesidades normativas, funcionales e institucionales. Tampoco basta remitir a este catálogo: el catálogo explica; la memoria del contrato motiva.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Orden de trabajo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Informe de necesidad → origen y firma → Ficha de Aplicabilidad → memoria justificativa → pliegos.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Invertirlo produce una motivación construida hacia atrás y reconocible como texto estereotipado.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§§3.1–3.8; Parte V, §§V.2.2 y V.4.1–V.4.4; Anexos II, III y 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 que debe existir antes de abrir expedientes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separa la gobernanza anual del trabajo de cada contrato. La primera evita que todos los expedientes repitan el mismo análisis y que una ambición tecnológica sin respaldo se disfrace de necesidad.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Ciclo anual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plan y el catálogo.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órgano de gobierno identifica objetivos, responsables y periodo de vigencia. El Anexo VIII ofrece el modelo de acuerdo.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Contrastar el mercado.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consulta preliminar se anuncia y documenta conforme al artículo 115 LCSP. No legitima especificaciones dirigidas y sus conclusiones no pueden dar ventaja a quienes participaron.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Aprobar el Anexo V del ejercicio.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entran capacidades concretas que el contraste permita formular con plazo y criterio de aceptación. El valor recomendado es que puedan cumplirlas al menos tres operadores; si hay menos, se aplazan.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Declarar conflictos y participación previa.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Cada interviniente firma su declaración antes de aprobar. Las medidas para evitar distorsiones se documentan y publican cuando proceda.</w:t>
      </w:r>
    </w:p>
    <w:p>
      <w:pPr>
        <w:pStyle w:val="GuideList"/>
        <w:numPr>
          <w:ilvl w:val="0"/>
          <w:numId w:val="4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Revisar vigencia y parámetros.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actualizan calendario normativo, umbrales, equivalencias, valores recomendados y registro de versiones.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condiciones pendientes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 1 de septiembre de 2026 siguen pendientes: el acuerdo del órgano de gobierno; la consulta preliminar y el contraste documentado del Anexo V; y las declaraciones de conflicto de interés firmadas. Mientras falten, el catálogo puede difundirse y debatirse, pero sus cláusulas no deben incorporarse a un expediente.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revisión anual no cambia contratos vivos. Cada PPT transcribe físicamente la versión del Anexo V que le corresponde; esa versión queda cerrada durante el contrato y sus prórrogas.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§0.4, paso previo; Parte IV, §§M3, M7 y M11; Parte V, §V.8; Anexos VIII, IX, XI, XV y XXII.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El circuito: 20 pasos y 21 documentos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expediente tiene tres tramos. Los pasos de un tramo pueden solaparse; los tramos no.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Tramo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Pasos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Resultado principal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 · Qué se necesita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A‑1 a A‑6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Necesidad, consulta de reutilización, ficha, categorización ENS, consulta de mercado y, si procede, conformidad del servicio verificador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B · Cómo se contrata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B‑1 a B‑8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Valor estimado, procedimiento, lotes, medios, criterios, conflictos, PPT, PCAP y memoria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C · Validación y publicación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C‑1 a C‑6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Informe jurídico, crédito, fiscalización, aprobación, anuncio y carpeta de defensa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Son veinte pasos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veintiún documentos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porque B‑7 produce dos pliegos. Dieciocho documentos los exige la normativa con independencia del catálogo. Éste añade tres: Ficha de Aplicabilidad, conformidad del servicio verificador cuando se supera el umbral de carga y carpeta de defensa.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Reglas que mantienen unido el expediente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Primero se redacta la necesidad y después se seleccionan cláusulas.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lo prepara el área gestora y el PCAP contratación; se designa una persona responsable de su coherencia.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SÍ aparece una vez y en el pliego correcto.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cláusula marcada NO APLICA desaparece también de penalidades, esenciales, criterios, declaraciones y anexos relacionados.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carpeta de defensa se cierra antes de publicar. Si llega un recurso especial, el expediente y el informe del artículo 56.2 LCSP deben remitirse en dos días hábiles.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Los documentos que nacen públicos se redactan pensando en el párrafo que citará quien recurra.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V, §§V.1–V.3, especialmente V.2.1; Parte 0, §§0.4 y 0.5; Anexo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seleccionar las cláusulas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cuadro de intensidad ofrece un punto de partida; nunca sustituye a la Ficha de Aplicabilidad.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niveles orientativos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 · Mínimo: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obligaciones impuestas por norma y las que respondan al objeto. El contrato menor queda fuera del cuadro porque no tiene pliegos.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B · Estándar: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con sistema de información municipal, con equivalencia, interoperabilidad, seguridad, reversibilidad, seguimiento, penalidades, propiedad y acceso de control según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 · Reforzado: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armonizados, sistemas ENS MEDIA o ALTA o servicios especialmente críticos. Añade instrumentos de evolución, baremo reforzado e interfaz, siempre bajo sus condiciones propias.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DT‑2 y DT‑3 son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APLICA por defecto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ADM‑9, ADM‑11 y ADM‑14 sólo entran si cumplen sus umbrales y presupuestos específicos. Subir de nivel se motiva; bajar no requiere justificar por qué se renuncia a una carga que el catálogo no impone.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Secuencia de selección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las necesidades ya escritas.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Asignar a cada una un único instrumento mediante el Anexo I.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Aplicar el nivel como orientación y comprobar las condiciones particulares.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Rellenar las seis casillas del Anexo II y estimar la carga por puesto.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Confirmar que el Ayuntamiento puede verificar lo elegido. A partir de 20 horas anuales se revisa o agrupa la carga; por encima de 40 se exige conformidad expresa del servicio verificador.</w:t>
      </w:r>
    </w:p>
    <w:p>
      <w:pPr>
        <w:pStyle w:val="GuideList"/>
        <w:numPr>
          <w:ilvl w:val="0"/>
          <w:numId w:val="5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 para retirar todas las menciones dependientes de lo descartado.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Resultado correcto no significa «más cláusulas». Cuatro obligaciones comprobadas valen más que doce declaradas y toleradas. Si no hay actor, periodicidad o documento, la cláusula no entra.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§§1.3, 2.2 y 7.9; Parte V, §V.4.4; Anexos I, II y VI.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de cláusulas técnicas: PPT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PPT dice qué debe hacer la solución; el texto que obliga está en la Parte II.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Equivalencia y acreditación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Siempre que se cite producto, norma, red, protocolo o metodología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IA, IA generativa y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la solución incorpora o incorporará IA; calendario vigente en Anexo XIX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Evidencias e identidad verificable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necesidad expresa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Criptoagilidad poscuántica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riesgo y conservación lo justifican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Automatización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y numerada de procesos; mínimos no puntúan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Interoperabilidad y soberanía del dato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estándar; servicios comunes obligatorios no admiten equivalente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ENS y protección desde el diseño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Categoría resultante del análisis, nunca elegida de antemano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Interfaz para agentes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Nivel reforzado y necesidad motivada; formulación funcional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Reversibilidad e inventario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Sistema municipal con datos o dependencia de salida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DT‑9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Exigencias del ejercicio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Anexo V transcrito, fechado y cerrado para el contrato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Todas siguen siete epígrafes. Una DT no impone por sí sola penalidades: el hecho debe figurar en ADM‑5. Al descartarla se ejecuta el Anexo VI. DT‑0 permanece si quedan referencias técnicas; excluir DT‑6 en un contrato con sistema de información exige motivación compatible con el artículo 2.3 del RD 311/2022.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§0.0, «Índice de las cláusulas»; Parte II, §§II.0–II.14; Anexos I, VI, XIX, XXI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I: ADM‑1 a ADM‑7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PCAP fija instrumentos, consecuencias y reglas de valoración.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Solvencia, medios y gobernanza de 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Elegir modalidad según objeto; no puntuar lo exigido como solvencia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Evolución tecnológica determinada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con DT‑9 y Anexo V; nunca «lo necesario o conveniente»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Plazos y bolsa de servicios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Bolsa sólo en desarrollo o mantenimiento de aplicaciones, con precios unitarios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Responsable, comisión y seguimiento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Actor, periodicidad, acta y carga dimensionada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ADM‑5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Penalidades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cerrada de hechos verificables; borrar filas de cláusulas no aplicadas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ADM‑6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Esenciales y resolución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Lista tasada; bloque legal sólo cuando concurre su presupuesto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ADM‑7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Criterios de adjudicación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Baremo entero, precio incluido; mínimo obligatorio no puntúa</w:t>
            </w:r>
          </w:p>
        </w:tc>
      </w:tr>
    </w:tbl>
    <w:p>
      <w:pPr>
        <w:pStyle w:val="GuideTight"/>
      </w:pP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Tres fronteras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Solvencia no es valoración.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capacidad mínima para licitar no recibe puntos.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Penalidad no es resolución.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ADM‑5 gradúa incumplimientos; ADM‑6 reserva la resolución a obligaciones enumeradas y exige ponderar sus efectos.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Plan no es ampliación.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Ordena hitos ya contratados; no añade prestaciones ajenas al Anexo V.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Toda condición especial de ejecución incorporada debe aparecer una por una en el anuncio de licitación, además de en el PCAP. La omisión no se arregla después y puede afectar a la esencialidad declarada.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§§III.1–III.7; Parte I, §§7.3–7.6; Parte IV, §§M5 y M10.1; Anexos I, IV y XVII.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Mapa administrativo II: ADM‑8 a ADM‑14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Código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Función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Entrada y cautela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ADM‑8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Propiedad intelectual y licencia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Separa producto base, terceros y desarrollos municipales; dimensionar el uso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ADM‑9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Demostración funcional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Medio de comprobación, no criterio; recomendada desde 200.000 €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ADM‑10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Plan Anual de Evolución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Sólo si existe DT‑9 y Anexo V; no amplía el objeto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ADM‑11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Depósito de código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NO APLICA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 salvo cuatro circunstancias acumulativas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ADM‑12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Acceso de órganos de control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adjudicatario opera el sistema o sus datos de ejecución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ADM‑13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IA sobre información municipal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Si el contratista trata información municipal no pública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ADM‑14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Modificación prevista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0 % por defecto</w:t>
            </w: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; red de seguridad, nunca evolución ordinaria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ADM‑11 exige a la vez: disponibilidad ALTA, valor estimado superior a 300.000 €, servicio de su lista y ausencia acreditada de alternativa sustituible en menos de seis meses. Falta una, se marca NO APLICA.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ADM‑9 separa dos comprobaciones. La sesión, anterior al sobre de fórmulas, sólo confirma o retira D. C1, A y H se comprueban documentalmente para todas las ofertas admitidas antes de clasificarlas. Ninguna prueba añade puntos ni completa la oferta.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cero. Si entra, se formula con precisión y computa en el valor estimado: límite legal 20 % del precio inicial; recomendación 10 %. No sustituye una nueva licitación.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III, §§III.8–III.14 y cuadro de cierre; Parte IV, §§M5–M6; Anexos X, XIV,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Construir el baremo y comprobar las ofertas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baremo tecnológico es un bloque dentro del baremo del contrato. Debe sumar con el precio y con los criterios de la prestación principal hasta 100 puntos.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controles antes de publicar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mínimo no puntúa.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Sólo se valora el exceso sobre el PPT: más cobertura, mejor nivel de servicio, funciones o procesos adicionales, o un plazo inferior al máximo.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Un contenido, un instrumento.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Nada aparece a la vez como prescripción, solvencia, criterio y condición especial sobre el mismo nivel de exigencia.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Fórmula y juicio de valor viajan separados.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Se valora primero el juicio de valor y después se abre el sobre de fórmulas.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procedimiento admite el reparto.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el abierto simplificado, el juicio de valor no supera el 25 % con carácter general ni el 45 % en prestaciones intelectuales. Si la prestación es intelectual, los criterios cualitativos alcanzan al menos el 51 %.</w:t>
      </w:r>
    </w:p>
    <w:p>
      <w:pPr>
        <w:pStyle w:val="GuideList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El Anexo IV revisa el baremo entero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no sólo el bloque de 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criterios que exigen cuidado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C1: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requisitos valorables del bloque B del Apéndice técnico 0.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Cmín = 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Ctecho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es el número de filas publicadas. Si el bloque está vacío, C1 se elimina.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funciones adicionales del bloque B del apéndice de interfaz, nunca las mínimas.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H: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cuenta procesos adicionales de la lista cerrada, no los mínimos de DT‑4.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valora lo descrito en la memoria técnica mediante rúbrica. La demostración sólo comprueba su exactitud.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de ADM‑9 no acredita solvencia ni excluye por sí sola. Lo declarado y no demostrado pierde los puntos correspondientes; lo mostrado pero no declarado no suma. C1, A y H conservan siempre su medio documental respecto de todas las ofertas admitidas.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ADM‑7 y ADM‑9; Parte I, §§7.3 y 7.8; Anexos IV, XVII, XX y XXV; Parte VI, §§VI.4.6 y VI.5.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Comprar evolución sin comprar incertidumbre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pieza central es el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Anexo V del ejercicio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una relación de capacidades concretas, con plazo y criterio de aceptación. Se contrasta con el mercado, se aprueba para un periodo y se recorta al objeto de cada licitación.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Cómo entra en un contrato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Se transcribe físicamente dentro del PPT, con versión, fecha y órgano aprobante. Una remisión a un documento municipal revisable dejaría el objeto abierto.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versión transcrita permanece invariable durante el contrato y sus prórrogas. La revisión anual sólo rige licitaciones posteriores.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ADM‑2 convierte esas capacidades en compromiso de ejecución. Fuera de esa lista no existe evolución exigible al amparo del catálogo.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ADM‑10 ordena el seguimiento mediante un plan anual, pero sólo puede calendarizar obligaciones ya contratadas.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bolsa de servicios evolutivos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ADM‑3 ofrece una vía flexible para contratos de desarrollo o mantenimiento de aplicaciones. El objeto se descompone en unidades de actividad con precios unitarios ofertados en el Anexo X.3. Valor recomendado: 5 % del presupuesto base de la duración inicial, sin IVA; techo interno: 10 %.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horas no consumidas no se pagan. Cada petición la cursa el responsable del contrato con alcance, unidades, plazo, entregable y aceptación; nunca mediante dirección del personal del proveedor. La bolsa forma parte del presupuesto base y computa en el valor estimado.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última red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ADM‑14 parte de 0 %. Sólo se incorpora cuando existe una necesidad identificada que el catálogo y la bolsa no cubren, hay precios unitarios y el expediente asume su coste y el efecto sobre los umbrales. No sirve para recuperar una obligación que se dejó indeterminada.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DT‑9; ADM‑2, ADM‑3, ADM‑10 y ADM‑14; Parte I, §7.4; Parte IV, §M6.5; Parte V, §V.8.5; Anexos V, X.3, XIV y 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Datos, propiedad, salida y acceso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dependencia del proveedor se evita antes de contratar. El pliego debe separar qué pertenece al Ayuntamiento, qué licencia recibe y qué conserva el fabricante.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Cuatro capas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Datos y exportación.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exige interoperabilidad, documentación de interfaces y exportación en formato abierto. Los servicios comunes de uso obligatorio no se sustituyen por equivalentes privados.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Producto base.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ADM‑8 no convierte una licencia o suscripción estándar en propiedad municipal. La licencia se dimensiona por módulos, usuarios, instalaciones, territorio, plazo y entorno realmente contratados, incluida la reversión. Una transferencia del producto base requiere pacto expreso con quien pueda concederla.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Desarrollos específicos.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Código, configuraciones, parametrizaciones, lógica de negocio y documentación creados específicamente para el Ayuntamiento se delimitan con modalidades, territorio y plazo. La reutilización pública alcanza sólo a elementos de titularidad municipal.</w:t>
      </w:r>
    </w:p>
    <w:p>
      <w:pPr>
        <w:pStyle w:val="GuideList"/>
        <w:numPr>
          <w:ilvl w:val="0"/>
          <w:numId w:val="7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Terceros.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adjudicatario no puede ceder derechos que no tiene. Debe mantener para el ámbito municipal las licencias de componentes de terceros necesarias durante la vigencia y la salida.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Reversibilidad comprobada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DT‑8 exige Inventario de Componentes, Plan y Dossier de Reversibilidad, entregas fechadas, exportación y ensayo real. La garantía empieza con el acta de reversión o con el vencimiento del plazo para levantarla, no con una fecha indeterminada.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ADM‑12 garantiza al control interno accesos incluidos en el precio —valor recomendado: tres—, diccionario de datos y exportación abierta. El acceso se mantiene durante prórrogas y, como referencia, tres meses tras la extinción o hasta el acta de reversión, lo que ocurra después.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depósito de código de ADM‑11 sólo entra bajo sus cuatro condiciones acumulativas; no reemplaza la reversibilidad ordinaria.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DT‑5 y DT‑8; ADM‑8, ADM‑11 y ADM‑12; Parte IV, §M5.4; Anexos X y XVIII.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IA, automatización y seguridad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Sistemas de IA y responsabilidad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DT‑1 obliga a inventariar y clasificar los sistemas, respetar prácticas prohibidas, aportar medios para la supervisión humana y aceptar cada funcionalidad antes de producción. El Ayuntamiento sigue siendo responsable del despliegue cuando así lo establece el Reglamento: el proveedor aporta instrucciones, registros, información técnica, suspensión y formación, pero no absorbe obligaciones indelegables.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Las decisiones con efecto jurídico o equivalente no se ejecutan únicamente de forma automatizada salvo habilitación aplicable. Cuando exista actuación administrativa automatizada, se identifican los órganos responsables y se facilita auditoría de los componentes desarrollados específicamente para el Ayuntamiento.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Automatización concreta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DT‑4 trabaja sobre una lista cerrada y numerada de procesos. Los mínimos son prescripciones y no puntúan; sólo los procesos adicionales de esa misma lista pueden alimentar el criterio H. «Avanzado» o «hiperautomatizado» no describen una obligación comprobable.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Seguridad determinada, no elegida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DT‑6 exige la categoría ENS que resulte del análisis conforme al RD 311/2022. BÁSICA se acredita mediante declaración basada en autoevaluación; MEDIA y ALTA, mediante certificación. Escribir «Nivel Alto» antes de analizar y motivar reproduce el defecto tratado en la Resolución 383/2024 del TACP Madrid.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Información municipal y herramientas externas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ADM‑13 distingue tres niveles: información municipal restringida, que sólo entra en sistemas autorizados y constituye obligación esencial; artefactos técnicos sin contenido restringido, sujetos a condiciones acreditables; e información propia del contratista, que queda fuera. El Anexo XVI aporta la política municipal recíproca.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DT‑7 define la interfaz por lo que debe hacer, no por un protocolo o fabricante. Su incorporación exige necesidad motivada y límites de operación, trazabilidad y suspensión.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DT‑1, DT‑4, DT‑6 y DT‑7; ADM‑13; Anexos XI, XVI, XIX y XXI.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Copiar al PPT y al PCAP sin romper el sistema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frontera física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catálogo, sólo el contenido situado entre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:::pliego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su cierre es texto contractual. Lo exterior explica, justifica o guía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no debe acabar en un pliego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 Los modelos de documentos del expediente usan otra marca: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INICIO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FIN DEL MODELO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Qué va a cada documento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PPT: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DT‑0 a DT‑9, referencias técnicas no normativas, definiciones aplicables y extracto vigente del Anexo XIX.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PCAP: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ADM‑1 a ADM‑14, baremo, consecuencias y el bloque obligatorio de interpretación e integración del §7.10.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Expediente: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necesidad, fichas, memoria, categorización, cálculo, declaraciones e informes. No se copian como cláusulas.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Cinco operaciones obligatorias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Copiar sólo la cláusula marcada SÍ y sustituir cada corchete. Todo parámetro lleva valor recomendado, pero la decisión es del órgano de contratación.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Mantener el código con versión: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DT‑7·v3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F5597"/>
          <w:sz w:val="19"/>
          <w:szCs w:val="19"/>
        </w:rPr>
        <w:t xml:space="preserve">ADM‑2·v3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recortado, no incorporarlo por enlace o remisión variable.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Ejecutar el Anexo VI: al borrar una cláusula se eliminan también penalidades, esenciales, criterios, declaración responsable y anexos que dependan de ella.</w:t>
      </w:r>
    </w:p>
    <w:p>
      <w:pPr>
        <w:pStyle w:val="GuideList"/>
        <w:numPr>
          <w:ilvl w:val="0"/>
          <w:numId w:val="8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Componer los apéndices conforme al Anexo XXV: matriz funcional para C1; lista de procesos; e interfaz y exigencias del ejercicio en la sede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Antes del informe jurídico, una persona responsable de la coherencia PPT‑PCAP confirma que cada obligación tiene consecuencia correcta, que no queda ninguna penalidad sin obligación y que no se valora un mínimo técnico.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I, §7.10; Parte II, §II.0; Parte III, «Cómo se lee esta parte»; Parte V, §§V.1.1 y V.2.3; Anexos VI, X, XIX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Coste, capacidad y puertas de control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catálogo genera coste real: interfaz, entorno de pruebas, reversibilidad, bolsa, posible depósito y horas municipales. Las cifras orientativas sirven para dimensionar, no para fijar el presupuesto de un expediente; éste obtiene precios propios y desglosa el PBL conforme al artículo 100.2 LCSP.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que debe asumirse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preparación se estima en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21,5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la primera vez y unas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10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en expedientes siguientes del mismo tipo. La consulta de mercado y la revisión del Anexo V son tareas anuales separadas. Durante la ejecución, cada cláusula tiene actor, momento y documento. Si la carga supera 20 horas anuales se revisa la intensidad; por encima de 40 se necesita conformidad expresa del servicio verificador.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La mirada de Intervención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Crédito suficiente para todos los conceptos incorporados.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Estabilidad presupuestaria, sostenibilidad y compromisos plurianuales.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Valor estimado con prórrogas, bolsa y modificaciones.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Consulta al directorio general de aplicaciones cuando proceda.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Bolsa con precios unitarios, sin pago de horas no consumidas ni dirección de personal.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Actor y periodicidad para toda obligación esencial.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Acceso de control dimensionado e incluido en el precio.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Motivos para detener la elevación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No se eleva si falta motivación propia; la categoría ENS está elegida sin análisis; una exigencia carece de contraste cuando lo necesita; se duplica como dos instrumentos; no hay verificador; una condición especial falta en el anuncio; quedan menciones de una cláusula descartada; los umbrales están caducados; faltan declaraciones de conflicto; o la carpeta de defensa no está cerrada.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regla no es «justificar más» una carga inasumible. Es reducir el número de cláusulas hasta lo que pueda ejecutarse y comprobarse.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ADM‑4, epígrafe 5; Parte IV, §§M6 y M10; Parte V, §§V.6, V.9 y V.10; Anexo 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contabilidad y patrimonio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responde a la petición de probar el catálogo en un contrato real y reducir su abstracción. A la fecha de corte el expediente no estaba publicado y sus datos identificativos no eran públicos; por eso la Parte VI trabaja con datos hipotéticos que deben sustituirse antes de citar el caso como expediente real.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Decisiones previas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si el borrador está sin aprobar, aprobado pero no anunciado, o ya publicado. Cada situación tiene un cauce distinto de rectificación.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Calificar la prestación principal. El catálogo recomienda, para el perfil descrito, servicios con licencias o suscripción accesorias, pero la decisión debe motivarse con los datos reales.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Identificar once necesidades y su origen normativo, funcional o institucional.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Determinar la categoría ENS. La propuesta del caso es MEDIA, elevable sólo si el análisis firmado sitúa integridad o trazabilidad en ALTA.</w:t>
      </w:r>
    </w:p>
    <w:p>
      <w:pPr>
        <w:pStyle w:val="GuideList"/>
        <w:numPr>
          <w:ilvl w:val="0"/>
          <w:numId w:val="2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Transcribir el Anexo V recortado a contabilidad, patrimonio y funciones concretas de interfaz.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Resultado de la ficha trabajada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De 24 cláusulas,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 se aplican sin condición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 quedan condicionadas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al acuerdo del órgano de gobierno —DT‑7, DT‑9 y, con ellas, ADM‑2— y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4 se marcan NO APLICA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: DT‑2, DT‑3, ADM‑11 y ADM‑14.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interfaz para agentes no se presenta como necesidad normativa ni pedida por el gestor. Es institucional y cae si no existe el acuerdo previo. ADM‑11 queda fuera porque la disponibilidad propuesta es MEDIA y sus cuatro condiciones son acumulativas. ADM‑14 queda fuera porque el Anexo V y la bolsa ya cubren la evolución prevista.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enseña el orden de decisiones; sus conclusiones concretas no son una plantilla para otro contrato.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§§VI.1–VI.4.5; Anexos II, V y XXV.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Piloto: baremo, prueba y aprendizaje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Baremo de 100 puntos</w:t>
      </w:r>
    </w:p>
    <w:tbl>
      <w:tblPr>
        <w:tblW w:type="dxa" w:w="10100"/>
        <w:tblBorders>
          <w:top w:val="single" w:color="C8D0DC" w:sz="4"/>
          <w:left w:val="single" w:color="C8D0DC" w:sz="4"/>
          <w:bottom w:val="single" w:color="C8D0DC" w:sz="4"/>
          <w:right w:val="single" w:color="C8D0DC" w:sz="4"/>
          <w:insideH w:val="single" w:color="C8D0DC" w:sz="4"/>
          <w:insideV w:val="single" w:color="C8D0DC" w:sz="4"/>
        </w:tblBorders>
      </w:tblPr>
      <w:tblGrid>
        <w:gridCol w:w="1900"/>
        <w:gridCol w:w="4100"/>
        <w:gridCol w:w="4100"/>
      </w:tblGrid>
      <w:tr>
        <w:trPr>
          <w:tblHeader/>
        </w:trPr>
        <w:tc>
          <w:tcPr>
            <w:tcW w:type="dxa" w:w="19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Bloque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Criterios</w:t>
            </w:r>
          </w:p>
        </w:tc>
        <w:tc>
          <w:tcPr>
            <w:tcW w:type="dxa" w:w="4100"/>
            <w:shd w:fill="E8EEF7" w:val="clear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Puntos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Precio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P y precio unitario F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Calidad por fórmula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C1, C3, A, B y H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Juicio de valor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C2, C4, D y E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Total</w:t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 w:val="false"/>
                <w:bCs w:val="false"/>
                <w:color w:val="22201D"/>
                <w:sz w:val="17"/>
                <w:szCs w:val="17"/>
              </w:rPr>
              <w:t xml:space="preserve"/>
            </w:r>
          </w:p>
        </w:tc>
        <w:tc>
          <w:tcPr>
            <w:tcW w:type="dxa" w:w="4100"/>
            <w:tcMar>
              <w:top w:type="dxa" w:w="70"/>
              <w:left w:type="dxa" w:w="95"/>
              <w:bottom w:type="dxa" w:w="70"/>
              <w:right w:type="dxa" w:w="95"/>
            </w:tcMar>
          </w:tcPr>
          <w:p>
            <w:pPr>
              <w:pStyle w:val="GuideTable"/>
            </w:pPr>
            <w:r>
              <w:rPr>
                <w:rFonts w:ascii="Calibri" w:cs="Calibri" w:eastAsia="Calibri" w:hAnsi="Calibri"/>
                <w:b/>
                <w:bCs/>
                <w:color w:val="22201D"/>
                <w:sz w:val="17"/>
                <w:szCs w:val="17"/>
              </w:rPr>
              <w:t xml:space="preserve">100</w:t>
            </w:r>
          </w:p>
        </w:tc>
      </w:tr>
    </w:tbl>
    <w:p>
      <w:pPr>
        <w:pStyle w:val="GuideTight"/>
      </w:pP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variante abierta tiene 76 % automático y 24 % sujeto a juicio de valor. Los criterios de calidad suman 55 puntos. Nada puntúa por estar disponible el día de la oferta: C1 y A valoran compromisos dentro del plazo; B tiene suelo recomendado de seis meses.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sesión funcional verifica sólo D, antes de abrir fórmulas. C1, A y H se comprueban documentalmente para todas las ofertas admitidas antes de clasificarlas. La sesión no añade puntos, no completa la oferta y no excluye por sí sola.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Carga y realidad operativa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En el caso trabajado, la licitación requiere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33 y 53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municipales. La ejecución exige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177,5 y 217,5 horas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el primer año y entre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117,5 y 141,5 horas/año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después. Al superar 40 horas, la conformidad expresa del servicio verificador es obligatoria.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Rectificar y aprender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La tabla VI.6 identifica defectos P1 que se corrigen conjuntamente antes de aprobar o por el cauce de rectificación que corresponda. No son una fe de erratas.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piloto se evalúa con dos informes: a los seis meses de publicar, concurrencia, consultas, recursos, exclusiones y tiempo de tramitación; a los doce meses de formalizar, cumplimiento, pruebas, incidencias, horas reales y uso del acceso de control. El resultado ajusta catálogo, Anexo V y parámetros.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VI, §§VI.4.6–VI.4.10 y VI.5–VI.8; Anexos IV, XVII, XVIII y XX.</w:t>
      </w:r>
    </w:p>
    <w:p>
      <w:r>
        <w:br w:type="page"/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Los 25 anexos: caja de herramientas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decidir y motivar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Cuadro Maestro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de Aplicabilidad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Informe de necesidad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Ficha por criterio y comprobación del baremo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Acuerdo del órgano de gobierno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Conflicto de interés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Consulta preliminar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Prestaciones intelectuales.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redactar la licitación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Exigencias del ejercicio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Declaración del licitador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Plan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Fórmulas y ofertas anormales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transcribible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Demostración funcional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Apéndices técnicos.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verificar y gobernar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Dependencias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Parámetros, umbrales y precios unitarios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Vigencia normativa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Aprobación anual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Actas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Certificaciones y equivalencias.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Para entender, adaptar y migrar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Correspondencia v2→v3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XIII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Glosario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XVI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Política municipal de IA generativa ·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XXIV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Contratos formalizados con v2.</w:t>
      </w:r>
    </w:p>
    <w:p>
      <w:pPr>
        <w:pStyle w:val="GuideH1"/>
      </w:pPr>
      <w:r>
        <w:rPr>
          <w:rFonts w:ascii="Georgia" w:cs="Georgia" w:eastAsia="Georgia" w:hAnsi="Georgia"/>
          <w:b/>
          <w:bCs/>
          <w:color w:val="1F3864"/>
        </w:rPr>
        <w:t xml:space="preserve">Siguiente acción para un expediente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Escriba el informe de necesidad sin abrir aún el catálogo de cláusulas.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Rellene el Anexo II y marque NO APLICA donde no haya origen, proporcionalidad o verificación.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Redacte PPT y PCAP copiando sólo los bloques de pliego y ejecute dependencias.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Complete coste, baremo, declaraciones y carpeta de defensa.</w:t>
      </w:r>
    </w:p>
    <w:p>
      <w:pPr>
        <w:pStyle w:val="GuideList"/>
        <w:numPr>
          <w:ilvl w:val="0"/>
          <w:numId w:val="9"/>
        </w:numPr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Pase íntegramente la lista V.10 antes del informe jurídico y la fiscalización.</w:t>
      </w:r>
    </w:p>
    <w:p>
      <w:pPr>
        <w:pStyle w:val="GuideBody"/>
      </w:pPr>
      <w:r>
        <w:rPr>
          <w:rFonts w:ascii="Calibri" w:cs="Calibri" w:eastAsia="Calibri" w:hAnsi="Calibri"/>
          <w:color w:val="22201D"/>
          <w:sz w:val="20"/>
          <w:szCs w:val="20"/>
        </w:rPr>
        <w:t xml:space="preserve">El documento completo es la fuente jurídica y técnica. Esta guía explica cómo navegarlo; no sustituye sus cláusulas, sus anexos ni los informes preceptivos. Se publica bajo </w:t>
      </w: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CC BY 4.0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, con cita de autoría y sin garantía. Antes de reutilizarlo, compruebe versión, fecha de corte, umbrales y estado de las tres condiciones de aplicación.</w:t>
      </w:r>
    </w:p>
    <w:p>
      <w:pPr>
        <w:pStyle w:val="GuideBody"/>
      </w:pPr>
      <w:r>
        <w:rPr>
          <w:rFonts w:ascii="Calibri" w:cs="Calibri" w:eastAsia="Calibri" w:hAnsi="Calibri"/>
          <w:b/>
          <w:bCs/>
          <w:color w:val="22201D"/>
          <w:sz w:val="20"/>
          <w:szCs w:val="20"/>
        </w:rPr>
        <w:t xml:space="preserve">Fuentes completas:</w:t>
      </w:r>
      <w:r>
        <w:rPr>
          <w:rFonts w:ascii="Calibri" w:cs="Calibri" w:eastAsia="Calibri" w:hAnsi="Calibri"/>
          <w:color w:val="22201D"/>
          <w:sz w:val="20"/>
          <w:szCs w:val="20"/>
        </w:rPr>
        <w:t xml:space="preserve"> Parte 0, §0.0; Parte V, §§V.8–V.10; Parte VII, Anexos I–XXV; autoría y condiciones de uso.</w:t>
      </w:r>
    </w:p>
    <w:sectPr>
      <w:headerReference w:type="default" r:id="rId7"/>
      <w:footerReference w:type="default" r:id="rId8"/>
      <w:pgSz w:w="11906" w:h="16838" w:orient="portrait"/>
      <w:pgMar w:top="900" w:right="900" w:bottom="900" w:left="90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Página </w:t>
    </w:r>
    <w:r>
      <w:rPr>
        <w:rFonts w:ascii="Calibri" w:cs="Calibri" w:eastAsia="Calibri" w:hAnsi="Calibri"/>
        <w:color w:val="5D657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D6573"/>
        <w:sz w:val="15"/>
        <w:szCs w:val="15"/>
      </w:rPr>
      <w:t xml:space="preserve"> de 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8" w:sz="4" w:space="3"/>
      </w:pBdr>
      <w:spacing w:after="80"/>
      <w:jc w:val="right"/>
    </w:pPr>
    <w:r>
      <w:rPr>
        <w:rFonts w:ascii="Calibri" w:cs="Calibri" w:eastAsia="Calibri" w:hAnsi="Calibri"/>
        <w:color w:val="5D6573"/>
        <w:sz w:val="15"/>
        <w:szCs w:val="15"/>
      </w:rPr>
      <w:t xml:space="preserve">AI Clauses · Guía municipal de decisión y aplicación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8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4"/>
    <w:lvlOverride w:ilvl="0">
      <w:startOverride w:val="1"/>
    </w:lvlOverride>
  </w:num>
  <w:num w:numId="7">
    <w:abstractNumId w:val="16"/>
    <w:lvlOverride w:ilvl="0">
      <w:startOverride w:val="1"/>
    </w:lvlOverride>
  </w:num>
  <w:num w:numId="8">
    <w:abstractNumId w:val="18"/>
    <w:lvlOverride w:ilvl="0">
      <w:startOverride w:val="1"/>
    </w:lvlOverride>
  </w:num>
  <w:num w:numId="9">
    <w:abstractNumId w:val="2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01D"/>
        <w:sz w:val="20"/>
        <w:szCs w:val="20"/>
      </w:rPr>
    </w:rPrDefault>
    <w:pPrDefault>
      <w:pPr>
        <w:spacing w:after="80" w:line="259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GuideTitle">
    <w:name w:val="Guide Title"/>
    <w:basedOn w:val="Normal"/>
    <w:next w:val="GuideCoverText"/>
    <w:pPr>
      <w:keepNext/>
      <w:spacing w:after="260" w:before="500" w:line="250"/>
      <w:jc w:val="left"/>
    </w:pPr>
    <w:rPr>
      <w:rFonts w:ascii="Georgia" w:cs="Georgia" w:eastAsia="Georgia" w:hAnsi="Georgia"/>
      <w:b/>
      <w:bCs/>
      <w:color w:val="1F3864"/>
      <w:sz w:val="52"/>
      <w:szCs w:val="52"/>
    </w:rPr>
  </w:style>
  <w:style w:type="paragraph" w:styleId="GuideH1">
    <w:name w:val="Guide Heading 1"/>
    <w:basedOn w:val="Normal"/>
    <w:next w:val="GuideBody"/>
    <w:pPr>
      <w:keepNext/>
      <w:spacing w:after="150" w:before="80" w:line="240"/>
      <w:outlineLvl w:val="0"/>
    </w:pPr>
    <w:rPr>
      <w:rFonts w:ascii="Georgia" w:cs="Georgia" w:eastAsia="Georgia" w:hAnsi="Georgia"/>
      <w:b/>
      <w:bCs/>
      <w:color w:val="1F3864"/>
      <w:sz w:val="34"/>
      <w:szCs w:val="34"/>
    </w:rPr>
  </w:style>
  <w:style w:type="paragraph" w:styleId="GuideH2">
    <w:name w:val="Guide Heading 2"/>
    <w:basedOn w:val="Normal"/>
    <w:next w:val="GuideBody"/>
    <w:pPr>
      <w:keepNext/>
      <w:spacing w:after="70" w:before="130" w:line="240"/>
      <w:outlineLvl w:val="1"/>
    </w:pPr>
    <w:rPr>
      <w:rFonts w:ascii="Calibri" w:cs="Calibri" w:eastAsia="Calibri" w:hAnsi="Calibri"/>
      <w:b/>
      <w:bCs/>
      <w:color w:val="2F5597"/>
      <w:sz w:val="23"/>
      <w:szCs w:val="23"/>
    </w:rPr>
  </w:style>
  <w:style w:type="paragraph" w:styleId="GuideBody">
    <w:name w:val="Guide Body"/>
    <w:basedOn w:val="Normal"/>
    <w:next w:val="GuideBody"/>
    <w:pPr>
      <w:spacing w:after="80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CoverText">
    <w:name w:val="Guide Cover Text"/>
    <w:basedOn w:val="GuideBody"/>
    <w:next w:val="GuideCoverText"/>
    <w:pPr>
      <w:spacing w:after="105" w:before="0" w:line="268"/>
    </w:pPr>
    <w:rPr>
      <w:rFonts w:ascii="Calibri" w:cs="Calibri" w:eastAsia="Calibri" w:hAnsi="Calibri"/>
      <w:color w:val="22201D"/>
      <w:sz w:val="21"/>
      <w:szCs w:val="21"/>
    </w:rPr>
  </w:style>
  <w:style w:type="paragraph" w:styleId="GuideList">
    <w:name w:val="Guide List"/>
    <w:basedOn w:val="GuideBody"/>
    <w:next w:val="GuideList"/>
    <w:pPr>
      <w:spacing w:after="65" w:before="0" w:line="259"/>
    </w:pPr>
    <w:rPr>
      <w:rFonts w:ascii="Calibri" w:cs="Calibri" w:eastAsia="Calibri" w:hAnsi="Calibri"/>
      <w:color w:val="22201D"/>
      <w:sz w:val="20"/>
      <w:szCs w:val="20"/>
    </w:rPr>
  </w:style>
  <w:style w:type="paragraph" w:styleId="GuideQuote">
    <w:name w:val="Guide Quote"/>
    <w:basedOn w:val="GuideBody"/>
    <w:next w:val="GuideBody"/>
    <w:pPr>
      <w:spacing w:after="100" w:before="80" w:line="259"/>
      <w:ind w:left="260" w:right="120"/>
    </w:pPr>
    <w:rPr>
      <w:rFonts w:ascii="Calibri" w:cs="Calibri" w:eastAsia="Calibri" w:hAnsi="Calibri"/>
      <w:i/>
      <w:iCs/>
      <w:color w:val="323A46"/>
      <w:sz w:val="20"/>
      <w:szCs w:val="20"/>
    </w:rPr>
  </w:style>
  <w:style w:type="paragraph" w:styleId="GuideTable">
    <w:name w:val="Guide Table"/>
    <w:basedOn w:val="Normal"/>
    <w:next w:val="GuideTable"/>
    <w:pPr>
      <w:spacing w:after="0" w:before="0" w:line="230"/>
    </w:pPr>
    <w:rPr>
      <w:rFonts w:ascii="Calibri" w:cs="Calibri" w:eastAsia="Calibri" w:hAnsi="Calibri"/>
      <w:color w:val="22201D"/>
      <w:sz w:val="16"/>
      <w:szCs w:val="16"/>
    </w:rPr>
  </w:style>
  <w:style w:type="paragraph" w:styleId="GuideTight">
    <w:name w:val="Guide Tight"/>
    <w:basedOn w:val="Normal"/>
    <w:next w:val="GuideBody"/>
    <w:pPr>
      <w:spacing w:after="45" w:before="0" w:line="120"/>
    </w:pPr>
    <w:rPr>
      <w:rFonts w:ascii="Calibri" w:cs="Calibri" w:eastAsia="Calibri" w:hAnsi="Calibri"/>
      <w:sz w:val="4"/>
      <w:szCs w:val="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Clauses · Guía municipal de decisión y aplicación</dc:title>
  <dc:creator>Delfina Lafuente Veira; José Antonio Ondiviela García; Miguel Ángel Domínguez Castellano; Enrique Jiménez; Roberto García</dc:creator>
  <dc:description>Guía ejecutiva de 20 páginas para revisar el catálogo de cláusulas de IA y deep tech</dc:description>
  <cp:lastModifiedBy>Un-named</cp:lastModifiedBy>
  <cp:revision>1</cp:revision>
  <dcterms:created xsi:type="dcterms:W3CDTF">2026-09-01T15:13:56.818Z</dcterms:created>
  <dcterms:modified xsi:type="dcterms:W3CDTF">2026-09-01T15:13:56.819Z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