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Enrique Jiménez · Roberto García — autoría y supervisión técnica</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cinco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para que pueda incorporarse a un expediente:</w:t>
      </w:r>
      <w:r>
        <w:rPr>
          <w:rFonts w:ascii="Calibri" w:cs="Calibri" w:eastAsia="Calibri" w:hAnsi="Calibri"/>
          <w:sz w:val="21"/>
          <w:szCs w:val="21"/>
        </w:rPr>
        <w:t xml:space="preserve"> las tres condiciones suspensivas que la</w:t>
      </w:r>
    </w:p>
    <w:p>
      <w:pPr>
        <w:spacing w:after="140" w:line="276"/>
      </w:pPr>
      <w:r>
        <w:rPr>
          <w:rFonts w:ascii="Calibri" w:cs="Calibri" w:eastAsia="Calibri" w:hAnsi="Calibri"/>
          <w:sz w:val="21"/>
          <w:szCs w:val="21"/>
        </w:rPr>
        <w:t xml:space="preserve">propia memoria justificativa enumera (Parte IV, §M11, filas 1 a 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aplicarse en un expediente que supere el umbral del recurso especial</w:t>
      </w:r>
      <w:r>
        <w:rPr>
          <w:rFonts w:ascii="Calibri" w:cs="Calibri" w:eastAsia="Calibri" w:hAnsi="Calibri"/>
          <w:sz w:val="21"/>
          <w:szCs w:val="21"/>
        </w:rPr>
        <w:t xml:space="preserve"> ni citarse</w:t>
      </w:r>
    </w:p>
    <w:p>
      <w:pPr>
        <w:spacing w:after="140" w:line="276"/>
      </w:pPr>
      <w:r>
        <w:rPr>
          <w:rFonts w:ascii="Calibri" w:cs="Calibri" w:eastAsia="Calibri" w:hAnsi="Calibri"/>
          <w:sz w:val="21"/>
          <w:szCs w:val="21"/>
        </w:rPr>
        <w:t xml:space="preserve">como modelo aprobado.</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ejecutar las correcciones de prioridad P1 del expediente piloto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cinco personas, cada una desde su oficio, con el Ayuntamiento de</w:t>
      </w:r>
    </w:p>
    <w:p>
      <w:pPr>
        <w:spacing w:after="140" w:line="276"/>
      </w:pPr>
      <w:r>
        <w:rPr>
          <w:rFonts w:ascii="Calibri" w:cs="Calibri" w:eastAsia="Calibri" w:hAnsi="Calibri"/>
          <w:sz w:val="21"/>
          <w:szCs w:val="21"/>
        </w:rPr>
        <w:t xml:space="preserve">Pozuelo de Alarcón como banco de pruebas real.</w:t>
      </w:r>
    </w:p>
    <w:p>
      <w:pPr>
        <w:spacing w:after="140" w:line="276"/>
      </w:pPr>
      <w:hyperlink w:history="1" r:id="rIdc6dnn7wma6hfxbtszrxt5">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llevarlo a los</w:t>
      </w:r>
    </w:p>
    <w:p>
      <w:pPr>
        <w:spacing w:after="140" w:line="276"/>
      </w:pPr>
      <w:r>
        <w:rPr>
          <w:rFonts w:ascii="Calibri" w:cs="Calibri" w:eastAsia="Calibri" w:hAnsi="Calibri"/>
          <w:sz w:val="21"/>
          <w:szCs w:val="21"/>
        </w:rPr>
        <w:t xml:space="preserve">servicios de contratación y jurídicos de su propio ayuntamiento, aguantar sus objeciones sin</w:t>
      </w:r>
    </w:p>
    <w:p>
      <w:pPr>
        <w:spacing w:after="140" w:line="276"/>
      </w:pPr>
      <w:r>
        <w:rPr>
          <w:rFonts w:ascii="Calibri" w:cs="Calibri" w:eastAsia="Calibri" w:hAnsi="Calibri"/>
          <w:sz w:val="21"/>
          <w:szCs w:val="21"/>
        </w:rPr>
        <w:t xml:space="preserve">defenderse, y traerlas de vuelta enteras. La versión que se publica existe porque ella hizo eso.</w:t>
      </w:r>
    </w:p>
    <w:p>
      <w:pPr>
        <w:spacing w:after="140" w:line="276"/>
      </w:pPr>
      <w:hyperlink w:history="1" r:id="rIdcqol0qzre8bx9fmfswznk">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7lrwzpx8tjgvj2e_hwnh4">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Enrique Jiménez y Roberto García</w:t>
      </w:r>
      <w:r>
        <w:rPr>
          <w:rFonts w:ascii="Calibri" w:cs="Calibri" w:eastAsia="Calibri" w:hAnsi="Calibri"/>
          <w:sz w:val="21"/>
          <w:szCs w:val="21"/>
        </w:rPr>
        <w:t xml:space="preserve"> — técnicos del área de contratación del Ayuntamiento de Pozuelo</w:t>
      </w:r>
    </w:p>
    <w:p>
      <w:pPr>
        <w:spacing w:after="140" w:line="276"/>
      </w:pPr>
      <w:r>
        <w:rPr>
          <w:rFonts w:ascii="Calibri" w:cs="Calibri" w:eastAsia="Calibri" w:hAnsi="Calibri"/>
          <w:sz w:val="21"/>
          <w:szCs w:val="21"/>
        </w:rPr>
        <w:t xml:space="preserve">de Alarcón; </w:t>
      </w:r>
      <w:r>
        <w:rPr>
          <w:rFonts w:ascii="Calibri" w:cs="Calibri" w:eastAsia="Calibri" w:hAnsi="Calibri"/>
          <w:b/>
          <w:bCs/>
          <w:sz w:val="21"/>
          <w:szCs w:val="21"/>
        </w:rPr>
        <w:t xml:space="preserve">autores y supervisores técnicos</w:t>
      </w:r>
      <w:r>
        <w:rPr>
          <w:rFonts w:ascii="Calibri" w:cs="Calibri" w:eastAsia="Calibri" w:hAnsi="Calibri"/>
          <w:sz w:val="21"/>
          <w:szCs w:val="21"/>
        </w:rPr>
        <w:t xml:space="preserve">. Han aportado el contraste de la práctica municipal y</w:t>
      </w:r>
    </w:p>
    <w:p>
      <w:pPr>
        <w:spacing w:after="140" w:line="276"/>
      </w:pPr>
      <w:r>
        <w:rPr>
          <w:rFonts w:ascii="Calibri" w:cs="Calibri" w:eastAsia="Calibri" w:hAnsi="Calibri"/>
          <w:sz w:val="21"/>
          <w:szCs w:val="21"/>
        </w:rPr>
        <w:t xml:space="preserve">la supervisión técnica de la formulación contractual. Las tres objeciones del área —que unas cláusulas</w:t>
      </w:r>
    </w:p>
    <w:p>
      <w:pPr>
        <w:spacing w:after="140" w:line="276"/>
      </w:pPr>
      <w:r>
        <w:rPr>
          <w:rFonts w:ascii="Calibri" w:cs="Calibri" w:eastAsia="Calibri" w:hAnsi="Calibri"/>
          <w:sz w:val="21"/>
          <w:szCs w:val="21"/>
        </w:rPr>
        <w:t xml:space="preserve">que no nacen de una necesidad demandada son artificiosas al contrato, que el grado de abstracción era</w:t>
      </w:r>
    </w:p>
    <w:p>
      <w:pPr>
        <w:spacing w:after="140" w:line="276"/>
      </w:pPr>
      <w:r>
        <w:rPr>
          <w:rFonts w:ascii="Calibri" w:cs="Calibri" w:eastAsia="Calibri" w:hAnsi="Calibri"/>
          <w:sz w:val="21"/>
          <w:szCs w:val="21"/>
        </w:rPr>
        <w:t xml:space="preserve">demasiado alto, y que había que probarlo en un contrato real antes de generalizarlo— están respondidas</w:t>
      </w:r>
    </w:p>
    <w:p>
      <w:pPr>
        <w:spacing w:after="140" w:line="276"/>
      </w:pPr>
      <w:r>
        <w:rPr>
          <w:rFonts w:ascii="Calibri" w:cs="Calibri" w:eastAsia="Calibri" w:hAnsi="Calibri"/>
          <w:sz w:val="21"/>
          <w:szCs w:val="21"/>
        </w:rPr>
        <w:t xml:space="preserve">en el cuerpo del texto y son la razón de ser de esta versión.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cinco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se ha construido sobre un caso real de</w:t>
      </w:r>
    </w:p>
    <w:p>
      <w:pPr>
        <w:spacing w:after="140" w:line="276"/>
      </w:pPr>
      <w:r>
        <w:rPr>
          <w:rFonts w:ascii="Calibri" w:cs="Calibri" w:eastAsia="Calibri" w:hAnsi="Calibri"/>
          <w:sz w:val="21"/>
          <w:szCs w:val="21"/>
        </w:rPr>
        <w:t xml:space="preserve">ese Ayuntamiento, se ha sometido al criterio de su área de contratación, y las objeciones que esa área</w:t>
      </w:r>
    </w:p>
    <w:p>
      <w:pPr>
        <w:spacing w:after="140" w:line="276"/>
      </w:pPr>
      <w:r>
        <w:rPr>
          <w:rFonts w:ascii="Calibri" w:cs="Calibri" w:eastAsia="Calibri" w:hAnsi="Calibri"/>
          <w:sz w:val="21"/>
          <w:szCs w:val="21"/>
        </w:rPr>
        <w:t xml:space="preserve">formuló —que constan literalmente en el texto— son las que han dado forma a esta versión. Ese contraste</w:t>
      </w:r>
    </w:p>
    <w:p>
      <w:pPr>
        <w:spacing w:after="140" w:line="276"/>
      </w:pPr>
      <w:r>
        <w:rPr>
          <w:rFonts w:ascii="Calibri" w:cs="Calibri" w:eastAsia="Calibri" w:hAnsi="Calibri"/>
          <w:sz w:val="21"/>
          <w:szCs w:val="21"/>
        </w:rPr>
        <w:t xml:space="preserve">con quien tiene que redactar y fiscalizar de verdad es lo que distingue este documento de un</w:t>
      </w:r>
    </w:p>
    <w:p>
      <w:pPr>
        <w:spacing w:after="140" w:line="276"/>
      </w:pPr>
      <w:r>
        <w:rPr>
          <w:rFonts w:ascii="Calibri" w:cs="Calibri" w:eastAsia="Calibri" w:hAnsi="Calibri"/>
          <w:sz w:val="21"/>
          <w:szCs w:val="21"/>
        </w:rPr>
        <w:t xml:space="preserve">clausulado de despacho.</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 la objeción del área de contratación, que estaba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del abogado de un licitador excluido, de un interventor, de un técnico de contratación,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que no cubre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por el que el área de contratación municipal escribió que las cláusulas «nacen a partir de unas necesidades que no se demandan por ninguno de los gestores y si no es así no dejan de ser algo artificioso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nrjg2cjcxhrdlbmewbi9s">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la respuesta a la segunda queja del área de contratación municipal: que el grado de abstracción del documento anterior era «muy elevado».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Hay pliegos ya redactados que citan los códigos de la versión 2.0, y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contrato de contabilidad y patrimonio se analiza en la Parte VI; sus cifras son otras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wney1ge5rt3pukgyxif2x">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g6kuhmqmm37hwaawkuj4h">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El área de contratación municipal advirtió que «son pocos los contratos en los que se haga un seguimiento real y este se basa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contabilidad no puede firmar la ficha de la seguridad ni la de la Intervención,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que este catálogo NO cubre</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Aquí se dice, caso por caso, por qué no cabe y qué se puede hacer en su lugar.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Por qué no cabe.</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frn1gf7igjhhy5cdh88x1">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iwrktfiw7id_48y5uok39">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gedsxnintdydyzijm9keu">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única objeción que bloquea la aprobación: </w:t>
      </w:r>
      <w:r>
        <w:rPr>
          <w:rFonts w:ascii="Calibri" w:cs="Calibri" w:eastAsia="Calibri" w:hAnsi="Calibri"/>
          <w:i/>
          <w:iCs/>
          <w:sz w:val="21"/>
          <w:szCs w:val="21"/>
        </w:rPr>
        <w:t xml:space="preserve">«[las cláusulas] nacen a partir de unas necesidades que no se demandan por ninguno de los gestores y si no es así no dejan de ser algo artificioso al contrato»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 objeción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 contabilidad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6ocv2ozir0wy8oxmq10ds">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contabilidad no puede firmar la ficha del ENS ni la del acceso de la Intervención: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isc_llhgvuannivei_hxx">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rdj3fyc1shbrppsyhcaat">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9jgfhxhtcrq7l8vgddmv4">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4w2vjebyybwapp8c4eyt8">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1njr6l2b_9l1novhzu-gs">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zntdk9-_pdvmf5cfocl5u">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27kw-zpvujsi_z6f1mdue">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orltqsfge6xbcavhrmuny">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wdzeopusqndx_ki6qjkz8">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fnzan5bvgbuxs3nrilvfk">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dpr6ihcyyggn-mmn8-sx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xdooeffdlhonbesyfgbl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la Intervención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z49bbdp_77ybphuqz7rwz">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xksfvlrvytykvhktxupkj">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wv3gksdkan0tbfkumkcyt">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tlnttu0eawtpjbgiop3sf">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o7obs0dkof9ewfwrs9v5">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q6dpy2c4ecqgxyuc8oeph">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j3-od3vvbzgsrngssiqms">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nq-boqeemcjgvb5npiruc">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cor4piffwrn69m_rdsmj5">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gnpdpj-6n-iw6z1mxutsz">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rracihrjbgqm2ymtuvpqj">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_0tot4lxkcv62xj76ecbx">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contabilidad,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de contabilidad,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es el que señalaron a la vez el área de contratación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la Intervención)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cmltynexv6fxumzmzqwa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h8feg8n2rgzuiokgqaq4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o6f4pjjrgy1pqm-bblxxm">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6mar-v_u9pg-xmbe4jzg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3sualfndc710a4ps1lsg3">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a9xoazm2wcaagdalwg4_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jmawltiidqnc2yk1jou2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9jzpaov4d3pzv2obmrrg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aqhuu2ti9obyu7qkcefu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y6wlpil2oe2g-unns8s-t">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uyixp5sfmsdfbav8hlrs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objeción interna: «son pocos los contratos en los que se haga un seguimiento real y este se basa exclusivamente en el control del gasto, ni eficiencia, ni eficacia».)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qf50jceje9urxo5wjbnh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contabilidad y patrimonio municipal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llevar la contabilidad del Ayuntamiento; la interfaz es una capacidad accesoria y valiosa, pero accesoria. Resolver por ella deja al Ayuntamiento sin contabilidad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de servicios de mantenimiento, evolución y soporte de la aplicación de contabilidad y patrimonio. </w:t>
      </w:r>
      <w:r>
        <w:rPr>
          <w:rFonts w:ascii="Calibri" w:cs="Calibri" w:eastAsia="Calibri" w:hAnsi="Calibri"/>
          <w:b/>
          <w:bCs/>
          <w:sz w:val="21"/>
          <w:szCs w:val="21"/>
        </w:rPr>
        <w:t xml:space="preserve">Es el mismo contrato de ejemplo que emplea la aplicación piloto de la Parte VI, con sus mismas cifras</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 los servicios de Intervención, Tesorería y Contabilidad,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contabilidad sin puntuar la contabilidad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la declaró por escrito el propio órgano municipal competente en materia de contratación, en su comentario de 18 de junio de 2026 al clausulado de la versión 2.0. </w:t>
      </w:r>
      <w:r>
        <w:rPr>
          <w:rFonts w:ascii="Calibri" w:cs="Calibri" w:eastAsia="Calibri" w:hAnsi="Calibri"/>
          <w:b/>
          <w:bCs/>
          <w:sz w:val="21"/>
          <w:szCs w:val="21"/>
        </w:rPr>
        <w:t xml:space="preserve">Ese comentario no es un informe</w:t>
      </w:r>
      <w:r>
        <w:rPr>
          <w:rFonts w:ascii="Calibri" w:cs="Calibri" w:eastAsia="Calibri" w:hAnsi="Calibri"/>
          <w:sz w:val="21"/>
          <w:szCs w:val="21"/>
        </w:rPr>
        <w:t xml:space="preserve">: es un comentario incorporado al final de un documento de trabajo. Se cita como lo que es,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 «Siendo este seguimiento parte de las obligaciones de control de la Intervención no podemos pedir que se implementen estos instrumentos; lo que sí entraría dentro de nuestro ámbito sería la explotación de los datos al mismo rango que el gestor, al objeto de cumplir con nuestras obligaciones legales». Antes de aprobar el catálogo debe recabarse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sustituya a ese comentario; mientras no exista, la memoria no puede referirse a él como informe.</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El problema real, dicho sin rodeos</w:t>
      </w:r>
    </w:p>
    <w:p>
      <w:pPr>
        <w:spacing w:after="140" w:line="276"/>
      </w:pPr>
      <w:r>
        <w:rPr>
          <w:rFonts w:ascii="Calibri" w:cs="Calibri" w:eastAsia="Calibri" w:hAnsi="Calibri"/>
          <w:sz w:val="21"/>
          <w:szCs w:val="21"/>
        </w:rPr>
        <w:t xml:space="preserve">La objeción más seria que ha recibido este catálogo no viene de un licitador. Viene de dentro. En el comentario que el área de contratación municipal incorporó al final del clausulado de junio de 2026 se escribió:</w:t>
      </w:r>
    </w:p>
    <w:p>
      <w:pPr>
        <w:pBdr>
          <w:left w:val="single" w:color="BFBFBF" w:sz="12" w:space="8"/>
        </w:pBdr>
        <w:spacing w:after="140" w:line="264"/>
        <w:ind w:left="400"/>
      </w:pPr>
      <w:r>
        <w:rPr>
          <w:rFonts w:ascii="Georgia" w:cs="Georgia" w:eastAsia="Georgia" w:hAnsi="Georgia"/>
          <w:i/>
          <w:iCs/>
          <w:color w:val="595959"/>
          <w:sz w:val="20"/>
          <w:szCs w:val="20"/>
        </w:rPr>
        <w:t xml:space="preserve">«La mayor de las pegas que veo para poder aplicar estas cláusulas es que nacen a partir de unas necesidades que no se demandan por ninguno de los gestores y si no es así no dejan de ser algo artificioso al contrato. Primero siempre surge la necesidad y las cláusulas del contrato es la forma de obligar al contratista para que satisfaga esa necesidad.»</w:t>
      </w:r>
    </w:p>
    <w:p>
      <w:pPr>
        <w:spacing w:after="140" w:line="276"/>
      </w:pPr>
      <w:r>
        <w:rPr>
          <w:rFonts w:ascii="Calibri" w:cs="Calibri" w:eastAsia="Calibri" w:hAnsi="Calibri"/>
          <w:sz w:val="21"/>
          <w:szCs w:val="21"/>
        </w:rPr>
        <w:t xml:space="preserve">Esa objeción no es de oportunidad: es, traducida al lenguaje de la ley, una objeción de art. 116.4.e) LCSP, que exige que la relación entre la necesidad y el objeto del contrato sea </w:t>
      </w:r>
      <w:r>
        <w:rPr>
          <w:rFonts w:ascii="Calibri" w:cs="Calibri" w:eastAsia="Calibri" w:hAnsi="Calibri"/>
          <w:i/>
          <w:iCs/>
          <w:sz w:val="21"/>
          <w:szCs w:val="21"/>
        </w:rPr>
        <w:t xml:space="preserve">«directa, clara y proporcional»</w:t>
      </w:r>
      <w:r>
        <w:rPr>
          <w:rFonts w:ascii="Calibri" w:cs="Calibri" w:eastAsia="Calibri" w:hAnsi="Calibri"/>
          <w:sz w:val="21"/>
          <w:szCs w:val="21"/>
        </w:rPr>
        <w:t xml:space="preserve">. Es también, exactamente, el motivo por el que un recurrente pediría la anulación de un pliego. Por eso se responde aquí, y se responde con instrumentos, no con retórica.</w:t>
      </w:r>
    </w:p>
    <w:p>
      <w:pPr>
        <w:spacing w:after="140" w:line="276"/>
      </w:pPr>
      <w:r>
        <w:rPr>
          <w:rFonts w:ascii="Calibri" w:cs="Calibri" w:eastAsia="Calibri" w:hAnsi="Calibri"/>
          <w:sz w:val="21"/>
          <w:szCs w:val="21"/>
        </w:rPr>
        <w:t xml:space="preserve">Ese texto </w:t>
      </w: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y así se cita en todo el catálogo: entero, con su naturaleza expresada y con la parte que juega en contra, en el </w:t>
      </w:r>
      <w:r>
        <w:rPr>
          <w:rFonts w:ascii="Calibri" w:cs="Calibri" w:eastAsia="Calibri" w:hAnsi="Calibri"/>
          <w:b/>
          <w:bCs/>
          <w:sz w:val="21"/>
          <w:szCs w:val="21"/>
        </w:rPr>
        <w:t xml:space="preserve">§M1.5</w:t>
      </w:r>
      <w:r>
        <w:rPr>
          <w:rFonts w:ascii="Calibri" w:cs="Calibri" w:eastAsia="Calibri" w:hAnsi="Calibri"/>
          <w:sz w:val="21"/>
          <w:szCs w:val="21"/>
        </w:rPr>
        <w:t xml:space="preserve">, que es la única sede de su cita completa. Las demás partes remiten a ella.</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el comentario de contratación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 sistema de contabilidad exponga una interfaz de acceso programático para agentes de IA. Y el gestor de contabilidad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El comentario del área de contratación de 18 de junio de 2026: qué es y cómo se cita</w:t>
      </w:r>
    </w:p>
    <w:p>
      <w:pPr>
        <w:spacing w:after="140" w:line="276"/>
      </w:pPr>
      <w:r>
        <w:rPr>
          <w:rFonts w:ascii="Calibri" w:cs="Calibri" w:eastAsia="Calibri" w:hAnsi="Calibri"/>
          <w:b/>
          <w:bCs/>
          <w:sz w:val="21"/>
          <w:szCs w:val="21"/>
        </w:rPr>
        <w:t xml:space="preserve">No es un informe.</w:t>
      </w:r>
      <w:r>
        <w:rPr>
          <w:rFonts w:ascii="Calibri" w:cs="Calibri" w:eastAsia="Calibri" w:hAnsi="Calibri"/>
          <w:sz w:val="21"/>
          <w:szCs w:val="21"/>
        </w:rPr>
        <w:t xml:space="preserve"> Es un comentario incorporado al final de un documento de trabajo. Este catálogo no puede citarlo como «informe de la Intervención» ni como «informe del área de contratación», ni atribuirlo a dos órganos distintos en dos apartados distintos. Se cita como lo que es, con su naturaleza expresada, y </w:t>
      </w:r>
      <w:r>
        <w:rPr>
          <w:rFonts w:ascii="Calibri" w:cs="Calibri" w:eastAsia="Calibri" w:hAnsi="Calibri"/>
          <w:b/>
          <w:bCs/>
          <w:sz w:val="21"/>
          <w:szCs w:val="21"/>
        </w:rPr>
        <w:t xml:space="preserve">entero</w:t>
      </w:r>
      <w:r>
        <w:rPr>
          <w:rFonts w:ascii="Calibri" w:cs="Calibri" w:eastAsia="Calibri" w:hAnsi="Calibri"/>
          <w:sz w:val="21"/>
          <w:szCs w:val="21"/>
        </w:rPr>
        <w:t xml:space="preserve">, incluida la parte que juega en contra:</w:t>
      </w:r>
    </w:p>
    <w:p>
      <w:pPr>
        <w:pBdr>
          <w:left w:val="single" w:color="BFBFBF" w:sz="12" w:space="8"/>
        </w:pBdr>
        <w:spacing w:after="140" w:line="264"/>
        <w:ind w:left="400"/>
      </w:pPr>
      <w:r>
        <w:rPr>
          <w:rFonts w:ascii="Georgia" w:cs="Georgia" w:eastAsia="Georgia" w:hAnsi="Georgia"/>
          <w:i/>
          <w:iCs/>
          <w:color w:val="595959"/>
          <w:sz w:val="20"/>
          <w:szCs w:val="20"/>
        </w:rPr>
        <w:t xml:space="preserve">«Son pocos los contratos en los que se haga un seguimiento real y este se basa exclusivamente en el control del gasto, ni eficiencia, ni eficacia. Siendo este seguimiento parte de las obligaciones de control de la Intervención </w:t>
      </w:r>
      <w:r>
        <w:rPr>
          <w:rFonts w:ascii="Georgia" w:cs="Georgia" w:eastAsia="Georgia" w:hAnsi="Georgia"/>
          <w:b/>
          <w:bCs/>
          <w:i/>
          <w:iCs/>
          <w:color w:val="595959"/>
          <w:sz w:val="20"/>
          <w:szCs w:val="20"/>
        </w:rPr>
        <w:t xml:space="preserve">no podemos pedir que se implementen estos instrumentos</w:t>
      </w:r>
      <w:r>
        <w:rPr>
          <w:rFonts w:ascii="Georgia" w:cs="Georgia" w:eastAsia="Georgia" w:hAnsi="Georgia"/>
          <w:i/>
          <w:iCs/>
          <w:color w:val="595959"/>
          <w:sz w:val="20"/>
          <w:szCs w:val="20"/>
        </w:rPr>
        <w:t xml:space="preserve">; lo que sí entraría dentro de nuestro ámbito sería la explotación de los datos al mismo rango que el gestor, al objeto de cumplir con nuestras obligaciones legales.»</w:t>
      </w:r>
    </w:p>
    <w:p>
      <w:pPr>
        <w:spacing w:after="140" w:line="276"/>
      </w:pPr>
      <w:r>
        <w:rPr>
          <w:rFonts w:ascii="Calibri" w:cs="Calibri" w:eastAsia="Calibri" w:hAnsi="Calibri"/>
          <w:sz w:val="21"/>
          <w:szCs w:val="21"/>
        </w:rPr>
        <w:t xml:space="preserve">Leído entero dice dos cosas, y las dos se han incorporado: que hay una necesidad real de explotación de datos por el órgano de control (de ahí ADM-12·v3) y que el propio comentarista duda de que corresponda al Ayuntamiento imponer al contratista los instrumentos de seguimiento (de ahí la regla de verificabilidad municipal del §M4.4 y la degradación de ADM-10·v3, que deja de ser fuente autónoma de obligaciones esenciales).</w:t>
      </w:r>
    </w:p>
    <w:p>
      <w:pPr>
        <w:spacing w:after="140" w:line="276"/>
      </w:pPr>
      <w:r>
        <w:rPr>
          <w:rFonts w:ascii="Calibri" w:cs="Calibri" w:eastAsia="Calibri" w:hAnsi="Calibri"/>
          <w:b/>
          <w:bCs/>
          <w:sz w:val="21"/>
          <w:szCs w:val="21"/>
        </w:rPr>
        <w:t xml:space="preserve">Recomendación vinculante para el expediente de aprobación:</w:t>
      </w:r>
      <w:r>
        <w:rPr>
          <w:rFonts w:ascii="Calibri" w:cs="Calibri" w:eastAsia="Calibri" w:hAnsi="Calibri"/>
          <w:sz w:val="21"/>
          <w:szCs w:val="21"/>
        </w:rPr>
        <w:t xml:space="preserve"> antes de publicar este catálogo, solicítese al área de contratación y a la Intervención un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y sustitúyase en esta memoria la cita del comentario por la cita del informe. Mientras no exista, la necesidad declarada por el órgano de control se apoya en un comentario de trabajo, y así debe constar.</w:t>
      </w:r>
    </w:p>
    <w:p>
      <w:pPr>
        <w:pStyle w:val="Heading3"/>
        <w:keepNext/>
        <w:spacing w:after="140" w:before="320"/>
      </w:pPr>
      <w:r>
        <w:rPr>
          <w:rFonts w:ascii="Georgia" w:cs="Georgia" w:eastAsia="Georgia" w:hAnsi="Georgia"/>
          <w:b/>
          <w:bCs/>
          <w:color w:val="2F5496"/>
          <w:sz w:val="22"/>
          <w:szCs w:val="22"/>
        </w:rPr>
        <w:t xml:space="preserve">M1.6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área de contratación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del área de contratación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la Intervención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del área de contratación y de la Intervención que sustituya al comentario de trabajo de 18/06/2026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del expediente piloto</w:t>
            </w:r>
            <w:r>
              <w:rPr>
                <w:rFonts w:ascii="Calibri" w:cs="Calibri" w:eastAsia="Calibri" w:hAnsi="Calibri"/>
                <w:b w:val="false"/>
                <w:bCs w:val="false"/>
                <w:sz w:val="18"/>
                <w:szCs w:val="18"/>
              </w:rPr>
              <w:t xml:space="preserve"> redactado con el clausulado anterior: si está aprobado, procede rectificación previa a licitar, no simple revisión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un área de contratación y, además, nadie de contratación puede hacer por su cuenta un estudio de mercado de tecnologías emergentes.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qdtu2ebhq68sw6wfxu_8m">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rpycsotqqqj6jrunvbixj">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APLICACIÓN PILOTO: EL CONTRATO DE CONTABILIDAD Y PATRIMONIO</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El área de contratación del Ayuntamiento formuló, junto a la objeción principal sobre el origen de la necesidad, una petición concreta: </w:t>
      </w:r>
      <w:r>
        <w:rPr>
          <w:rFonts w:ascii="Calibri" w:cs="Calibri" w:eastAsia="Calibri" w:hAnsi="Calibri"/>
          <w:b/>
          <w:bCs/>
          <w:sz w:val="21"/>
          <w:szCs w:val="21"/>
        </w:rPr>
        <w:t xml:space="preserve">ponerlo a funcionar en un contrato municipal a modo de experimento piloto, por resultar demasiado elevado el grado de abstracción del documento</w:t>
      </w:r>
      <w:r>
        <w:rPr>
          <w:rFonts w:ascii="Calibri" w:cs="Calibri" w:eastAsia="Calibri" w:hAnsi="Calibri"/>
          <w:sz w:val="21"/>
          <w:szCs w:val="21"/>
        </w:rPr>
        <w:t xml:space="preserve">. La petición consta en un comentario interno del área de contratación, sin firma ni fecha de registro, que se reproduce íntegro y con identificación de su naturaleza en la Parte IV, M1.5, único lugar del documento donde se cita completo. Todo uso de ese comentario, aquí y en el resto del documento, se hace por remisión a esa cita.</w:t>
      </w:r>
    </w:p>
    <w:p>
      <w:pPr>
        <w:spacing w:after="140" w:line="276"/>
      </w:pPr>
      <w:r>
        <w:rPr>
          <w:rFonts w:ascii="Calibri" w:cs="Calibri" w:eastAsia="Calibri" w:hAnsi="Calibri"/>
          <w:sz w:val="21"/>
          <w:szCs w:val="21"/>
        </w:rPr>
        <w:t xml:space="preserve">Esta parte es la respuesta. No describe cómo se aplicaría el catálogo: lo aplica a un expediente real, con las casillas marcadas, las cláusulas descartadas con su motivo, la categoría de seguridad razonada, el baremo completo —con el precio dentro— y la lista de documentos que el expediente debe contener. Y termina con lo que ningún documento de este tipo suele incluir: la tabla de lo que hay que rectificar en unos pliegos que ya están escritos.</w:t>
      </w:r>
    </w:p>
    <w:p>
      <w:pPr>
        <w:spacing w:after="140" w:line="276"/>
      </w:pPr>
      <w:r>
        <w:rPr>
          <w:rFonts w:ascii="Calibri" w:cs="Calibri" w:eastAsia="Calibri" w:hAnsi="Calibri"/>
          <w:sz w:val="21"/>
          <w:szCs w:val="21"/>
        </w:rPr>
        <w:t xml:space="preserve">Regla de lectura para otra administración que reutilice el documento (R-5): lo que sigue es un caso, no una plantilla. Lo reutilizable 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 instrumento, baremo, valor estimado, documentos—, no las conclusiones concretas de este contrato, que dependen de sus datos.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Estado real del expediente a la fecha de corte (01/09/2026) y regla de tramitación</w:t>
      </w:r>
    </w:p>
    <w:p>
      <w:pPr>
        <w:spacing w:after="140" w:line="276"/>
      </w:pPr>
      <w:r>
        <w:rPr>
          <w:rFonts w:ascii="Calibri" w:cs="Calibri" w:eastAsia="Calibri" w:hAnsi="Calibri"/>
          <w:sz w:val="21"/>
          <w:szCs w:val="21"/>
        </w:rPr>
        <w:t xml:space="preserve">Hecho que condiciona todo lo demás: </w:t>
      </w:r>
      <w:r>
        <w:rPr>
          <w:rFonts w:ascii="Calibri" w:cs="Calibri" w:eastAsia="Calibri" w:hAnsi="Calibri"/>
          <w:b/>
          <w:bCs/>
          <w:sz w:val="21"/>
          <w:szCs w:val="21"/>
        </w:rPr>
        <w:t xml:space="preserve">las cláusulas de inteligencia artificial del PPT y del PCAP de este contrato se redactaron el 24 de agosto de 2026 con el texto de la versión 2</w:t>
      </w:r>
      <w:r>
        <w:rPr>
          <w:rFonts w:ascii="Calibri" w:cs="Calibri" w:eastAsia="Calibri" w:hAnsi="Calibri"/>
          <w:sz w:val="21"/>
          <w:szCs w:val="21"/>
        </w:rPr>
        <w:t xml:space="preserve">, es decir, con los defectos que la versión 3 corrige. Así consta en la documentación de preparación del proyecto.</w:t>
      </w:r>
    </w:p>
    <w:p>
      <w:pPr>
        <w:spacing w:after="140" w:line="276"/>
      </w:pPr>
      <w:r>
        <w:rPr>
          <w:rFonts w:ascii="Calibri" w:cs="Calibri" w:eastAsia="Calibri" w:hAnsi="Calibri"/>
          <w:b/>
          <w:bCs/>
          <w:sz w:val="21"/>
          <w:szCs w:val="21"/>
        </w:rPr>
        <w:t xml:space="preserve">Identificación del expediente.</w:t>
      </w:r>
      <w:r>
        <w:rPr>
          <w:rFonts w:ascii="Calibri" w:cs="Calibri" w:eastAsia="Calibri" w:hAnsi="Calibri"/>
          <w:sz w:val="21"/>
          <w:szCs w:val="21"/>
        </w:rPr>
        <w:t xml:space="preserve"> A la fecha de corte, el expediente </w:t>
      </w:r>
      <w:r>
        <w:rPr>
          <w:rFonts w:ascii="Calibri" w:cs="Calibri" w:eastAsia="Calibri" w:hAnsi="Calibri"/>
          <w:b/>
          <w:bCs/>
          <w:sz w:val="21"/>
          <w:szCs w:val="21"/>
        </w:rPr>
        <w:t xml:space="preserve">no ha sido publicado en el perfil de contratante</w:t>
      </w:r>
      <w:r>
        <w:rPr>
          <w:rFonts w:ascii="Calibri" w:cs="Calibri" w:eastAsia="Calibri" w:hAnsi="Calibri"/>
          <w:sz w:val="21"/>
          <w:szCs w:val="21"/>
        </w:rPr>
        <w:t xml:space="preserve"> y sus datos identificativos no son información pública. Este apartado se completará con el número de expediente, el objeto formal, el valor estimado real y la situación procedimental en el momento de su publicación, y </w:t>
      </w:r>
      <w:r>
        <w:rPr>
          <w:rFonts w:ascii="Calibri" w:cs="Calibri" w:eastAsia="Calibri" w:hAnsi="Calibri"/>
          <w:b/>
          <w:bCs/>
          <w:sz w:val="21"/>
          <w:szCs w:val="21"/>
        </w:rPr>
        <w:t xml:space="preserve">hasta entonces toda la Parte VI debe leerse como caso trabajado sobre datos hipotéticos</w:t>
      </w:r>
      <w:r>
        <w:rPr>
          <w:rFonts w:ascii="Calibri" w:cs="Calibri" w:eastAsia="Calibri" w:hAnsi="Calibri"/>
          <w:sz w:val="21"/>
          <w:szCs w:val="21"/>
        </w:rPr>
        <w:t xml:space="preserve">, no como la reproducción de un expediente en 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01/09/2026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formal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real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publicación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Situación procedimental (A, B o C de la tabla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de consignar</w:t>
            </w:r>
          </w:p>
        </w:tc>
      </w:tr>
    </w:tbl>
    <w:p>
      <w:pPr>
        <w:spacing w:after="200"/>
      </w:pPr>
    </w:p>
    <w:p>
      <w:pPr>
        <w:spacing w:after="140" w:line="276"/>
      </w:pPr>
      <w:r>
        <w:rPr>
          <w:rFonts w:ascii="Calibri" w:cs="Calibri" w:eastAsia="Calibri" w:hAnsi="Calibri"/>
          <w:sz w:val="21"/>
          <w:szCs w:val="21"/>
        </w:rPr>
        <w:t xml:space="preserve">Antes de continuar, el órgano de contratación debe consignar en el expediente en cuál de estas tres situaciones se encuentra, porque de ella depende el cauce de la corrección: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consta en la preparación del expediente que el pliego se elaboró tomando como referencia el de otro ayuntamiento que tiene implantada una solución determinada. Si eso se confirma,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Por qué este contrato es el piloto adecuado</w:t>
      </w:r>
    </w:p>
    <w:p>
      <w:pPr>
        <w:spacing w:after="140" w:line="276"/>
      </w:pPr>
      <w:r>
        <w:rPr>
          <w:rFonts w:ascii="Calibri" w:cs="Calibri" w:eastAsia="Calibri" w:hAnsi="Calibri"/>
          <w:sz w:val="21"/>
          <w:szCs w:val="21"/>
        </w:rPr>
        <w:t xml:space="preserve">Cuatro razones, y ninguna es que sea el contrato más grande:</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del objetor.</w:t>
      </w:r>
      <w:r>
        <w:rPr>
          <w:rFonts w:ascii="Calibri" w:cs="Calibri" w:eastAsia="Calibri" w:hAnsi="Calibri"/>
          <w:sz w:val="21"/>
          <w:szCs w:val="21"/>
        </w:rPr>
        <w:t xml:space="preserve"> La necesidad de acceso de los órganos de control a los datos de ejecución (ADM-12·v3) es la única necesidad de todo este proyecto declarada por escrito por un órgano municipal, y la contabilidad y el patrimonio son exactamente la materia sobre la que ese órgano ejerce sus funciones de control (art. 214 TRLRHL; arts. 4.3, 6.3, 6.7, 20 y 30 del RD 424/2017). El piloto empieza dando, no pidiendo.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Todo lo que el catálogo exige —interfaz de consulta, registro de auditoría, exportación en formato abierto, diccionario de datos— se comprueba aquí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 obliga a usar las dos vías de firma de la ficha de aplicabilidad (Anexo II) y, por tanto, el que prueba si el circuito funciona.</w:t>
      </w:r>
    </w:p>
    <w:p>
      <w:pPr>
        <w:pStyle w:val="ListParagraph"/>
        <w:numPr>
          <w:ilvl w:val="0"/>
          <w:numId w:val="2"/>
        </w:numPr>
        <w:spacing w:after="70" w:line="268"/>
      </w:pPr>
      <w:r>
        <w:rPr>
          <w:rFonts w:ascii="Calibri" w:cs="Calibri" w:eastAsia="Calibri" w:hAnsi="Calibri"/>
          <w:b/>
          <w:bCs/>
          <w:sz w:val="21"/>
          <w:szCs w:val="21"/>
        </w:rPr>
        <w:t xml:space="preserve">Ya está escrito con la versión anterior.</w:t>
      </w:r>
      <w:r>
        <w:rPr>
          <w:rFonts w:ascii="Calibri" w:cs="Calibri" w:eastAsia="Calibri" w:hAnsi="Calibri"/>
          <w:sz w:val="21"/>
          <w:szCs w:val="21"/>
        </w:rPr>
        <w:t xml:space="preserve"> Es un piloto y a la vez un caso de rectificación: enseña las dos cosas que hay que saber hacer.</w:t>
      </w:r>
    </w:p>
    <w:p>
      <w:pPr>
        <w:spacing w:after="140" w:line="276"/>
      </w:pPr>
      <w:r>
        <w:rPr>
          <w:rFonts w:ascii="Calibri" w:cs="Calibri" w:eastAsia="Calibri" w:hAnsi="Calibri"/>
          <w:sz w:val="21"/>
          <w:szCs w:val="21"/>
        </w:rPr>
        <w:t xml:space="preserve">Lo que el piloto </w:t>
      </w:r>
      <w:r>
        <w:rPr>
          <w:rFonts w:ascii="Calibri" w:cs="Calibri" w:eastAsia="Calibri" w:hAnsi="Calibri"/>
          <w:b/>
          <w:bCs/>
          <w:sz w:val="21"/>
          <w:szCs w:val="21"/>
        </w:rPr>
        <w:t xml:space="preserve">no</w:t>
      </w:r>
      <w:r>
        <w:rPr>
          <w:rFonts w:ascii="Calibri" w:cs="Calibri" w:eastAsia="Calibri" w:hAnsi="Calibri"/>
          <w:sz w:val="21"/>
          <w:szCs w:val="21"/>
        </w:rPr>
        <w:t xml:space="preserve"> demuestra: no demuestra que el catálogo funcione en contratos menores, en contratos basados en acuerdo marco o en adhesiones a centrales de compra, ni en prórrogas de contratos vivos. Para esos tres supuestos rigen las reglas específicas de la Parte I y no hay experiencia todavía.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contabilidad y patrimonio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Llevanza de la contabilidad municipal y del inventario de bienes y derechos conforme a la normativa presupuestaria y contable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 y del órgano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que el área de contratación señaló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contabilidad no es hoy actuación administrativa automatizada,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llevanza de la contabilidad y del inventario.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llevanza de la contabilidad municipal y del inventario de bienes y derechos: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lleva su contabilidad, gestiona su inventario y rinde sus cuentas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contabilidad y patrimonio municipal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Que la contabilidad figure en la lista tasada de servicios no basta: la lista es una de las cuatro circunstancias, no una vía alternativa.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contabilidad presupuestaria y financiera; (ii) gestión patrimonial e inventario de bienes y derechos; (iii) terceros y endosos.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(gestor contable, patrimonio,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El área de contratación advirtió, en el comentario interno que se reproduce íntegro en la Parte IV, M1.5,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Revisión de lo ya redactado el 24/08/2026</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en los pliegos del 24/08/2026 (texto 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contabilidad en el contrato de contabilidad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este expediente,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 rectificar y publicar después (regla general); o aprobar los pliegos rectificados y publicar el modelo en el mismo acto, cuando el expediente esté en las situaciones A o B y la coordinación entre el área promotora y el área de contratación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lo que el área de contratación pidió —un experimento—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piloto resuelto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expediente piloto completo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El área de contratación lo pidió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6dnn7wma6hfxbtszrxt5" Type="http://schemas.openxmlformats.org/officeDocument/2006/relationships/hyperlink" Target="https://www.pozuelodealarcon.org/tu-ayuntamiento/organizacion-municipal/trayectoria-profesional-delfina-lafuente-veira" TargetMode="External"/><Relationship Id="rIdcqol0qzre8bx9fmfswznk" Type="http://schemas.openxmlformats.org/officeDocument/2006/relationships/hyperlink" Target="https://www.ufv.es/una-nueva-definicion-para-las-ciudades-que-transformaran-el-mundo-noticias-actualidad/" TargetMode="External"/><Relationship Id="rId7lrwzpx8tjgvj2e_hwnh4" Type="http://schemas.openxmlformats.org/officeDocument/2006/relationships/hyperlink" Target="https://miguelangeldominguez.info" TargetMode="External"/><Relationship Id="rIdnrjg2cjcxhrdlbmewbi9s" Type="http://schemas.openxmlformats.org/officeDocument/2006/relationships/hyperlink" Target="https://www.comunidad.madrid/tacp/sites/default/files/resolucion_383-2024_expediente_383-2024.pdf" TargetMode="External"/><Relationship Id="rIdwney1ge5rt3pukgyxif2x" Type="http://schemas.openxmlformats.org/officeDocument/2006/relationships/hyperlink" Target="https://www.hacienda.gob.es/dgpatrimonio/junta%20consultiva/informes/informes2026/informe202518modificaciones204y205delalcsp.pdf" TargetMode="External"/><Relationship Id="rIdg6kuhmqmm37hwaawkuj4h" Type="http://schemas.openxmlformats.org/officeDocument/2006/relationships/hyperlink" Target="https://contratos-publicos.comunidad.madrid/media/827829/download" TargetMode="External"/><Relationship Id="rIdfrn1gf7igjhhy5cdh88x1" Type="http://schemas.openxmlformats.org/officeDocument/2006/relationships/hyperlink" Target="https://www.boe.es/buscar/act.php?id=BOE-A-2017-12902" TargetMode="External"/><Relationship Id="rIdiwrktfiw7id_48y5uok39" Type="http://schemas.openxmlformats.org/officeDocument/2006/relationships/hyperlink" Target="https://www.boe.es/buscar/doc.php?id=DOUE-L-2025-81543" TargetMode="External"/><Relationship Id="rIdgedsxnintdydyzijm9keu" Type="http://schemas.openxmlformats.org/officeDocument/2006/relationships/hyperlink" Target="https://www.boe.es/buscar/doc.php?id=BOE-A-2016-11098" TargetMode="External"/><Relationship Id="rId6ocv2ozir0wy8oxmq10ds" Type="http://schemas.openxmlformats.org/officeDocument/2006/relationships/hyperlink" Target="https://www.boe.es/buscar/doc.php?id=DOUE-L-2026-81147" TargetMode="External"/><Relationship Id="rIdisc_llhgvuannivei_hxx" Type="http://schemas.openxmlformats.org/officeDocument/2006/relationships/hyperlink" Target="https://www.comunidad.madrid/tacp/sites/default/files/resolucion_383-2024_expediente_383-2024.pdf" TargetMode="External"/><Relationship Id="rIdrdj3fyc1shbrppsyhcaat" Type="http://schemas.openxmlformats.org/officeDocument/2006/relationships/hyperlink" Target="https://www.boe.es/buscar/doc.php?id=DOUE-L-2026-81147" TargetMode="External"/><Relationship Id="rId9jgfhxhtcrq7l8vgddmv4" Type="http://schemas.openxmlformats.org/officeDocument/2006/relationships/hyperlink" Target="https://www.linuxfoundation.org/press/linux-foundation-announces-the-formation-of-the-agentic-ai-foundation" TargetMode="External"/><Relationship Id="rId4w2vjebyybwapp8c4eyt8" Type="http://schemas.openxmlformats.org/officeDocument/2006/relationships/hyperlink" Target="https://single-market-economy.ec.europa.eu/single-market/european-standards/ict-standardisation/ict-technical-specifications_en" TargetMode="External"/><Relationship Id="rId1njr6l2b_9l1novhzu-gs" Type="http://schemas.openxmlformats.org/officeDocument/2006/relationships/hyperlink" Target="https://www.hacienda.gob.es/TACRC/Resoluciones/A%C3%B1o%202022/Recurso%200998-2022%20(Res%201113" TargetMode="External"/><Relationship Id="rIdzntdk9-_pdvmf5cfocl5u" Type="http://schemas.openxmlformats.org/officeDocument/2006/relationships/hyperlink" Target="https://www.comunidad.madrid/tacp/sites/default/files/resolucion_535-2025_expediente_526-2025.pdf" TargetMode="External"/><Relationship Id="rId27kw-zpvujsi_z6f1mdue" Type="http://schemas.openxmlformats.org/officeDocument/2006/relationships/hyperlink" Target="https://eur-lex.europa.eu/legal-content/ES/TXT/HTML/?uri=CELEX:62023CJ0424" TargetMode="External"/><Relationship Id="rIdorltqsfge6xbcavhrmuny" Type="http://schemas.openxmlformats.org/officeDocument/2006/relationships/hyperlink" Target="https://eur-lex.europa.eu/legal-content/ES/TXT/HTML/?uri=CELEX:62017CJ0014" TargetMode="External"/><Relationship Id="rIdwdzeopusqndx_ki6qjkz8" Type="http://schemas.openxmlformats.org/officeDocument/2006/relationships/hyperlink" Target="https://www.hacienda.gob.es/TACRC/Resoluciones/A%C3%B1o%202021/Recurso%201372-2021%20VAL%20314-2021%20(Res%201727" TargetMode="External"/><Relationship Id="rIdfnzan5bvgbuxs3nrilvfk" Type="http://schemas.openxmlformats.org/officeDocument/2006/relationships/hyperlink" Target="https://www.hacienda.gob.es/TACRC/Resoluciones/A%C3%B1o%202020/Recurso%200323-2020%20%20(Res%20549" TargetMode="External"/><Relationship Id="rIddpr6ihcyyggn-mmn8-sxr" Type="http://schemas.openxmlformats.org/officeDocument/2006/relationships/hyperlink" Target="https://www.comunidad.madrid/tacp/sites/default/files/resolucion_535-2025_expediente_526-2025.pdf" TargetMode="External"/><Relationship Id="rIdxdooeffdlhonbesyfgblt" Type="http://schemas.openxmlformats.org/officeDocument/2006/relationships/hyperlink" Target="https://www.comunidad.madrid/tacp/sites/default/files/resolucion_92-2024_recurso_070-2024_web.pdf" TargetMode="External"/><Relationship Id="rIdz49bbdp_77ybphuqz7rwz" Type="http://schemas.openxmlformats.org/officeDocument/2006/relationships/hyperlink" Target="https://www.boe.es/buscar/act.php?id=BOE-A-2013-13722" TargetMode="External"/><Relationship Id="rIdxksfvlrvytykvhktxupkj" Type="http://schemas.openxmlformats.org/officeDocument/2006/relationships/hyperlink" Target="https://www.boe.es/buscar/act.php?id=BOE-A-2015-10565" TargetMode="External"/><Relationship Id="rIdwv3gksdkan0tbfkumkcyt" Type="http://schemas.openxmlformats.org/officeDocument/2006/relationships/hyperlink" Target="https://www.boe.es/buscar/act.php?id=BOE-A-2010-1331" TargetMode="External"/><Relationship Id="rIdtlnttu0eawtpjbgiop3sf" Type="http://schemas.openxmlformats.org/officeDocument/2006/relationships/hyperlink" Target="https://www.boe.es/buscar/act.php?id=BOE-A-2021-13749" TargetMode="External"/><Relationship Id="rId-o7obs0dkof9ewfwrs9v5" Type="http://schemas.openxmlformats.org/officeDocument/2006/relationships/hyperlink" Target="https://www.boe.es/buscar/act.php?id=BOE-A-2015-10565" TargetMode="External"/><Relationship Id="rIdq6dpy2c4ecqgxyuc8oeph" Type="http://schemas.openxmlformats.org/officeDocument/2006/relationships/hyperlink" Target="https://www.boe.es/buscar/act.php?id=BOE-A-2021-5032" TargetMode="External"/><Relationship Id="rIdj3-od3vvbzgsrngssiqms" Type="http://schemas.openxmlformats.org/officeDocument/2006/relationships/hyperlink" Target="https://www.boe.es/buscar/act.php?id=BOE-A-2015-10565" TargetMode="External"/><Relationship Id="rIdnq-boqeemcjgvb5npiruc" Type="http://schemas.openxmlformats.org/officeDocument/2006/relationships/hyperlink" Target="https://www.boe.es/buscar/act.php?id=BOE-A-2021-5032" TargetMode="External"/><Relationship Id="rIdcor4piffwrn69m_rdsmj5" Type="http://schemas.openxmlformats.org/officeDocument/2006/relationships/hyperlink" Target="https://www.boe.es/buscar/act.php?id=BOE-A-2015-10565" TargetMode="External"/><Relationship Id="rIdgnpdpj-6n-iw6z1mxutsz" Type="http://schemas.openxmlformats.org/officeDocument/2006/relationships/hyperlink" Target="https://www.boe.es/buscar/act.php?id=BOE-A-2021-5032" TargetMode="External"/><Relationship Id="rIdrracihrjbgqm2ymtuvpqj" Type="http://schemas.openxmlformats.org/officeDocument/2006/relationships/hyperlink" Target="https://www.boe.es/buscar/act.php?id=BOE-A-2010-1331" TargetMode="External"/><Relationship Id="rId_0tot4lxkcv62xj76ecbx" Type="http://schemas.openxmlformats.org/officeDocument/2006/relationships/hyperlink" Target="https://www.comunidad.madrid/tacp/sites/default/files/resolucion_383-2024_expediente_383-2024.pdf" TargetMode="External"/><Relationship Id="rIdcmltynexv6fxumzmzqwac" Type="http://schemas.openxmlformats.org/officeDocument/2006/relationships/hyperlink" Target="https://www.comunidad.madrid/tacp/sites/default/files/resolucion_383-2024_expediente_383-2024.pdf" TargetMode="External"/><Relationship Id="rIdh8feg8n2rgzuiokgqaq4s" Type="http://schemas.openxmlformats.org/officeDocument/2006/relationships/hyperlink" Target="https://www.comunidad.madrid/tacp/sites/default/files/resolucion_535-2025_expediente_526-2025.pdf" TargetMode="External"/><Relationship Id="rIdo6f4pjjrgy1pqm-bblxxm" Type="http://schemas.openxmlformats.org/officeDocument/2006/relationships/hyperlink" Target="https://www.hacienda.gob.es/tacrc/resoluciones/a%C3%B1o%202019/recurso%200557-2019%20val%20113-2019%20(res%20786" TargetMode="External"/><Relationship Id="rId6mar-v_u9pg-xmbe4jzgl" Type="http://schemas.openxmlformats.org/officeDocument/2006/relationships/hyperlink" Target="https://www.hacienda.gob.es/TACRC/Resoluciones/A%C3%B1o%202021/Recurso%201372-2021%20VAL%20314-2021%20(Res%201727" TargetMode="External"/><Relationship Id="rId3sualfndc710a4ps1lsg3" Type="http://schemas.openxmlformats.org/officeDocument/2006/relationships/hyperlink" Target="https://tienda.aenor.com/p/norma-une-en-iso-iec-42001-2026-n0075951" TargetMode="External"/><Relationship Id="rIda9xoazm2wcaagdalwg4_t" Type="http://schemas.openxmlformats.org/officeDocument/2006/relationships/hyperlink" Target="https://www.euskadi.eus/contenidos/informacion/kpecpe_oarc_memorias_doctrina/eu_def/adjuntos/Doktrina-2018-2023.pdf" TargetMode="External"/><Relationship Id="rIdjmawltiidqnc2yk1jou2l" Type="http://schemas.openxmlformats.org/officeDocument/2006/relationships/hyperlink" Target="https://www.hacienda.gob.es/TACRC/Resoluciones/A%C3%B1o%202022/Recurso%200998-2022%20(Res%201113" TargetMode="External"/><Relationship Id="rId9jzpaov4d3pzv2obmrrgr" Type="http://schemas.openxmlformats.org/officeDocument/2006/relationships/hyperlink" Target="https://www.hacienda.gob.es/tacrc/resoluciones/a%C3%B1o%202022/recurso%200846-2022%20(res%201287" TargetMode="External"/><Relationship Id="rIdaqhuu2ti9obyu7qkceful" Type="http://schemas.openxmlformats.org/officeDocument/2006/relationships/hyperlink" Target="https://www.hacienda.gob.es/TACRC/Documentos/RESOLUCIONES%20DE%20PLENO%202022/Resoluci%C3%B3n%20Recurso%20842-2022%20(Res%201111" TargetMode="External"/><Relationship Id="rIdy6wlpil2oe2g-unns8s-t" Type="http://schemas.openxmlformats.org/officeDocument/2006/relationships/hyperlink" Target="https://contratacion.castillalamancha.es/sites/default/files/infocontrataclm/descargar_consulta_019-2022.pdf" TargetMode="External"/><Relationship Id="rIduyixp5sfmsdfbav8hlrse" Type="http://schemas.openxmlformats.org/officeDocument/2006/relationships/hyperlink" Target="http://www.contratosdelsectorpublico.es/DocumentosWEB/02TribunalesContractuales/TACP%20Aragon/TACP%20Arag%C3%B3n%2076-2015.pdf" TargetMode="External"/><Relationship Id="rIdqf50jceje9urxo5wjbnhe" Type="http://schemas.openxmlformats.org/officeDocument/2006/relationships/hyperlink" Target="https://www.hacienda.gob.es/TACRC/Documentos/RESOLUCIONES%20DE%20PLENO%202022/Resoluci%C3%B3n%20Recurso%20842-2022%20(Res%201111" TargetMode="External"/><Relationship Id="rIdqdtu2ebhq68sw6wfxu_8m" Type="http://schemas.openxmlformats.org/officeDocument/2006/relationships/hyperlink" Target="https://www.comunidad.madrid/tacp/sites/default/files/resolucion_383-2024_expediente_383-2024.pdf" TargetMode="External"/><Relationship Id="rIdrpycsotqqqj6jrunvbixj"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2026-09-01T15:13:57.088Z</dcterms:created>
  <dcterms:modified xsi:type="dcterms:W3CDTF">2026-09-01T15:13:57.089Z</dcterms:modified>
</cp:coreProperties>
</file>

<file path=docProps/custom.xml><?xml version="1.0" encoding="utf-8"?>
<Properties xmlns="http://schemas.openxmlformats.org/officeDocument/2006/custom-properties" xmlns:vt="http://schemas.openxmlformats.org/officeDocument/2006/docPropsVTypes"/>
</file>