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GuideTitle"/>
      </w:pPr>
      <w:r>
        <w:rPr>
          <w:rFonts w:ascii="Georgia" w:cs="Georgia" w:eastAsia="Georgia" w:hAnsi="Georgia"/>
          <w:b/>
          <w:bCs/>
          <w:color w:val="1F3864"/>
        </w:rPr>
        <w:t xml:space="preserve">AI Clauses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Guía municipal de decisión y aplicación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Cómo elegir, motivar, copiar y verificar cláusulas de inteligencia artificial y deep tech en contratación pública — y, de paso, cómo tramitar el expediente que las sostiene</w:t>
      </w:r>
    </w:p>
    <w:p>
      <w:pPr>
        <w:pStyle w:val="GuideQuote"/>
        <w:pBdr>
          <w:left w:val="single" w:color="2F5597" w:sz="16" w:space="8"/>
        </w:pBdr>
      </w:pPr>
      <w:r>
        <w:rPr>
          <w:rFonts w:ascii="Calibri" w:cs="Calibri" w:eastAsia="Calibri" w:hAnsi="Calibri"/>
          <w:b/>
          <w:bCs/>
          <w:i/>
          <w:iCs/>
          <w:color w:val="323A46"/>
          <w:sz w:val="20"/>
          <w:szCs w:val="20"/>
        </w:rPr>
        <w:t xml:space="preserve">Dos puertas de entrada.</w:t>
      </w:r>
      <w:r>
        <w:rPr>
          <w:rFonts w:ascii="Calibri" w:cs="Calibri" w:eastAsia="Calibri" w:hAnsi="Calibri"/>
          <w:i/>
          <w:iCs/>
          <w:color w:val="323A46"/>
          <w:sz w:val="20"/>
          <w:szCs w:val="20"/>
        </w:rPr>
        <w:t xml:space="preserve"> Esto nació como catálogo de cláusulas de IA, pero para redactarlas hubo que escribir entero el circuito del expediente: los veintiún documentos, quién firma cada uno y en qué orden. Ese circuito no tiene nada de específico de la IA y sirve para cualquier otra cláusula conforme a la Ley 9/2017. Quien venga a por cláusulas de IA lea esta guía de principio a fin; quien venga a tramitar bien un expediente vaya a la Parte V del clausulado y al ejemplo completo de la Parte VI.</w:t>
      </w:r>
    </w:p>
    <w:p>
      <w:pPr>
        <w:pStyle w:val="GuideCoverText"/>
      </w:pPr>
      <w:r>
        <w:rPr>
          <w:rFonts w:ascii="Calibri" w:cs="Calibri" w:eastAsia="Calibri" w:hAnsi="Calibri"/>
          <w:color w:val="22201D"/>
          <w:sz w:val="21"/>
          <w:szCs w:val="21"/>
        </w:rPr>
        <w:t xml:space="preserve">Versión 3.0 · Fecha de corte normativa y doctrinal: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1 de septiembre de 2026</w:t>
      </w:r>
    </w:p>
    <w:p>
      <w:pPr>
        <w:pStyle w:val="GuideH2"/>
      </w:pPr>
      <w:r>
        <w:rPr>
          <w:rFonts w:ascii="Calibri" w:cs="Calibri" w:eastAsia="Calibri" w:hAnsi="Calibri"/>
          <w:b/>
          <w:bCs/>
          <w:color w:val="1F3864"/>
        </w:rPr>
        <w:t xml:space="preserve">Autoría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Dr. José Antonio Ondiviela García · Miguel Ángel Domínguez Castellano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, firmantes ·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Delfina Lafuente Veira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, Concejal de Administración Digital, Calidad e Innovación del Ayuntamiento de Pozuelo de Alarcón,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co-impulsora del proyecto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, a título personal.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Reconocimiento a los servicios técnicos municipales: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suyos son el contraste con la práctica real de la contratación y la lectura crítica de los borradores, y han cambiado el documento. Se reconoce de forma colectiva y deliberada.</w:t>
      </w:r>
    </w:p>
    <w:p>
      <w:pPr>
        <w:pStyle w:val="GuideH2"/>
      </w:pPr>
      <w:r>
        <w:rPr>
          <w:rFonts w:ascii="Calibri" w:cs="Calibri" w:eastAsia="Calibri" w:hAnsi="Calibri"/>
          <w:b/>
          <w:bCs/>
          <w:color w:val="1F3864"/>
        </w:rPr>
        <w:t xml:space="preserve">Estado del documento</w:t>
      </w:r>
    </w:p>
    <w:p>
      <w:pPr>
        <w:pStyle w:val="GuideCoverText"/>
      </w:pPr>
      <w:r>
        <w:rPr>
          <w:rFonts w:ascii="Calibri" w:cs="Calibri" w:eastAsia="Calibri" w:hAnsi="Calibri"/>
          <w:color w:val="22201D"/>
          <w:sz w:val="21"/>
          <w:szCs w:val="21"/>
        </w:rPr>
        <w:t xml:space="preserve">Este catálogo nace de un problema real de gestión municipal, pero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no es un documento oficial de ninguna administración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, no ha sido aprobado por ningún órgano municipal, autonómico ni estatal y no expresa la posición de ninguna Corporación; ningún órgano de contratación, intervención o asesoría jurídica se ha pronunciado sobre él. Es una propuesta técnica publicada para el debate y la reutilización.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Y no es sólo municipal: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está parametrizado para cualquier administración —los órganos, umbrales, categorías de seguridad y plazos son parámetros con valor recomendado, no valores fijos—, de modo que sirve igual a un ayuntamiento, a una diputación, a una comunidad autónoma o a un organismo estatal, cambiando quién firma cada cosa. Se publica con licencia CC BY 4.0 para que se copie, se adapte y se mejore. El caso trabajado de la Parte VI es un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expediente simulado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: no corresponde a ninguna licitación real, en curso ni en preparación, y sus cifras están construidas para el ejemplo.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Qué se puede hacer desde hoy, y qué no.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La mayoría de las cláusulas —y las de más valor económico: reversibilidad, propiedad intelectual, acceso al dato, ENS bien redactado— se anclan por vía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normativa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o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funcional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y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no necesitan ningún acuerdo previo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: basta motivarlas en la memoria del expediente con datos propios. Sólo las de origen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institucional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, que ninguna norma impone y ningún gestor pide, necesitan el acuerdo del órgano de gobierno, que no es un permiso sino la prueba documental de su necesidad. De las seis cláusulas del piloto mínimo,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cinco no dependen de ese acuerdo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.</w:t>
      </w:r>
    </w:p>
    <w:p>
      <w:pPr>
        <w:pStyle w:val="GuideCoverText"/>
      </w:pPr>
      <w:r>
        <w:rPr>
          <w:rFonts w:ascii="Calibri" w:cs="Calibri" w:eastAsia="Calibri" w:hAnsi="Calibri"/>
          <w:color w:val="22201D"/>
          <w:sz w:val="21"/>
          <w:szCs w:val="21"/>
        </w:rPr>
        <w:t xml:space="preserve">Lo que sí está pendiente a la fecha de corte —acuerdo del órgano de gobierno, consulta preliminar del mercado documentada y declaraciones de conflicto de interés firmadas— limita el uso de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este documento como modelo aprobado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, no la potestad de nadie para escribir buenas cláusulas en su pliego. Y las declaraciones de conflicto de interés se firman para que nadie pueda pedir ni obtener ventaja en un pliego: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no impiden a ningún colaborador presentarse a una licitación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.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¿Y si el órgano de gobierno no aprueba nada?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Se puede hacer casi todo igual. Lo de origen normativo y funcional entra hoy, motivado con datos propios en la memoria del expediente. Lo que necesita anclaje institucional —el catálogo anual de exigencias del Anexo V— no exige un acuerdo </w:t>
      </w:r>
      <w:r>
        <w:rPr>
          <w:rFonts w:ascii="Calibri" w:cs="Calibri" w:eastAsia="Calibri" w:hAnsi="Calibri"/>
          <w:i/>
          <w:iCs/>
          <w:color w:val="22201D"/>
          <w:sz w:val="21"/>
          <w:szCs w:val="21"/>
        </w:rPr>
        <w:t xml:space="preserve">nuevo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: sirve cualquier plan, estrategia u ordenanza ya aprobada que fije esa política. Si no existe ninguna, caben la reanclaje por vía funcional con datos del servicio, la aprobación del Anexo V por resolución del órgano competente, o posponer esa única cláusula y aplicar el resto. Lo que no cabe es rellenar la ficha con una frase genérica: eso es justificación estereotipada. El desarrollo está en la Parte IV, §M1.2 bis.</w:t>
      </w:r>
    </w:p>
    <w:p>
      <w:pPr>
        <w:pStyle w:val="GuideH2"/>
      </w:pPr>
      <w:r>
        <w:rPr>
          <w:rFonts w:ascii="Calibri" w:cs="Calibri" w:eastAsia="Calibri" w:hAnsi="Calibri"/>
          <w:b/>
          <w:bCs/>
          <w:color w:val="1F3864"/>
        </w:rPr>
        <w:t xml:space="preserve">Ruta rápida por perfil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Concejalía y órgano de contratación: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páginas 2 a 8, 17 a 20.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Quien redacta pliegos, asesoría jurídica o secretaría: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páginas 3 a 13 y 16 a 20.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Control interno: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páginas 3, 5 a 8, 12, 17 a 20.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Servicios técnicos y TI: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páginas 5, 8 a 16, 18 y 19.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Fuentes completas: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autoría y condiciones de uso; Parte 0, apertura y §§0.1–0.3; Parte IV, §M11; README, «Estado de este documento».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El problema: el contrato dura más que la tecnología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Un ayuntamiento contrata un sistema de contabilidad, padrón, tributos, patrimonio o atención ciudadana por varios años. El día de la firma puede estar actualizado. Durante la ejecución aparecen capacidades que no existían o no podían describirse al redactar el pliego. Si el contrato no las prevé de forma exigible, quedan tres salidas: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Pagar dos veces: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contratar aparte la modernización de lo ya adquirido.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Aguantar: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prestar el servicio con una herramienta que envejece durante el contrato.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Quedar cautivo: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no cambiar de proveedor porque migrar datos, configuraciones y desarrollos resulta demasiado costoso.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Pedir simplemente que la solución «se mantenga actualizada» no resuelve nada. La empresa no puede poner precio a una obligación cuyo contenido futuro desconoce; el Ayuntamiento no puede comprobarla con un criterio objetivo; y una obligación indeterminada no se vuelve válida por añadirle una penalidad.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La respuesta del catálogo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En vez de comprar una evolución futura indefinida, el pliego compra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capacidades concretas, fechadas, presupuestables y verificables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 Cada capacidad tiene plazo, criterio de aceptación, medio de acreditación, actor municipal que la comprueba y consecuencia tasada si se incumple. El Anexo V se revisa para las licitaciones siguientes, pero la versión incorporada a un contrato permanece invariable durante toda su vigencia.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segunda mitad de la solución no habla de IA, sino de competencia: titularidad de los datos y desarrollos específicos, interoperabilidad, inventario de componentes, reversibilidad, acceso de los órganos de control y salida ordenada. El objetivo es que la licitación siguiente no esté decidida de hecho por la dependencia del proveedor anterior.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decisión municipal no es «adoptar todas las cláusulas». Es construir un circuito que permita incorporar sólo las necesarias y dejar fuera las demás.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resumen en dos páginas; Parte 0, §0.2; Parte IV, §§M1.1 y M3; Parte I, §7.4.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Qué es, qué no es y qué puede prometer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Es un catálogo de aplicación motivada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Cada cláusula entrega siete piezas en el mismo orden: texto para el pliego; ubicación; necesidad y fundamento; acreditación; verificación; consecuencia; y supuestos en los que no se aplica. El expediente toma únicamente las piezas que su necesidad concreta justifica.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No es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Una norma: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no obliga por figurar en este documento.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Un pliego ni un pliego-tipo: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decisión y la adaptación pertenecen a cada expediente.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Una instrucción transversal: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ninguna cláusula entra «por si acaso» o porque la llevara el contrato anterior.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La memoria justificativa del contrato: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motivación debe escribirse en el expediente antes de publicar; no puede completarse cuando llega un recurso.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Un contrato de resultados tecnológicos: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no garantiza la evolución del mercado ni promete incorporar cualquier novedad futura.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Qué sí está diseñado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Cada exigencia debe tener un origen de necesidad identificado; un único instrumento contractual; prueba y verificación con actor y periodicidad; consecuencia tasada; y dependencias conocidas. Si una pieza cae, las demás se conservan salvo que aquélla sea presupuesto necesario de otra.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Qué no se promete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No se promete que ningún tribunal pueda anular un pliego. A la fecha de corte no consta doctrina específica sobre varias de estas figuras. El primer recurso sobre ellas creará precedente. La defensa reside en la motivación y en el expediente, no en una garantía editorial.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catálogo puede publicarse para el debate, pero no debe aplicarse mientras sigan pendientes el acuerdo institucional, la consulta preliminar del mercado y las declaraciones de conflicto de interés. Publicar no es aplicar.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0, §§0.1 y 0.3; Parte I, §§1.2–1.4 y 7.8; Parte IV, §§M8 y M11; Anexo VI.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Primera decisión: ¿este contrato admite el catálogo?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Use este recorrido antes de abrir una ficha.</w:t>
      </w:r>
    </w:p>
    <w:p>
      <w:pPr>
        <w:pStyle w:val="GuideList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¿Hay sistema de información municipal o tratamiento de información municipal?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Si no lo hay, el catálogo no se aplica. En obras y concesiones sólo alcanza al componente de sistemas de información.</w:t>
      </w:r>
    </w:p>
    <w:p>
      <w:pPr>
        <w:pStyle w:val="GuideList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¿Hay pliegos propios?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Si el Ayuntamiento licita con pliegos propios —el caso ordinario—,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el catálogo entra entero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 En un contrato menor no hay documento contractual donde incorporar condiciones especiales, penalidades u obligaciones esenciales, pero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sí es exigible la lista cerrada de exigencias normativas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de la Parte V, §V.7.1: lo que la ley ya impone se pide igual.</w:t>
      </w:r>
    </w:p>
    <w:p>
      <w:pPr>
        <w:pStyle w:val="GuideList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¿Es un contrato basado en acuerdo marco o una adhesión a una central?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También caben aquí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dentro del margen que el instrumento de origen deje: elegir entre las opciones que el catálogo del acuerdo marco ya ofrezca; usar los extremos que expresamente reserve a la fase de contrato basado —incluida la nueva licitación entre adjudicatarios, cuando esté prevista—; y trasladar por escrito la necesidad al órgano titular del acuerdo marco para la siguiente licitación. Lo único vedado es añadir obligaciones que el instrumento de origen no permita.</w:t>
      </w:r>
    </w:p>
    <w:p>
      <w:pPr>
        <w:pStyle w:val="GuideList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¿Es una prórroga?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prórroga continúa el contrato en las mismas condiciones. No introduce un Anexo V posterior ni obligaciones nuevas. Sí debe comprobarse lo ya exigible y preparar con tiempo la contratación sucesora.</w:t>
      </w:r>
    </w:p>
    <w:p>
      <w:pPr>
        <w:pStyle w:val="GuideList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¿Es un procedimiento con pliego propio y componente tecnológico?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Puede iniciarse la selección motivada, sin que el tipo o la cuantía activen por sí solos ninguna cláusula.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Regla común cuando la respuesta es «ahora no»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necesidad se documenta aunque el instrumento no permita atenderla. Un informe breve que identifique la necesidad, explique la limitación y la traslade a la contratación siguiente permite justificar la decisión presente y preparar la futura.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Lo prohibido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No se fracciona un objeto para llevarlo a contrato menor; no se añaden obligaciones nuevas a una prórroga; y no se convierte una aceptación informal del proveedor en obligación contractual. Lo que no está en el instrumento aplicable no es exigible ni penalizable.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I, §§2.1–2.4; Parte 0, §0.6; Parte V, §V.7; Anexo XXIV.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De la necesidad a una cláusula defendible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necesidad no nace de marcar una casilla. Primero se identifica y documenta; después la Ficha de Aplicabilidad la traduce en cláusulas.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Tres orígenes, sin una cuarta vía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Origen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Cuándo existe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Quién lo acredita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N · Normativo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Una norma impone un deber municipal que requiere colaboración del contratista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Servicio competente por la materia, con cita del precepto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F · Funcional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El servicio gestor necesita la capacidad para prestar su servicio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Gestor del contrato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I · Institucional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No la impone una norma ni la pide el gestor; deriva de una política municipal aprobada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Acuerdo del órgano de gobierno e informe del servicio promotor</w:t>
            </w:r>
          </w:p>
        </w:tc>
      </w:tr>
    </w:tbl>
    <w:p>
      <w:pPr>
        <w:pStyle w:val="GuideTight"/>
      </w:pP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necesidad institucional no se sostiene con una frase genérica sobre transformación digital. Requiere un acto aprobado, publicado, fechado y aplicable al contrato. Sin él, la exigencia se marca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NO APLICA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El test del expediente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Para cada exigencia, la memoria debe mostrar una relación con el objeto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directa, clara y proporcional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 La Ficha del Anexo II recoge seis extremos: necesidad; norma o acuerdo de origen; proporcionalidad; puesto que verifica; momento o periodicidad; y documento que deja evidencia. Una casilla vacía invalida la selección.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firma cambia según el origen. Una persona no puede declarar por sí sola necesidades normativas, funcionales e institucionales. Tampoco basta remitir a este catálogo: el catálogo explica; la memoria del contrato motiva.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Orden de trabajo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Informe de necesidad → origen y firma → Ficha de Aplicabilidad → memoria justificativa → pliegos.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Invertirlo produce una motivación construida hacia atrás y reconocible como texto estereotipado.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I, §§3.1–3.8; Parte V, §§V.2.2 y V.4.1–V.4.4; Anexos II, III y VIII.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Lo que debe existir antes de abrir expedientes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catálogo separa la gobernanza anual del trabajo de cada contrato. La primera evita que todos los expedientes repitan el mismo análisis y que una ambición tecnológica sin respaldo se disfrace de necesidad.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Ciclo anual</w:t>
      </w:r>
    </w:p>
    <w:p>
      <w:pPr>
        <w:pStyle w:val="GuideList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Aprobar el plan y el catálogo.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El órgano de gobierno identifica objetivos, responsables y periodo de vigencia. El Anexo VIII ofrece el modelo de acuerdo.</w:t>
      </w:r>
    </w:p>
    <w:p>
      <w:pPr>
        <w:pStyle w:val="GuideList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Contrastar el mercado.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consulta preliminar se anuncia y documenta conforme al artículo 115 LCSP. No legitima especificaciones dirigidas y sus conclusiones no pueden dar ventaja a quienes participaron.</w:t>
      </w:r>
    </w:p>
    <w:p>
      <w:pPr>
        <w:pStyle w:val="GuideList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Aprobar el Anexo V del ejercicio.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Sólo entran capacidades concretas que el contraste permita formular con plazo y criterio de aceptación. El valor recomendado es que puedan cumplirlas al menos tres operadores; si hay menos, se aplazan.</w:t>
      </w:r>
    </w:p>
    <w:p>
      <w:pPr>
        <w:pStyle w:val="GuideList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Declarar conflictos y participación previa.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Cada interviniente firma su declaración antes de aprobar. Las medidas para evitar distorsiones se documentan y publican cuando proceda.</w:t>
      </w:r>
    </w:p>
    <w:p>
      <w:pPr>
        <w:pStyle w:val="GuideList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Revisar vigencia y parámetros.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Se actualizan calendario normativo, umbrales, equivalencias, valores recomendados y registro de versiones.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Tres condiciones pendientes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 1 de septiembre de 2026 siguen pendientes: el acuerdo del órgano de gobierno; la consulta preliminar y el contraste documentado del Anexo V; y las declaraciones de conflicto de interés firmadas. Mientras falten, el catálogo puede difundirse y debatirse, pero sus cláusulas no deben incorporarse a un expediente.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revisión anual no cambia contratos vivos. Cada PPT transcribe físicamente la versión del Anexo V que le corresponde; esa versión queda cerrada durante el contrato y sus prórrogas.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0, §0.4, paso previo; Parte IV, §§M3, M7 y M11; Parte V, §V.8; Anexos VIII, IX, XI, XV y XXII.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El circuito: 20 pasos y 21 documentos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expediente tiene tres tramos. Los pasos de un tramo pueden solaparse; los tramos no.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Tramo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Pasos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Resultado principal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 · Qué se necesita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A‑1 a A‑6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Necesidad, consulta de reutilización, ficha, categorización ENS, consulta de mercado y, si procede, conformidad del servicio verificador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B · Cómo se contrata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B‑1 a B‑8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Valor estimado, procedimiento, lotes, medios, criterios, conflictos, PPT, PCAP y memoria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C · Validación y publicación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C‑1 a C‑6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Informe jurídico, crédito, fiscalización, aprobación, anuncio y carpeta de defensa</w:t>
            </w:r>
          </w:p>
        </w:tc>
      </w:tr>
    </w:tbl>
    <w:p>
      <w:pPr>
        <w:pStyle w:val="GuideTight"/>
      </w:pP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Son veinte pasos y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veintiún documentos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porque B‑7 produce dos pliegos. Dieciocho documentos los exige la normativa con independencia del catálogo. Éste añade tres: Ficha de Aplicabilidad, conformidad del servicio verificador cuando se supera el umbral de carga y carpeta de defensa.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Reglas que mantienen unido el expediente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Primero se redacta la necesidad y después se seleccionan cláusulas.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PPT lo prepara el área gestora y el PCAP contratación; se designa una persona responsable de su coherencia.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Toda cláusula marcada SÍ aparece una vez y en el pliego correcto.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Toda cláusula marcada NO APLICA desaparece también de penalidades, esenciales, criterios, declaraciones y anexos relacionados.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carpeta de defensa se cierra antes de publicar. Si llega un recurso especial, el expediente y el informe del artículo 56.2 LCSP deben remitirse en dos días hábiles.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Los documentos que nacen públicos se redactan pensando en el párrafo que citará quien recurra.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V, §§V.1–V.3, especialmente V.2.1; Parte 0, §§0.4 y 0.5; Anexo VI.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Cómo seleccionar las cláusulas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cuadro de intensidad ofrece un punto de partida; nunca sustituye a la Ficha de Aplicabilidad.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Tres niveles orientativos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 · Mínimo: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obligaciones impuestas por norma y las que respondan al objeto. El contrato menor queda fuera del cuadro porque no tiene pliegos.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B · Estándar: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contratos con sistema de información municipal, con equivalencia, interoperabilidad, seguridad, reversibilidad, seguimiento, penalidades, propiedad y acceso de control según proceda.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 · Reforzado: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contratos armonizados, sistemas ENS MEDIA o ALTA o servicios especialmente críticos. Añade instrumentos de evolución, baremo reforzado e interfaz, siempre bajo sus condiciones propias.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DT‑2 y DT‑3 son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NO APLICA por defecto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 ADM‑9, ADM‑11 y ADM‑14 sólo entran si cumplen sus umbrales y presupuestos específicos. Subir de nivel se motiva; bajar no requiere justificar por qué se renuncia a una carga que el catálogo no impone.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Secuencia de selección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Identificar las necesidades ya escritas.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Asignar a cada una un único instrumento mediante el Anexo I.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Aplicar el nivel como orientación y comprobar las condiciones particulares.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Rellenar las seis casillas del Anexo II y estimar la carga por puesto.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Confirmar que el Ayuntamiento puede verificar lo elegido. A partir de 20 horas anuales se revisa o agrupa la carga; por encima de 40 se exige conformidad expresa del servicio verificador.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Ejecutar el Anexo VI para retirar todas las menciones dependientes de lo descartado.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Resultado correcto no significa «más cláusulas». Cuatro obligaciones comprobadas valen más que doce declaradas y toleradas. Si no hay actor, periodicidad o documento, la cláusula no entra.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I, §§1.3, 2.2 y 7.9; Parte V, §V.4.4; Anexos I, II y VI.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Mapa de cláusulas técnicas: PPT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PPT dice qué debe hacer la solución; el texto que obliga está en la Parte II.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Código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Función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Entrada y cautela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DT‑0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Equivalencia y acreditación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Siempre que se cite producto, norma, red, protocolo o metodología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DT‑1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IA, IA generativa y agentes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Sólo si la solución incorpora o incorporará IA; calendario vigente en Anexo XIX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DT‑2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Evidencias e identidad verificable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NO APLICA por defecto</w:t>
            </w: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; necesidad expresa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DT‑3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Criptoagilidad poscuántica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NO APLICA por defecto</w:t>
            </w: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; riesgo y conservación lo justifican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DT‑4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Automatización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Lista cerrada y numerada de procesos; mínimos no puntúan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DT‑5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Interoperabilidad y soberanía del dato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Nivel estándar; servicios comunes obligatorios no admiten equivalente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DT‑6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ENS y protección desde el diseño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Categoría resultante del análisis, nunca elegida de antemano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DT‑7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Interfaz para agentes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Nivel reforzado y necesidad motivada; formulación funcional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DT‑8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Reversibilidad e inventario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Sistema municipal con datos o dependencia de salida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DT‑9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Exigencias del ejercicio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Sólo con Anexo V transcrito, fechado y cerrado para el contrato</w:t>
            </w:r>
          </w:p>
        </w:tc>
      </w:tr>
    </w:tbl>
    <w:p>
      <w:pPr>
        <w:pStyle w:val="GuideTight"/>
      </w:pP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Todas siguen siete epígrafes. Una DT no impone por sí sola penalidades: el hecho debe figurar en ADM‑5. Al descartarla se ejecuta el Anexo VI. DT‑0 permanece si quedan referencias técnicas; excluir DT‑6 en un contrato con sistema de información exige motivación compatible con el artículo 2.3 del RD 311/2022.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0, §0.0, «Índice de las cláusulas»; Parte II, §§II.0–II.14; Anexos I, VI, XIX, XXI y XXV.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Mapa administrativo I: ADM‑1 a ADM‑7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PCAP fija instrumentos, consecuencias y reglas de valoración.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Código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Función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Entrada y cautela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Solvencia, medios y gobernanza de IA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Elegir modalidad según objeto; no puntuar lo exigido como solvencia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ADM‑2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Evolución tecnológica determinada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Sólo con DT‑9 y Anexo V; nunca «lo necesario o conveniente»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ADM‑3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Plazos y bolsa de servicios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Bolsa sólo en desarrollo o mantenimiento de aplicaciones, con precios unitarios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ADM‑4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Responsable, comisión y seguimiento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Actor, periodicidad, acta y carga dimensionada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ADM‑5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Penalidades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Lista cerrada de hechos verificables; borrar filas de cláusulas no aplicadas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ADM‑6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Esenciales y resolución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Lista tasada; bloque legal sólo cuando concurre su presupuesto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ADM‑7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Criterios de adjudicación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Baremo entero, precio incluido; mínimo obligatorio no puntúa</w:t>
            </w:r>
          </w:p>
        </w:tc>
      </w:tr>
    </w:tbl>
    <w:p>
      <w:pPr>
        <w:pStyle w:val="GuideTight"/>
      </w:pP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Tres fronteras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Solvencia no es valoración.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capacidad mínima para licitar no recibe puntos.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Penalidad no es resolución.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ADM‑5 gradúa incumplimientos; ADM‑6 reserva la resolución a obligaciones enumeradas y exige ponderar sus efectos.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Plan no es ampliación.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Ordena hitos ya contratados; no añade prestaciones ajenas al Anexo V.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Toda condición especial de ejecución incorporada debe aparecer una por una en el anuncio de licitación, además de en el PCAP. La omisión no se arregla después y puede afectar a la esencialidad declarada.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III, §§III.1–III.7; Parte I, §§7.3–7.6; Parte IV, §§M5 y M10.1; Anexos I, IV y XVII.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Mapa administrativo II: ADM‑8 a ADM‑14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Código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Función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Entrada y cautela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ADM‑8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Propiedad intelectual y licencia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Separa producto base, terceros y desarrollos municipales; dimensionar el uso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ADM‑9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Demostración funcional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Medio de comprobación, no criterio; recomendada desde 200.000 €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ADM‑10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Plan Anual de Evolución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Sólo si existe DT‑9 y Anexo V; no amplía el objeto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ADM‑11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Depósito de código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NO APLICA</w:t>
            </w: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 salvo cuatro circunstancias acumulativas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ADM‑12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Acceso de órganos de control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Si el adjudicatario opera el sistema o sus datos de ejecución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ADM‑13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IA sobre información municipal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Si el contratista trata información municipal no pública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ADM‑14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Modificación prevista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0 % por defecto</w:t>
            </w: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; red de seguridad, nunca evolución ordinaria</w:t>
            </w:r>
          </w:p>
        </w:tc>
      </w:tr>
    </w:tbl>
    <w:p>
      <w:pPr>
        <w:pStyle w:val="GuideTight"/>
      </w:pP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ADM‑11 exige a la vez: disponibilidad ALTA, valor estimado superior a 300.000 €, servicio de su lista y ausencia acreditada de alternativa sustituible en menos de seis meses. Falta una, se marca NO APLICA.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ADM‑9 separa dos comprobaciones. La sesión, anterior al sobre de fórmulas, sólo confirma o retira D. C1, A y H se comprueban documentalmente para todas las ofertas admitidas antes de clasificarlas. Ninguna prueba añade puntos ni completa la oferta.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ADM‑14 parte de cero. Si entra, se formula con precisión y computa en el valor estimado: límite legal 20 % del precio inicial; recomendación 10 %. No sustituye una nueva licitación.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III, §§III.8–III.14 y cuadro de cierre; Parte IV, §§M5–M6; Anexos X, XIV, XVIII y XX.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Construir el baremo y comprobar las ofertas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baremo tecnológico es un bloque dentro del baremo del contrato. Debe sumar con el precio y con los criterios de la prestación principal hasta 100 puntos.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Cinco controles antes de publicar</w:t>
      </w:r>
    </w:p>
    <w:p>
      <w:pPr>
        <w:pStyle w:val="GuideList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El mínimo no puntúa.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Sólo se valora el exceso sobre el PPT: más cobertura, mejor nivel de servicio, funciones o procesos adicionales, o un plazo inferior al máximo.</w:t>
      </w:r>
    </w:p>
    <w:p>
      <w:pPr>
        <w:pStyle w:val="GuideList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Un contenido, un instrumento.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Nada aparece a la vez como prescripción, solvencia, criterio y condición especial sobre el mismo nivel de exigencia.</w:t>
      </w:r>
    </w:p>
    <w:p>
      <w:pPr>
        <w:pStyle w:val="GuideList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Fórmula y juicio de valor viajan separados.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Se valora primero el juicio de valor y después se abre el sobre de fórmulas.</w:t>
      </w:r>
    </w:p>
    <w:p>
      <w:pPr>
        <w:pStyle w:val="GuideList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El procedimiento admite el reparto.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En el abierto simplificado, el juicio de valor no supera el 25 % con carácter general ni el 45 % en prestaciones intelectuales. Si la prestación es intelectual, los criterios cualitativos alcanzan al menos el 51 %.</w:t>
      </w:r>
    </w:p>
    <w:p>
      <w:pPr>
        <w:pStyle w:val="GuideList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El Anexo IV revisa el baremo entero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no sólo el bloque de IA.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Cuatro criterios que exigen cuidado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C1: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cuenta requisitos valorables del bloque B del Apéndice técnico 0.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Cmín = 0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;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Ctecho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es el número de filas publicadas. Si el bloque está vacío, C1 se elimina.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cuenta funciones adicionales del bloque B del apéndice de interfaz, nunca las mínimas.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H: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cuenta procesos adicionales de la lista cerrada, no los mínimos de DT‑4.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valora lo descrito en la memoria técnica mediante rúbrica. La demostración sólo comprueba su exactitud.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sesión de ADM‑9 no acredita solvencia ni excluye por sí sola. Lo declarado y no demostrado pierde los puntos correspondientes; lo mostrado pero no declarado no suma. C1, A y H conservan siempre su medio documental respecto de todas las ofertas admitidas.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ADM‑7 y ADM‑9; Parte I, §§7.3 y 7.8; Anexos IV, XVII, XX y XXV; Parte VI, §§VI.4.6 y VI.5.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Comprar evolución sin comprar incertidumbre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pieza central es el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Anexo V del ejercicio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: una relación de capacidades concretas, con plazo y criterio de aceptación. Se contrasta con el mercado, se aprueba para un periodo y se recorta al objeto de cada licitación.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Cómo entra en un contrato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Se transcribe físicamente dentro del PPT, con versión, fecha y órgano aprobante. Una remisión a un documento municipal revisable dejaría el objeto abierto.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versión transcrita permanece invariable durante el contrato y sus prórrogas. La revisión anual sólo rige licitaciones posteriores.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ADM‑2 convierte esas capacidades en compromiso de ejecución. Fuera de esa lista no existe evolución exigible al amparo del catálogo.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ADM‑10 ordena el seguimiento mediante un plan anual, pero sólo puede calendarizar obligaciones ya contratadas.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La bolsa de servicios evolutivos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ADM‑3 ofrece una vía flexible para contratos de desarrollo o mantenimiento de aplicaciones. El objeto se descompone en unidades de actividad con precios unitarios ofertados en el Anexo X.3. Valor recomendado: 5 % del presupuesto base de la duración inicial, sin IVA; techo interno: 10 %.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Las horas no consumidas no se pagan. Cada petición la cursa el responsable del contrato con alcance, unidades, plazo, entregable y aceptación; nunca mediante dirección del personal del proveedor. La bolsa forma parte del presupuesto base y computa en el valor estimado.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La última red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ADM‑14 parte de 0 %. Sólo se incorpora cuando existe una necesidad identificada que el catálogo y la bolsa no cubren, hay precios unitarios y el expediente asume su coste y el efecto sobre los umbrales. No sirve para recuperar una obligación que se dejó indeterminada.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DT‑9; ADM‑2, ADM‑3, ADM‑10 y ADM‑14; Parte I, §7.4; Parte IV, §M6.5; Parte V, §V.8.5; Anexos V, X.3, XIV y XV.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Datos, propiedad, salida y acceso de control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dependencia del proveedor se evita antes de contratar. El pliego debe separar qué pertenece al Ayuntamiento, qué licencia recibe y qué conserva el fabricante.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Cuatro capas</w:t>
      </w:r>
    </w:p>
    <w:p>
      <w:pPr>
        <w:pStyle w:val="GuideList"/>
        <w:numPr>
          <w:ilvl w:val="0"/>
          <w:numId w:val="7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Datos y exportación.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DT‑5 exige interoperabilidad, documentación de interfaces y exportación en formato abierto. Los servicios comunes de uso obligatorio no se sustituyen por equivalentes privados.</w:t>
      </w:r>
    </w:p>
    <w:p>
      <w:pPr>
        <w:pStyle w:val="GuideList"/>
        <w:numPr>
          <w:ilvl w:val="0"/>
          <w:numId w:val="7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Producto base.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ADM‑8 no convierte una licencia o suscripción estándar en propiedad municipal. La licencia se dimensiona por módulos, usuarios, instalaciones, territorio, plazo y entorno realmente contratados, incluida la reversión. Una transferencia del producto base requiere pacto expreso con quien pueda concederla.</w:t>
      </w:r>
    </w:p>
    <w:p>
      <w:pPr>
        <w:pStyle w:val="GuideList"/>
        <w:numPr>
          <w:ilvl w:val="0"/>
          <w:numId w:val="7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Desarrollos específicos.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Código, configuraciones, parametrizaciones, lógica de negocio y documentación creados específicamente para el Ayuntamiento se delimitan con modalidades, territorio y plazo. La reutilización pública alcanza sólo a elementos de titularidad municipal.</w:t>
      </w:r>
    </w:p>
    <w:p>
      <w:pPr>
        <w:pStyle w:val="GuideList"/>
        <w:numPr>
          <w:ilvl w:val="0"/>
          <w:numId w:val="7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Terceros.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El adjudicatario no puede ceder derechos que no tiene. Debe mantener para el ámbito municipal las licencias de componentes de terceros necesarias durante la vigencia y la salida.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Reversibilidad comprobada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DT‑8 exige Inventario de Componentes, Plan y Dossier de Reversibilidad, entregas fechadas, exportación y ensayo real. La garantía empieza con el acta de reversión o con el vencimiento del plazo para levantarla, no con una fecha indeterminada.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ADM‑12 garantiza al control interno accesos incluidos en el precio —valor recomendado: tres—, diccionario de datos y exportación abierta. El acceso se mantiene durante prórrogas y, como referencia, tres meses tras la extinción o hasta el acta de reversión, lo que ocurra después.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depósito de código de ADM‑11 sólo entra bajo sus cuatro condiciones acumulativas; no reemplaza la reversibilidad ordinaria.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DT‑5 y DT‑8; ADM‑8, ADM‑11 y ADM‑12; Parte IV, §M5.4; Anexos X y XVIII.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IA, automatización y seguridad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Sistemas de IA y responsabilidad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DT‑1 obliga a inventariar y clasificar los sistemas, respetar prácticas prohibidas, aportar medios para la supervisión humana y aceptar cada funcionalidad antes de producción. El Ayuntamiento sigue siendo responsable del despliegue cuando así lo establece el Reglamento: el proveedor aporta instrucciones, registros, información técnica, suspensión y formación, pero no absorbe obligaciones indelegables.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Las decisiones con efecto jurídico o equivalente no se ejecutan únicamente de forma automatizada salvo habilitación aplicable. Cuando exista actuación administrativa automatizada, se identifican los órganos responsables y se facilita auditoría de los componentes desarrollados específicamente para el Ayuntamiento.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Automatización concreta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DT‑4 trabaja sobre una lista cerrada y numerada de procesos. Los mínimos son prescripciones y no puntúan; sólo los procesos adicionales de esa misma lista pueden alimentar el criterio H. «Avanzado» o «hiperautomatizado» no describen una obligación comprobable.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Seguridad determinada, no elegida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DT‑6 exige la categoría ENS que resulte del análisis conforme al RD 311/2022. BÁSICA se acredita mediante declaración basada en autoevaluación; MEDIA y ALTA, mediante certificación. Escribir «Nivel Alto» antes de analizar y motivar reproduce el defecto tratado en la Resolución 383/2024 del TACP Madrid.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Información municipal y herramientas externas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ADM‑13 distingue tres niveles: información municipal restringida, que sólo entra en sistemas autorizados y constituye obligación esencial; artefactos técnicos sin contenido restringido, sujetos a condiciones acreditables; e información propia del contratista, que queda fuera. El Anexo XVI aporta la política municipal recíproca.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DT‑7 define la interfaz por lo que debe hacer, no por un protocolo o fabricante. Su incorporación exige necesidad motivada y límites de operación, trazabilidad y suspensión.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DT‑1, DT‑4, DT‑6 y DT‑7; ADM‑13; Anexos XI, XVI, XIX y XXI.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Copiar al PPT y al PCAP sin romper el sistema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La frontera física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En el catálogo, sólo el contenido situado entre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:::pliego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y su cierre es texto contractual. Lo exterior explica, justifica o guía y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no debe acabar en un pliego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 Los modelos de documentos del expediente usan otra marca: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INICIO DEL MODELO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y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FIN DEL MODELO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Qué va a cada documento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PPT: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DT‑0 a DT‑9, referencias técnicas no normativas, definiciones aplicables y extracto vigente del Anexo XIX.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PCAP: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ADM‑1 a ADM‑14, baremo, consecuencias y el bloque obligatorio de interpretación e integración del §7.10.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Expediente: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necesidad, fichas, memoria, categorización, cálculo, declaraciones e informes. No se copian como cláusulas.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Cinco operaciones obligatorias</w:t>
      </w:r>
    </w:p>
    <w:p>
      <w:pPr>
        <w:pStyle w:val="GuideList"/>
        <w:numPr>
          <w:ilvl w:val="0"/>
          <w:numId w:val="8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Copiar sólo la cláusula marcada SÍ y sustituir cada corchete. Todo parámetro lleva valor recomendado, pero la decisión es del órgano de contratación.</w:t>
      </w:r>
    </w:p>
    <w:p>
      <w:pPr>
        <w:pStyle w:val="GuideList"/>
        <w:numPr>
          <w:ilvl w:val="0"/>
          <w:numId w:val="8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Mantener el código con versión: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DT‑7·v3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ADM‑2·v3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</w:t>
      </w:r>
    </w:p>
    <w:p>
      <w:pPr>
        <w:pStyle w:val="GuideList"/>
        <w:numPr>
          <w:ilvl w:val="0"/>
          <w:numId w:val="8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Transcribir el Anexo V recortado, no incorporarlo por enlace o remisión variable.</w:t>
      </w:r>
    </w:p>
    <w:p>
      <w:pPr>
        <w:pStyle w:val="GuideList"/>
        <w:numPr>
          <w:ilvl w:val="0"/>
          <w:numId w:val="8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Ejecutar el Anexo VI: al borrar una cláusula se eliminan también penalidades, esenciales, criterios, declaración responsable y anexos que dependan de ella.</w:t>
      </w:r>
    </w:p>
    <w:p>
      <w:pPr>
        <w:pStyle w:val="GuideList"/>
        <w:numPr>
          <w:ilvl w:val="0"/>
          <w:numId w:val="8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Componer los apéndices conforme al Anexo XXV: matriz funcional para C1; lista de procesos; e interfaz y exigencias del ejercicio en la sede prevista.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Antes del informe jurídico, una persona responsable de la coherencia PPT‑PCAP confirma que cada obligación tiene consecuencia correcta, que no queda ninguna penalidad sin obligación y que no se valora un mínimo técnico.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I, §7.10; Parte II, §II.0; Parte III, «Cómo se lee esta parte»; Parte V, §§V.1.1 y V.2.3; Anexos VI, X, XIX y XXV.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Coste, capacidad y puertas de control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catálogo genera coste real: interfaz, entorno de pruebas, reversibilidad, bolsa, posible depósito y horas municipales. Las cifras orientativas sirven para dimensionar, no para fijar el presupuesto de un expediente; éste obtiene precios propios y desglosa el PBL conforme al artículo 100.2 LCSP.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Carga que debe asumirse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preparación se estima en unas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21,5 horas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primera vez y unas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10 horas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en expedientes siguientes del mismo tipo. La consulta de mercado y la revisión del Anexo V son tareas anuales separadas. Durante la ejecución, cada cláusula tiene actor, momento y documento. Si la carga supera 20 horas anuales se revisa la intensidad; por encima de 40 se necesita conformidad expresa del servicio verificador.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La mirada del control interno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Crédito suficiente para todos los conceptos incorporados.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Estabilidad presupuestaria, sostenibilidad y compromisos plurianuales.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Valor estimado con prórrogas, bolsa y modificaciones.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Consulta al directorio general de aplicaciones cuando proceda.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Bolsa con precios unitarios, sin pago de horas no consumidas ni dirección de personal.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Actor y periodicidad para toda obligación esencial.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Acceso de control dimensionado e incluido en el precio.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Motivos para detener la elevación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No se eleva si falta motivación propia; la categoría ENS está elegida sin análisis; una exigencia carece de contraste cuando lo necesita; se duplica como dos instrumentos; no hay verificador; una condición especial falta en el anuncio; quedan menciones de una cláusula descartada; los umbrales están caducados; faltan declaraciones de conflicto; o la carpeta de defensa no está cerrada.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regla no es «justificar más» una carga inasumible. Es reducir el número de cláusulas hasta lo que pueda ejecutarse y comprobarse.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ADM‑4, epígrafe 5; Parte IV, §§M6 y M10; Parte V, §§V.6, V.9 y V.10; Anexo X.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El piloto: cómo elegirlo y por dónde empezar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Parte VI responde a la tercera dificultad del §M1.1: que el grado de abstracción es demasiado alto mientras no se vea el catálogo funcionando sobre un caso. Lo hace en dos piezas: el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método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para elegir el contrato piloto, aplicable por cualquier administración, y un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ejemplo completo trabajado sobre un expediente simulado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—municipio, objeto, cifras y fechas construidos para el ejemplo, que no corresponden a ninguna licitación real, en curso ni en preparación—.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Qué contrato sirve de piloto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Cinco condiciones, y si falla alguna conviene esperar al siguiente: hay un usuario del dato distinto del gestor con obligación legal propia de controlarlo; la prestación produce dato estructurado y verificable; el objeto no es crítico en disponibilidad; existe mercado plural para ese objeto; y está en preparación, no en licitación. Lo desaconsejan los contratos menores, los basados en acuerdo marco, las adhesiones a central de compra y las prórrogas.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El subconjunto mínimo: seis cláusulas, no veinticuatro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Un primer expediente no incorpora el catálogo entero. Incorpora seis cláusulas que se sostienen solas y producen resultado verificable en el primer año: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ADM‑12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(acceso de los órganos de control al dato: empezar dando, no pidiendo),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DT‑0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(equivalencia y prueba: quita barreras, no las pone),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DT‑6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(ENS en la categoría que corresponda: obligación ya existente, bien redactada),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ADM‑8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(propiedad intelectual y licencia mínima: lo que no se pone no se recupera),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ADM‑2 con su Anexo 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(el núcleo, y sólo si el Anexo V está aprobado y publicado antes) y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ADM‑5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en lo que corresponda a las anteriores. Todo lo demás espera al informe de evaluación.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Decisiones previas del ejemplo trabajado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Determinar si el borrador está sin aprobar, aprobado pero no anunciado, o ya publicado. Cada situación tiene un cauce distinto de rectificación.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Calificar la prestación principal. El catálogo recomienda, para el perfil descrito, servicios con licencias o suscripción accesorias, pero la decisión debe motivarse con los datos reales.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Identificar once necesidades y su origen normativo, funcional o institucional.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Determinar la categoría ENS. La propuesta del caso es MEDIA, elevable sólo si el análisis firmado sitúa integridad o trazabilidad en ALTA.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Transcribir el Anexo V recortado a los módulos alcanzados y a funciones concretas de interfaz.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Resultado de la ficha trabajada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De 24 cláusulas,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17 se aplican sin condición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3 quedan condicionadas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al acuerdo del órgano de gobierno —DT‑7, DT‑9 y, con ellas, ADM‑2— y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4 se marcan NO APLICA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: DT‑2, DT‑3, ADM‑11 y ADM‑14.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interfaz para agentes no se presenta como necesidad normativa ni pedida por el gestor. Es institucional y cae si no existe el acuerdo previo. ADM‑11 queda fuera porque la disponibilidad propuesta es MEDIA y sus cuatro condiciones son acumulativas. ADM‑14 queda fuera porque el Anexo V y la bolsa ya cubren la evolución prevista.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ejemplo enseña el orden de decisiones; sus conclusiones concretas no son una plantilla para otro contrato, y sus cifras no son un dato.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VI, §§VI.1–VI.4.5; Anexos II, V y XXV.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Piloto: baremo, prueba y aprendizaje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Baremo de 100 puntos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Bloque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Criterios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Puntos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Precio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 y precio unitario F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45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Calidad por fórmula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C1, C3, A, B y H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31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Juicio de valor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C2, C4, D y E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24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Total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/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100</w:t>
            </w:r>
          </w:p>
        </w:tc>
      </w:tr>
    </w:tbl>
    <w:p>
      <w:pPr>
        <w:pStyle w:val="GuideTight"/>
      </w:pP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variante abierta tiene 76 % automático y 24 % sujeto a juicio de valor. Los criterios de calidad suman 55 puntos. Nada puntúa por estar disponible el día de la oferta: C1 y A valoran compromisos dentro del plazo; B tiene suelo recomendado de seis meses.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sesión funcional verifica sólo D, antes de abrir fórmulas. C1, A y H se comprueban documentalmente para todas las ofertas admitidas antes de clasificarlas. La sesión no añade puntos, no completa la oferta y no excluye por sí sola.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Carga y realidad operativa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En el caso trabajado, la licitación requiere entre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33 y 53 horas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municipales. La ejecución exige entre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177,5 y 217,5 horas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el primer año y entre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117,5 y 141,5 horas/año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después. Al superar 40 horas, la conformidad expresa del servicio verificador es obligatoria.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Rectificar y aprender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tabla VI.6 sirve a cualquier administración con pliegos ya redactados con la versión 2: identifica defectos P1 que se corrigen conjuntamente antes de aprobar, o por el cauce de rectificación que corresponda. No son una fe de erratas.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piloto se evalúa con dos informes: a los seis meses de publicar, concurrencia, consultas, recursos, exclusiones y tiempo de tramitación; a los doce meses de formalizar, cumplimiento, pruebas, incidencias, horas reales y uso del acceso de control. El resultado ajusta catálogo, Anexo V y parámetros.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VI, §§VI.4.6–VI.4.10 y VI.5–VI.8; Anexos IV, XVII, XVIII y XX.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Los 25 anexos: caja de herramientas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Para decidir y motivar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Cuadro Maestro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Ficha de Aplicabilidad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Informe de necesidad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Ficha por criterio y comprobación del baremo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VIII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Acuerdo del órgano de gobierno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IX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Conflicto de interés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Consulta preliminar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XXIII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Prestaciones intelectuales.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Para redactar la licitación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Exigencias del ejercicio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VII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Declaración del licitador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XIV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Plan Anual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XVII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Fórmulas y ofertas anormales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XIX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Vigencia transcribible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Demostración funcional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Apéndices técnicos.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Para verificar y gobernar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VI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Dependencias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Parámetros, umbrales y precios unitarios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Vigencia normativa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Aprobación anual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XVIII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Actas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Certificaciones y equivalencias.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Para entender, adaptar y migrar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Correspondencia v2→v3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XIII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Glosario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XVI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Política municipal de IA generativa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XXIV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Contratos formalizados con v2.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Siguiente acción para un expediente</w:t>
      </w:r>
    </w:p>
    <w:p>
      <w:pPr>
        <w:pStyle w:val="GuideList"/>
        <w:numPr>
          <w:ilvl w:val="0"/>
          <w:numId w:val="9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Escriba el informe de necesidad sin abrir aún el catálogo de cláusulas.</w:t>
      </w:r>
    </w:p>
    <w:p>
      <w:pPr>
        <w:pStyle w:val="GuideList"/>
        <w:numPr>
          <w:ilvl w:val="0"/>
          <w:numId w:val="9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Rellene el Anexo II y marque NO APLICA donde no haya origen, proporcionalidad o verificación.</w:t>
      </w:r>
    </w:p>
    <w:p>
      <w:pPr>
        <w:pStyle w:val="GuideList"/>
        <w:numPr>
          <w:ilvl w:val="0"/>
          <w:numId w:val="9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Redacte PPT y PCAP copiando sólo los bloques de pliego y ejecute dependencias.</w:t>
      </w:r>
    </w:p>
    <w:p>
      <w:pPr>
        <w:pStyle w:val="GuideList"/>
        <w:numPr>
          <w:ilvl w:val="0"/>
          <w:numId w:val="9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Complete coste, baremo, declaraciones y carpeta de defensa.</w:t>
      </w:r>
    </w:p>
    <w:p>
      <w:pPr>
        <w:pStyle w:val="GuideList"/>
        <w:numPr>
          <w:ilvl w:val="0"/>
          <w:numId w:val="9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Pase íntegramente la lista V.10 antes del informe jurídico y la fiscalización.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documento completo es la fuente jurídica y técnica. Esta guía explica cómo navegarlo; no sustituye sus cláusulas, sus anexos ni los informes preceptivos. Se publica bajo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CC BY 4.0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con cita de autoría y sin garantía. Antes de reutilizarlo, compruebe versión, fecha de corte, umbrales y estado de las tres condiciones de aplicación.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0, §0.0; Parte V, §§V.8–V.10; Parte VII, Anexos I–XXV; autoría y condiciones de uso.</w:t>
      </w:r>
    </w:p>
    <w:sectPr>
      <w:headerReference w:type="default" r:id="rId7"/>
      <w:footerReference w:type="default" r:id="rId8"/>
      <w:pgSz w:w="11906" w:h="16838" w:orient="portrait"/>
      <w:pgMar w:top="900" w:right="900" w:bottom="900" w:left="900" w:header="4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D6573"/>
        <w:sz w:val="15"/>
        <w:szCs w:val="15"/>
      </w:rPr>
      <w:t xml:space="preserve">Página </w:t>
    </w:r>
    <w:r>
      <w:rPr>
        <w:rFonts w:ascii="Calibri" w:cs="Calibri" w:eastAsia="Calibri" w:hAnsi="Calibri"/>
        <w:color w:val="5D6573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D6573"/>
        <w:sz w:val="15"/>
        <w:szCs w:val="15"/>
      </w:rPr>
      <w:t xml:space="preserve"> de 20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EE8" w:sz="4" w:space="3"/>
      </w:pBdr>
      <w:spacing w:after="80"/>
      <w:jc w:val="right"/>
    </w:pPr>
    <w:r>
      <w:rPr>
        <w:rFonts w:ascii="Calibri" w:cs="Calibri" w:eastAsia="Calibri" w:hAnsi="Calibri"/>
        <w:color w:val="5D6573"/>
        <w:sz w:val="15"/>
        <w:szCs w:val="15"/>
      </w:rPr>
      <w:t xml:space="preserve">AI Clauses · Guía municipal de decisión y aplicación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50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6"/>
    <w:lvlOverride w:ilvl="0">
      <w:startOverride w:val="1"/>
    </w:lvlOverride>
  </w:num>
  <w:num w:numId="4">
    <w:abstractNumId w:val="8"/>
    <w:lvlOverride w:ilvl="0">
      <w:startOverride w:val="1"/>
    </w:lvlOverride>
  </w:num>
  <w:num w:numId="5">
    <w:abstractNumId w:val="10"/>
    <w:lvlOverride w:ilvl="0">
      <w:startOverride w:val="1"/>
    </w:lvlOverride>
  </w:num>
  <w:num w:numId="6">
    <w:abstractNumId w:val="14"/>
    <w:lvlOverride w:ilvl="0">
      <w:startOverride w:val="1"/>
    </w:lvlOverride>
  </w:num>
  <w:num w:numId="7">
    <w:abstractNumId w:val="16"/>
    <w:lvlOverride w:ilvl="0">
      <w:startOverride w:val="1"/>
    </w:lvlOverride>
  </w:num>
  <w:num w:numId="8">
    <w:abstractNumId w:val="18"/>
    <w:lvlOverride w:ilvl="0">
      <w:startOverride w:val="1"/>
    </w:lvlOverride>
  </w:num>
  <w:num w:numId="9">
    <w:abstractNumId w:val="2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01D"/>
        <w:sz w:val="20"/>
        <w:szCs w:val="20"/>
      </w:rPr>
    </w:rPrDefault>
    <w:pPrDefault>
      <w:pPr>
        <w:spacing w:after="80" w:line="259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GuideTitle">
    <w:name w:val="Guide Title"/>
    <w:basedOn w:val="Normal"/>
    <w:next w:val="GuideCoverText"/>
    <w:pPr>
      <w:keepNext/>
      <w:spacing w:after="260" w:before="500" w:line="250"/>
      <w:jc w:val="left"/>
    </w:pPr>
    <w:rPr>
      <w:rFonts w:ascii="Georgia" w:cs="Georgia" w:eastAsia="Georgia" w:hAnsi="Georgia"/>
      <w:b/>
      <w:bCs/>
      <w:color w:val="1F3864"/>
      <w:sz w:val="52"/>
      <w:szCs w:val="52"/>
    </w:rPr>
  </w:style>
  <w:style w:type="paragraph" w:styleId="GuideH1">
    <w:name w:val="Guide Heading 1"/>
    <w:basedOn w:val="Normal"/>
    <w:next w:val="GuideBody"/>
    <w:pPr>
      <w:keepNext/>
      <w:spacing w:after="150" w:before="80" w:line="240"/>
      <w:outlineLvl w:val="0"/>
    </w:pPr>
    <w:rPr>
      <w:rFonts w:ascii="Georgia" w:cs="Georgia" w:eastAsia="Georgia" w:hAnsi="Georgia"/>
      <w:b/>
      <w:bCs/>
      <w:color w:val="1F3864"/>
      <w:sz w:val="34"/>
      <w:szCs w:val="34"/>
    </w:rPr>
  </w:style>
  <w:style w:type="paragraph" w:styleId="GuideH2">
    <w:name w:val="Guide Heading 2"/>
    <w:basedOn w:val="Normal"/>
    <w:next w:val="GuideBody"/>
    <w:pPr>
      <w:keepNext/>
      <w:spacing w:after="70" w:before="130" w:line="240"/>
      <w:outlineLvl w:val="1"/>
    </w:pPr>
    <w:rPr>
      <w:rFonts w:ascii="Calibri" w:cs="Calibri" w:eastAsia="Calibri" w:hAnsi="Calibri"/>
      <w:b/>
      <w:bCs/>
      <w:color w:val="2F5597"/>
      <w:sz w:val="23"/>
      <w:szCs w:val="23"/>
    </w:rPr>
  </w:style>
  <w:style w:type="paragraph" w:styleId="GuideBody">
    <w:name w:val="Guide Body"/>
    <w:basedOn w:val="Normal"/>
    <w:next w:val="GuideBody"/>
    <w:pPr>
      <w:spacing w:after="80" w:before="0" w:line="259"/>
    </w:pPr>
    <w:rPr>
      <w:rFonts w:ascii="Calibri" w:cs="Calibri" w:eastAsia="Calibri" w:hAnsi="Calibri"/>
      <w:color w:val="22201D"/>
      <w:sz w:val="20"/>
      <w:szCs w:val="20"/>
    </w:rPr>
  </w:style>
  <w:style w:type="paragraph" w:styleId="GuideCoverText">
    <w:name w:val="Guide Cover Text"/>
    <w:basedOn w:val="GuideBody"/>
    <w:next w:val="GuideCoverText"/>
    <w:pPr>
      <w:spacing w:after="105" w:before="0" w:line="268"/>
    </w:pPr>
    <w:rPr>
      <w:rFonts w:ascii="Calibri" w:cs="Calibri" w:eastAsia="Calibri" w:hAnsi="Calibri"/>
      <w:color w:val="22201D"/>
      <w:sz w:val="21"/>
      <w:szCs w:val="21"/>
    </w:rPr>
  </w:style>
  <w:style w:type="paragraph" w:styleId="GuideList">
    <w:name w:val="Guide List"/>
    <w:basedOn w:val="GuideBody"/>
    <w:next w:val="GuideList"/>
    <w:pPr>
      <w:spacing w:after="65" w:before="0" w:line="259"/>
    </w:pPr>
    <w:rPr>
      <w:rFonts w:ascii="Calibri" w:cs="Calibri" w:eastAsia="Calibri" w:hAnsi="Calibri"/>
      <w:color w:val="22201D"/>
      <w:sz w:val="20"/>
      <w:szCs w:val="20"/>
    </w:rPr>
  </w:style>
  <w:style w:type="paragraph" w:styleId="GuideQuote">
    <w:name w:val="Guide Quote"/>
    <w:basedOn w:val="GuideBody"/>
    <w:next w:val="GuideBody"/>
    <w:pPr>
      <w:spacing w:after="100" w:before="80" w:line="259"/>
      <w:ind w:left="260" w:right="120"/>
    </w:pPr>
    <w:rPr>
      <w:rFonts w:ascii="Calibri" w:cs="Calibri" w:eastAsia="Calibri" w:hAnsi="Calibri"/>
      <w:i/>
      <w:iCs/>
      <w:color w:val="323A46"/>
      <w:sz w:val="20"/>
      <w:szCs w:val="20"/>
    </w:rPr>
  </w:style>
  <w:style w:type="paragraph" w:styleId="GuideTable">
    <w:name w:val="Guide Table"/>
    <w:basedOn w:val="Normal"/>
    <w:next w:val="GuideTable"/>
    <w:pPr>
      <w:spacing w:after="0" w:before="0" w:line="230"/>
    </w:pPr>
    <w:rPr>
      <w:rFonts w:ascii="Calibri" w:cs="Calibri" w:eastAsia="Calibri" w:hAnsi="Calibri"/>
      <w:color w:val="22201D"/>
      <w:sz w:val="16"/>
      <w:szCs w:val="16"/>
    </w:rPr>
  </w:style>
  <w:style w:type="paragraph" w:styleId="GuideTight">
    <w:name w:val="Guide Tight"/>
    <w:basedOn w:val="Normal"/>
    <w:next w:val="GuideBody"/>
    <w:pPr>
      <w:spacing w:after="45" w:before="0" w:line="120"/>
    </w:pPr>
    <w:rPr>
      <w:rFonts w:ascii="Calibri" w:cs="Calibri" w:eastAsia="Calibri" w:hAnsi="Calibri"/>
      <w:sz w:val="4"/>
      <w:szCs w:val="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Clauses · Guía municipal de decisión y aplicación</dc:title>
  <dc:creator>Delfina Lafuente Veira; José Antonio Ondiviela García; Miguel Ángel Domínguez Castellano</dc:creator>
  <dc:description>Guía ejecutiva de 20 páginas para revisar el catálogo de cláusulas de IA y deep tech</dc:description>
  <cp:lastModifiedBy>Un-named</cp:lastModifiedBy>
  <cp:revision>1</cp:revision>
  <dcterms:created xsi:type="dcterms:W3CDTF">2026-09-11T06:29:08.008Z</dcterms:created>
  <dcterms:modified xsi:type="dcterms:W3CDTF">2026-09-11T06:29:08.008Z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