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2"/>
          <w:szCs w:val="32"/>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19"/>
          <w:szCs w:val="19"/>
        </w:rPr>
        <w:t xml:space="preserve">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El problema</w:t>
            </w:r>
          </w:p>
          <w:p>
            <w:pPr>
              <w:spacing w:after="36" w:line="216"/>
              <w:jc w:val="both"/>
            </w:pPr>
            <w:r>
              <w:rPr>
                <w:rFonts w:ascii="Calibri" w:cs="Calibri" w:eastAsia="Calibri" w:hAnsi="Calibri"/>
                <w:color w:val="22201D"/>
                <w:sz w:val="18"/>
                <w:szCs w:val="18"/>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18"/>
                <w:szCs w:val="18"/>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18"/>
                <w:szCs w:val="18"/>
              </w:rPr>
              <w:t xml:space="preserve">Se paga dos veces.</w:t>
            </w:r>
            <w:r>
              <w:rPr>
                <w:rFonts w:ascii="Calibri" w:cs="Calibri" w:eastAsia="Calibri" w:hAnsi="Calibri"/>
                <w:color w:val="22201D"/>
                <w:sz w:val="18"/>
                <w:szCs w:val="18"/>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18"/>
                <w:szCs w:val="18"/>
              </w:rPr>
              <w:t xml:space="preserve">Se aguanta.</w:t>
            </w:r>
            <w:r>
              <w:rPr>
                <w:rFonts w:ascii="Calibri" w:cs="Calibri" w:eastAsia="Calibri" w:hAnsi="Calibri"/>
                <w:color w:val="22201D"/>
                <w:sz w:val="18"/>
                <w:szCs w:val="18"/>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18"/>
                <w:szCs w:val="18"/>
              </w:rPr>
              <w:t xml:space="preserve">Se queda cautivo.</w:t>
            </w:r>
            <w:r>
              <w:rPr>
                <w:rFonts w:ascii="Calibri" w:cs="Calibri" w:eastAsia="Calibri" w:hAnsi="Calibri"/>
                <w:color w:val="22201D"/>
                <w:sz w:val="18"/>
                <w:szCs w:val="18"/>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18"/>
                <w:szCs w:val="18"/>
              </w:rPr>
              <w:t xml:space="preserve">Nadie ha hecho nada mal por el camino. Es un defecto de diseño del contrato.</w:t>
            </w:r>
          </w:p>
          <w:p>
            <w:pPr>
              <w:keepNext/>
              <w:spacing w:after="28" w:before="65" w:line="215"/>
            </w:pPr>
            <w:r>
              <w:rPr>
                <w:rFonts w:ascii="Georgia" w:cs="Georgia" w:eastAsia="Georgia" w:hAnsi="Georgia"/>
                <w:b/>
                <w:bCs/>
                <w:color w:val="1F3864"/>
                <w:sz w:val="24"/>
                <w:szCs w:val="24"/>
              </w:rPr>
              <w:t xml:space="preserve">Por qué no basta con pedir «que se mantenga actualizado»</w:t>
            </w:r>
          </w:p>
          <w:p>
            <w:pPr>
              <w:spacing w:after="36" w:line="216"/>
              <w:jc w:val="both"/>
            </w:pPr>
            <w:r>
              <w:rPr>
                <w:rFonts w:ascii="Calibri" w:cs="Calibri" w:eastAsia="Calibri" w:hAnsi="Calibri"/>
                <w:color w:val="22201D"/>
                <w:sz w:val="18"/>
                <w:szCs w:val="18"/>
              </w:rPr>
              <w:t xml:space="preserve">Es lo primero que uno escribiría, y no funciona. </w:t>
            </w:r>
            <w:r>
              <w:rPr>
                <w:rFonts w:ascii="Calibri" w:cs="Calibri" w:eastAsia="Calibri" w:hAnsi="Calibri"/>
                <w:b/>
                <w:bCs/>
                <w:color w:val="22201D"/>
                <w:sz w:val="18"/>
                <w:szCs w:val="18"/>
              </w:rPr>
              <w:t xml:space="preserve">La empresa no puede ponerle precio</w:t>
            </w:r>
            <w:r>
              <w:rPr>
                <w:rFonts w:ascii="Calibri" w:cs="Calibri" w:eastAsia="Calibri" w:hAnsi="Calibri"/>
                <w:color w:val="22201D"/>
                <w:sz w:val="18"/>
                <w:szCs w:val="18"/>
              </w:rPr>
              <w:t xml:space="preserve">, porque se le pide algo cuyo contenido nadie conoce todavía: o infla la oferta por si acaso, o la ignora y ya discutirá durante la ejecución. </w:t>
            </w:r>
            <w:r>
              <w:rPr>
                <w:rFonts w:ascii="Calibri" w:cs="Calibri" w:eastAsia="Calibri" w:hAnsi="Calibri"/>
                <w:b/>
                <w:bCs/>
                <w:color w:val="22201D"/>
                <w:sz w:val="18"/>
                <w:szCs w:val="18"/>
              </w:rPr>
              <w:t xml:space="preserve">La administración no puede exigirlo</w:t>
            </w:r>
            <w:r>
              <w:rPr>
                <w:rFonts w:ascii="Calibri" w:cs="Calibri" w:eastAsia="Calibri" w:hAnsi="Calibri"/>
                <w:color w:val="22201D"/>
                <w:sz w:val="18"/>
                <w:szCs w:val="18"/>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18"/>
                <w:szCs w:val="18"/>
              </w:rPr>
              <w:t xml:space="preserve">Y un tribunal la anula</w:t>
            </w:r>
            <w:r>
              <w:rPr>
                <w:rFonts w:ascii="Calibri" w:cs="Calibri" w:eastAsia="Calibri" w:hAnsi="Calibri"/>
                <w:color w:val="22201D"/>
                <w:sz w:val="18"/>
                <w:szCs w:val="18"/>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4"/>
                <w:szCs w:val="24"/>
              </w:rPr>
              <w:t xml:space="preserve">La solución</w:t>
            </w:r>
          </w:p>
          <w:p>
            <w:pPr>
              <w:spacing w:after="36" w:line="216"/>
              <w:jc w:val="both"/>
            </w:pPr>
            <w:r>
              <w:rPr>
                <w:rFonts w:ascii="Calibri" w:cs="Calibri" w:eastAsia="Calibri" w:hAnsi="Calibri"/>
                <w:color w:val="22201D"/>
                <w:sz w:val="18"/>
                <w:szCs w:val="18"/>
              </w:rPr>
              <w:t xml:space="preserve">En lugar de comprar una evolución futura indefinida, </w:t>
            </w:r>
            <w:r>
              <w:rPr>
                <w:rFonts w:ascii="Calibri" w:cs="Calibri" w:eastAsia="Calibri" w:hAnsi="Calibri"/>
                <w:b/>
                <w:bCs/>
                <w:color w:val="22201D"/>
                <w:sz w:val="18"/>
                <w:szCs w:val="18"/>
              </w:rPr>
              <w:t xml:space="preserve">se compran capacidades concretas, con plazo y con criterios de aceptación verificables</w:t>
            </w:r>
            <w:r>
              <w:rPr>
                <w:rFonts w:ascii="Calibri" w:cs="Calibri" w:eastAsia="Calibri" w:hAnsi="Calibri"/>
                <w:color w:val="22201D"/>
                <w:sz w:val="18"/>
                <w:szCs w:val="18"/>
              </w:rPr>
              <w:t xml:space="preserve">, fijadas en el momento de licitar y revisadas cada año para las licitaciones siguientes.</w:t>
            </w:r>
          </w:p>
          <w:p>
            <w:pPr>
              <w:spacing w:after="36" w:line="216"/>
              <w:jc w:val="both"/>
            </w:pPr>
            <w:r>
              <w:rPr>
                <w:rFonts w:ascii="Calibri" w:cs="Calibri" w:eastAsia="Calibri" w:hAnsi="Calibri"/>
                <w:color w:val="22201D"/>
                <w:sz w:val="18"/>
                <w:szCs w:val="18"/>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La otra mitad: de quién son los datos</w:t>
            </w:r>
          </w:p>
          <w:p>
            <w:pPr>
              <w:spacing w:after="36" w:line="216"/>
              <w:jc w:val="both"/>
            </w:pPr>
            <w:r>
              <w:rPr>
                <w:rFonts w:ascii="Calibri" w:cs="Calibri" w:eastAsia="Calibri" w:hAnsi="Calibri"/>
                <w:color w:val="22201D"/>
                <w:sz w:val="18"/>
                <w:szCs w:val="18"/>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18"/>
                <w:szCs w:val="18"/>
              </w:rPr>
              <w:t xml:space="preserve">Por eso una parte central del clausulado no habla de inteligencia artificial, sino de </w:t>
            </w:r>
            <w:r>
              <w:rPr>
                <w:rFonts w:ascii="Calibri" w:cs="Calibri" w:eastAsia="Calibri" w:hAnsi="Calibri"/>
                <w:b/>
                <w:bCs/>
                <w:color w:val="22201D"/>
                <w:sz w:val="18"/>
                <w:szCs w:val="18"/>
              </w:rPr>
              <w:t xml:space="preserve">propiedad, reversibilidad y salida ordenada</w:t>
            </w:r>
            <w:r>
              <w:rPr>
                <w:rFonts w:ascii="Calibri" w:cs="Calibri" w:eastAsia="Calibri" w:hAnsi="Calibri"/>
                <w:color w:val="22201D"/>
                <w:sz w:val="18"/>
                <w:szCs w:val="18"/>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4"/>
                <w:szCs w:val="24"/>
              </w:rPr>
              <w:t xml:space="preserve">Qué es esto, y qué no es</w:t>
            </w:r>
          </w:p>
          <w:p>
            <w:pPr>
              <w:spacing w:after="36" w:line="216"/>
              <w:jc w:val="both"/>
            </w:pPr>
            <w:r>
              <w:rPr>
                <w:rFonts w:ascii="Calibri" w:cs="Calibri" w:eastAsia="Calibri" w:hAnsi="Calibri"/>
                <w:b/>
                <w:bCs/>
                <w:color w:val="22201D"/>
                <w:sz w:val="18"/>
                <w:szCs w:val="18"/>
              </w:rPr>
              <w:t xml:space="preserve">Es un catálogo</w:t>
            </w:r>
            <w:r>
              <w:rPr>
                <w:rFonts w:ascii="Calibri" w:cs="Calibri" w:eastAsia="Calibri" w:hAnsi="Calibri"/>
                <w:color w:val="22201D"/>
                <w:sz w:val="18"/>
                <w:szCs w:val="18"/>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18"/>
                <w:szCs w:val="18"/>
              </w:rPr>
              <w:t xml:space="preserve">Y es, además, un manual de tramitación.</w:t>
            </w:r>
            <w:r>
              <w:rPr>
                <w:rFonts w:ascii="Calibri" w:cs="Calibri" w:eastAsia="Calibri" w:hAnsi="Calibri"/>
                <w:color w:val="22201D"/>
                <w:sz w:val="18"/>
                <w:szCs w:val="18"/>
              </w:rPr>
              <w:t xml:space="preserve"> Para redactar estas cláusulas hubo que escribir entero el circuito del expediente que las sostiene —los veintiún documentos, quién firma cada uno y en qué orden—, y ese circuito no tiene nada de específico de la IA: sirve igual para cualquier otra cláusula que quiera incorporarse a un pliego conforme a la Ley 9/2017. Quien venga a por cláusulas de IA empieza por la Parte 0 y sigue por las Partes II y III; quien venga a tramitar bien un expediente va directo a la Parte V y al ejemplo completo de la Parte VI.</w:t>
            </w:r>
          </w:p>
          <w:p>
            <w:pPr>
              <w:spacing w:after="36" w:line="216"/>
              <w:jc w:val="both"/>
            </w:pPr>
            <w:r>
              <w:rPr>
                <w:rFonts w:ascii="Calibri" w:cs="Calibri" w:eastAsia="Calibri" w:hAnsi="Calibri"/>
                <w:b/>
                <w:bCs/>
                <w:color w:val="22201D"/>
                <w:sz w:val="18"/>
                <w:szCs w:val="18"/>
              </w:rPr>
              <w:t xml:space="preserve">No es una norma</w:t>
            </w:r>
            <w:r>
              <w:rPr>
                <w:rFonts w:ascii="Calibri" w:cs="Calibri" w:eastAsia="Calibri" w:hAnsi="Calibri"/>
                <w:color w:val="22201D"/>
                <w:sz w:val="18"/>
                <w:szCs w:val="18"/>
              </w:rPr>
              <w:t xml:space="preserve">: no obliga a nadie por sí mismo. </w:t>
            </w:r>
            <w:r>
              <w:rPr>
                <w:rFonts w:ascii="Calibri" w:cs="Calibri" w:eastAsia="Calibri" w:hAnsi="Calibri"/>
                <w:b/>
                <w:bCs/>
                <w:color w:val="22201D"/>
                <w:sz w:val="18"/>
                <w:szCs w:val="18"/>
              </w:rPr>
              <w:t xml:space="preserve">No es de aplicación automática</w:t>
            </w:r>
            <w:r>
              <w:rPr>
                <w:rFonts w:ascii="Calibri" w:cs="Calibri" w:eastAsia="Calibri" w:hAnsi="Calibri"/>
                <w:color w:val="22201D"/>
                <w:sz w:val="18"/>
                <w:szCs w:val="18"/>
              </w:rPr>
              <w:t xml:space="preserve">: ninguna cláusula entra en un pliego por el hecho de existir aquí. </w:t>
            </w:r>
            <w:r>
              <w:rPr>
                <w:rFonts w:ascii="Calibri" w:cs="Calibri" w:eastAsia="Calibri" w:hAnsi="Calibri"/>
                <w:b/>
                <w:bCs/>
                <w:color w:val="22201D"/>
                <w:sz w:val="18"/>
                <w:szCs w:val="18"/>
              </w:rPr>
              <w:t xml:space="preserve">No es un «copia y pega»</w:t>
            </w:r>
            <w:r>
              <w:rPr>
                <w:rFonts w:ascii="Calibri" w:cs="Calibri" w:eastAsia="Calibri" w:hAnsi="Calibri"/>
                <w:color w:val="22201D"/>
                <w:sz w:val="18"/>
                <w:szCs w:val="18"/>
              </w:rPr>
              <w:t xml:space="preserve">: una cláusula incorporada sin necesidad acreditada en la memoria del expediente no protege a la administración, le añade un motivo de recurso.</w:t>
            </w:r>
          </w:p>
          <w:p>
            <w:pPr>
              <w:spacing w:after="36" w:line="216"/>
              <w:jc w:val="both"/>
            </w:pPr>
            <w:r>
              <w:rPr>
                <w:rFonts w:ascii="Calibri" w:cs="Calibri" w:eastAsia="Calibri" w:hAnsi="Calibri"/>
                <w:b/>
                <w:bCs/>
                <w:color w:val="22201D"/>
                <w:sz w:val="18"/>
                <w:szCs w:val="18"/>
              </w:rPr>
              <w:t xml:space="preserve">No hace falta esperar a nadie para empezar.</w:t>
            </w:r>
            <w:r>
              <w:rPr>
                <w:rFonts w:ascii="Calibri" w:cs="Calibri" w:eastAsia="Calibri" w:hAnsi="Calibri"/>
                <w:color w:val="22201D"/>
                <w:sz w:val="18"/>
                <w:szCs w:val="18"/>
              </w:rPr>
              <w:t xml:space="preserve"> La mayoría de las cláusulas —y las de más valor económico— se motivan en la memoria del expediente con datos propios. Sólo el catálogo anual de exigencias tecnológicas necesita un anclaje en una política aprobada, y sirve cualquiera que ya exista. Si no hay ninguna, se pospone esa cláusula y entran las demás.</w:t>
            </w:r>
          </w:p>
          <w:p>
            <w:pPr>
              <w:spacing w:after="36" w:line="216"/>
              <w:jc w:val="both"/>
            </w:pPr>
            <w:r>
              <w:rPr>
                <w:rFonts w:ascii="Calibri" w:cs="Calibri" w:eastAsia="Calibri" w:hAnsi="Calibri"/>
                <w:b/>
                <w:bCs/>
                <w:color w:val="22201D"/>
                <w:sz w:val="18"/>
                <w:szCs w:val="18"/>
              </w:rPr>
              <w:t xml:space="preserve">Y no es municipal.</w:t>
            </w:r>
            <w:r>
              <w:rPr>
                <w:rFonts w:ascii="Calibri" w:cs="Calibri" w:eastAsia="Calibri" w:hAnsi="Calibri"/>
                <w:color w:val="22201D"/>
                <w:sz w:val="18"/>
                <w:szCs w:val="18"/>
              </w:rPr>
              <w:t xml:space="preserve"> Nace de un problema de gestión municipal, pero está </w:t>
            </w:r>
            <w:r>
              <w:rPr>
                <w:rFonts w:ascii="Calibri" w:cs="Calibri" w:eastAsia="Calibri" w:hAnsi="Calibri"/>
                <w:b/>
                <w:bCs/>
                <w:color w:val="22201D"/>
                <w:sz w:val="18"/>
                <w:szCs w:val="18"/>
              </w:rPr>
              <w:t xml:space="preserve">parametrizado para cualquier administración</w:t>
            </w:r>
            <w:r>
              <w:rPr>
                <w:rFonts w:ascii="Calibri" w:cs="Calibri" w:eastAsia="Calibri" w:hAnsi="Calibri"/>
                <w:color w:val="22201D"/>
                <w:sz w:val="18"/>
                <w:szCs w:val="18"/>
              </w:rPr>
              <w:t xml:space="preserve">: los órganos, los umbrales, las categorías de seguridad y los plazos son parámetros con valor recomendado, no valores fijos. Sirve igual a un ayuntamiento, a una diputación, a una comunidad autónoma o a un organismo estatal, cambiando quién firma cada cosa. Se publica con licencia CC BY 4.0 precisamente para eso: para que se copie, se adapte y se mejore.</w:t>
            </w:r>
          </w:p>
          <w:p>
            <w:pPr>
              <w:keepNext/>
              <w:spacing w:after="28" w:before="65" w:line="215"/>
            </w:pPr>
            <w:r>
              <w:rPr>
                <w:rFonts w:ascii="Georgia" w:cs="Georgia" w:eastAsia="Georgia" w:hAnsi="Georgia"/>
                <w:b/>
                <w:bCs/>
                <w:color w:val="1F3864"/>
                <w:sz w:val="24"/>
                <w:szCs w:val="24"/>
              </w:rPr>
              <w:t xml:space="preserve">Qué se promete, y qué no</w:t>
            </w:r>
          </w:p>
          <w:p>
            <w:pPr>
              <w:spacing w:after="36" w:line="216"/>
              <w:jc w:val="both"/>
            </w:pPr>
            <w:r>
              <w:rPr>
                <w:rFonts w:ascii="Calibri" w:cs="Calibri" w:eastAsia="Calibri" w:hAnsi="Calibri"/>
                <w:b/>
                <w:bCs/>
                <w:color w:val="22201D"/>
                <w:sz w:val="18"/>
                <w:szCs w:val="18"/>
              </w:rPr>
              <w:t xml:space="preserve">No se promete que ningún tribunal pueda anular nada.</w:t>
            </w:r>
            <w:r>
              <w:rPr>
                <w:rFonts w:ascii="Calibri" w:cs="Calibri" w:eastAsia="Calibri" w:hAnsi="Calibri"/>
                <w:color w:val="22201D"/>
                <w:sz w:val="18"/>
                <w:szCs w:val="18"/>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18"/>
                <w:szCs w:val="18"/>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18"/>
                <w:szCs w:val="18"/>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De dónde sale</w:t>
            </w:r>
          </w:p>
          <w:p>
            <w:pPr>
              <w:spacing w:after="36" w:line="216"/>
              <w:jc w:val="both"/>
            </w:pPr>
            <w:r>
              <w:rPr>
                <w:rFonts w:ascii="Calibri" w:cs="Calibri" w:eastAsia="Calibri" w:hAnsi="Calibri"/>
                <w:color w:val="22201D"/>
                <w:sz w:val="18"/>
                <w:szCs w:val="18"/>
              </w:rPr>
              <w:t xml:space="preserve">De un problema real de gestión municipal y de </w:t>
            </w:r>
            <w:r>
              <w:rPr>
                <w:rFonts w:ascii="Calibri" w:cs="Calibri" w:eastAsia="Calibri" w:hAnsi="Calibri"/>
                <w:b/>
                <w:bCs/>
                <w:color w:val="22201D"/>
                <w:sz w:val="18"/>
                <w:szCs w:val="18"/>
              </w:rPr>
              <w:t xml:space="preserve">cuatro dificultades</w:t>
            </w:r>
            <w:r>
              <w:rPr>
                <w:rFonts w:ascii="Calibri" w:cs="Calibri" w:eastAsia="Calibri" w:hAnsi="Calibri"/>
                <w:color w:val="22201D"/>
                <w:sz w:val="18"/>
                <w:szCs w:val="18"/>
              </w:rPr>
              <w:t xml:space="preserve"> que quienes lo han trabajado han observado que suceden en la contratación pública, y que el documento nombra sin suavizarlas: que la necesidad todavía no la demanda el gestor, y sin ella la cláusula es artificiosa al contrato; que el seguimiento real de los contratos es escaso y sólo mira el gasto, cuando quien controla necesita el dato al mismo rango que quien gestiona; que el grado de abstracción es demasiado alto mientras no se vea funcionando en una contratación ya prevista y poco compleja; y que hay muchos actores, y no sólo propios, que no han visto antes estas exigencias. </w:t>
            </w:r>
            <w:r>
              <w:rPr>
                <w:rFonts w:ascii="Calibri" w:cs="Calibri" w:eastAsia="Calibri" w:hAnsi="Calibri"/>
                <w:b/>
                <w:bCs/>
                <w:color w:val="22201D"/>
                <w:sz w:val="18"/>
                <w:szCs w:val="18"/>
              </w:rPr>
              <w:t xml:space="preserve">Las cuatro se responden dentro del documento</w:t>
            </w:r>
            <w:r>
              <w:rPr>
                <w:rFonts w:ascii="Calibri" w:cs="Calibri" w:eastAsia="Calibri" w:hAnsi="Calibri"/>
                <w:color w:val="22201D"/>
                <w:sz w:val="18"/>
                <w:szCs w:val="18"/>
              </w:rPr>
              <w:t xml:space="preserve">, y son la razón de que esta versión tenga doble vía de firma, acuerdo del órgano de gobierno, un subconjunto mínimo de seis cláusulas para empezar y un capítulo sobre la reacción del mercado.</w:t>
            </w:r>
          </w:p>
          <w:p>
            <w:pPr>
              <w:keepNext/>
              <w:spacing w:after="28" w:before="65" w:line="215"/>
            </w:pPr>
            <w:r>
              <w:rPr>
                <w:rFonts w:ascii="Georgia" w:cs="Georgia" w:eastAsia="Georgia" w:hAnsi="Georgia"/>
                <w:b/>
                <w:bCs/>
                <w:color w:val="1F3864"/>
                <w:sz w:val="24"/>
                <w:szCs w:val="24"/>
              </w:rPr>
              <w:t xml:space="preserve">Cómo debe usarse: no copie sin entender</w:t>
            </w:r>
          </w:p>
          <w:p>
            <w:pPr>
              <w:spacing w:after="36" w:line="216"/>
              <w:jc w:val="both"/>
            </w:pPr>
            <w:r>
              <w:rPr>
                <w:rFonts w:ascii="Calibri" w:cs="Calibri" w:eastAsia="Calibri" w:hAnsi="Calibri"/>
                <w:color w:val="22201D"/>
                <w:sz w:val="18"/>
                <w:szCs w:val="18"/>
              </w:rPr>
              <w:t xml:space="preserve">Se publica *</w:t>
            </w:r>
            <w:r>
              <w:rPr>
                <w:rFonts w:ascii="Calibri" w:cs="Calibri" w:eastAsia="Calibri" w:hAnsi="Calibri"/>
                <w:i/>
                <w:iCs/>
                <w:color w:val="22201D"/>
                <w:sz w:val="18"/>
                <w:szCs w:val="18"/>
              </w:rPr>
              <w:t xml:space="preserve">tal cual (</w:t>
            </w:r>
            <w:r>
              <w:rPr>
                <w:rFonts w:ascii="Calibri" w:cs="Calibri" w:eastAsia="Calibri" w:hAnsi="Calibri"/>
                <w:color w:val="22201D"/>
                <w:sz w:val="18"/>
                <w:szCs w:val="18"/>
              </w:rPr>
              <w:t xml:space="preserve">as is</w:t>
            </w:r>
            <w:r>
              <w:rPr>
                <w:rFonts w:ascii="Calibri" w:cs="Calibri" w:eastAsia="Calibri" w:hAnsi="Calibri"/>
                <w:i/>
                <w:iCs/>
                <w:color w:val="22201D"/>
                <w:sz w:val="18"/>
                <w:szCs w:val="18"/>
              </w:rPr>
              <w:t xml:space="preserve">)</w:t>
            </w:r>
            <w:r>
              <w:rPr>
                <w:rFonts w:ascii="Calibri" w:cs="Calibri" w:eastAsia="Calibri" w:hAnsi="Calibri"/>
                <w:color w:val="22201D"/>
                <w:sz w:val="18"/>
                <w:szCs w:val="18"/>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18"/>
                <w:szCs w:val="18"/>
              </w:rPr>
              <w:t xml:space="preserve">Una cláusula copiada </w:t>
            </w:r>
            <w:r>
              <w:rPr>
                <w:rFonts w:ascii="Calibri" w:cs="Calibri" w:eastAsia="Calibri" w:hAnsi="Calibri"/>
                <w:b/>
                <w:bCs/>
                <w:color w:val="22201D"/>
                <w:sz w:val="18"/>
                <w:szCs w:val="18"/>
              </w:rPr>
              <w:t xml:space="preserve">sin necesidad acreditada</w:t>
            </w:r>
            <w:r>
              <w:rPr>
                <w:rFonts w:ascii="Calibri" w:cs="Calibri" w:eastAsia="Calibri" w:hAnsi="Calibri"/>
                <w:color w:val="22201D"/>
                <w:sz w:val="18"/>
                <w:szCs w:val="18"/>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18"/>
                <w:szCs w:val="18"/>
              </w:rPr>
              <w:t xml:space="preserve">Una exigencia copiada </w:t>
            </w:r>
            <w:r>
              <w:rPr>
                <w:rFonts w:ascii="Calibri" w:cs="Calibri" w:eastAsia="Calibri" w:hAnsi="Calibri"/>
                <w:b/>
                <w:bCs/>
                <w:color w:val="22201D"/>
                <w:sz w:val="18"/>
                <w:szCs w:val="18"/>
              </w:rPr>
              <w:t xml:space="preserve">sin contrastar con el mercado</w:t>
            </w:r>
            <w:r>
              <w:rPr>
                <w:rFonts w:ascii="Calibri" w:cs="Calibri" w:eastAsia="Calibri" w:hAnsi="Calibri"/>
                <w:color w:val="22201D"/>
                <w:sz w:val="18"/>
                <w:szCs w:val="18"/>
              </w:rPr>
              <w:t xml:space="preserve"> no es más ambiciosa: es más restrictiva.</w:t>
            </w:r>
          </w:p>
          <w:p>
            <w:pPr>
              <w:pStyle w:val="ListParagraph"/>
              <w:numPr>
                <w:ilvl w:val="0"/>
                <w:numId w:val="2"/>
              </w:numPr>
              <w:spacing w:after="18" w:line="214"/>
            </w:pPr>
            <w:r>
              <w:rPr>
                <w:rFonts w:ascii="Calibri" w:cs="Calibri" w:eastAsia="Calibri" w:hAnsi="Calibri"/>
                <w:color w:val="22201D"/>
                <w:sz w:val="18"/>
                <w:szCs w:val="18"/>
              </w:rPr>
              <w:t xml:space="preserve">Una obligación copiada </w:t>
            </w:r>
            <w:r>
              <w:rPr>
                <w:rFonts w:ascii="Calibri" w:cs="Calibri" w:eastAsia="Calibri" w:hAnsi="Calibri"/>
                <w:b/>
                <w:bCs/>
                <w:color w:val="22201D"/>
                <w:sz w:val="18"/>
                <w:szCs w:val="18"/>
              </w:rPr>
              <w:t xml:space="preserve">sin nadie que la verifique</w:t>
            </w:r>
            <w:r>
              <w:rPr>
                <w:rFonts w:ascii="Calibri" w:cs="Calibri" w:eastAsia="Calibri" w:hAnsi="Calibri"/>
                <w:color w:val="22201D"/>
                <w:sz w:val="18"/>
                <w:szCs w:val="18"/>
              </w:rPr>
              <w:t xml:space="preserve"> es peor que no tenerla.</w:t>
            </w:r>
          </w:p>
          <w:p>
            <w:pPr>
              <w:pStyle w:val="ListParagraph"/>
              <w:numPr>
                <w:ilvl w:val="0"/>
                <w:numId w:val="2"/>
              </w:numPr>
              <w:spacing w:after="18" w:line="214"/>
            </w:pPr>
            <w:r>
              <w:rPr>
                <w:rFonts w:ascii="Calibri" w:cs="Calibri" w:eastAsia="Calibri" w:hAnsi="Calibri"/>
                <w:color w:val="22201D"/>
                <w:sz w:val="18"/>
                <w:szCs w:val="18"/>
              </w:rPr>
              <w:t xml:space="preserve">Un parámetro copiado </w:t>
            </w:r>
            <w:r>
              <w:rPr>
                <w:rFonts w:ascii="Calibri" w:cs="Calibri" w:eastAsia="Calibri" w:hAnsi="Calibri"/>
                <w:b/>
                <w:bCs/>
                <w:color w:val="22201D"/>
                <w:sz w:val="18"/>
                <w:szCs w:val="18"/>
              </w:rPr>
              <w:t xml:space="preserve">sin adaptar</w:t>
            </w:r>
            <w:r>
              <w:rPr>
                <w:rFonts w:ascii="Calibri" w:cs="Calibri" w:eastAsia="Calibri" w:hAnsi="Calibri"/>
                <w:color w:val="22201D"/>
                <w:sz w:val="18"/>
                <w:szCs w:val="18"/>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Un aviso, antes de citarlo</w:t>
            </w:r>
          </w:p>
          <w:p>
            <w:pPr>
              <w:spacing w:after="36" w:line="216"/>
              <w:jc w:val="both"/>
            </w:pPr>
            <w:r>
              <w:rPr>
                <w:rFonts w:ascii="Calibri" w:cs="Calibri" w:eastAsia="Calibri" w:hAnsi="Calibri"/>
                <w:b/>
                <w:bCs/>
                <w:color w:val="22201D"/>
                <w:sz w:val="18"/>
                <w:szCs w:val="18"/>
              </w:rPr>
              <w:t xml:space="preserve">Este no es un documento oficial de ninguna administración</w:t>
            </w:r>
            <w:r>
              <w:rPr>
                <w:rFonts w:ascii="Calibri" w:cs="Calibri" w:eastAsia="Calibri" w:hAnsi="Calibri"/>
                <w:color w:val="22201D"/>
                <w:sz w:val="18"/>
                <w:szCs w:val="18"/>
              </w:rPr>
              <w:t xml:space="preserve">: no ha sido aprobado por ningún órgano municipal ni expresa la posición de la Corporación, y ningún órgano de contratación, intervención o asesoría jurídica se ha pronunciado sobre él. El caso trabajado del documento extenso es un </w:t>
            </w:r>
            <w:r>
              <w:rPr>
                <w:rFonts w:ascii="Calibri" w:cs="Calibri" w:eastAsia="Calibri" w:hAnsi="Calibri"/>
                <w:b/>
                <w:bCs/>
                <w:color w:val="22201D"/>
                <w:sz w:val="18"/>
                <w:szCs w:val="18"/>
              </w:rPr>
              <w:t xml:space="preserve">expediente simulado</w:t>
            </w:r>
            <w:r>
              <w:rPr>
                <w:rFonts w:ascii="Calibri" w:cs="Calibri" w:eastAsia="Calibri" w:hAnsi="Calibri"/>
                <w:color w:val="22201D"/>
                <w:sz w:val="18"/>
                <w:szCs w:val="18"/>
              </w:rPr>
              <w:t xml:space="preserve">: no corresponde a ninguna licitación real, en curso ni en preparación. Es un trabajo profesional de las personas que lo firman, a título particular; quienes ejercen un cargo o un puesto público lo hacen aquí a título personal.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4"/>
                <w:szCs w:val="24"/>
              </w:rPr>
              <w:t xml:space="preserve">Quién lo ha hecho</w:t>
            </w:r>
          </w:p>
          <w:p>
            <w:pPr>
              <w:spacing w:after="36" w:line="216"/>
              <w:jc w:val="both"/>
            </w:pPr>
            <w:hyperlink w:history="1" r:id="rId3v48jey9puiqiepz6wpv1">
              <w:r>
                <w:rPr>
                  <w:rFonts w:ascii="Calibri" w:cs="Calibri" w:eastAsia="Calibri" w:hAnsi="Calibri"/>
                  <w:b/>
                  <w:bCs/>
                  <w:color w:val="2F5597"/>
                  <w:sz w:val="18"/>
                  <w:szCs w:val="18"/>
                  <w:u w:val="single"/>
                </w:rPr>
                <w:t xml:space="preserve">Dr. José Antonio Ondiviela García</w:t>
              </w:r>
            </w:hyperlink>
            <w:r>
              <w:rPr>
                <w:rFonts w:ascii="Calibri" w:cs="Calibri" w:eastAsia="Calibri" w:hAnsi="Calibri"/>
                <w:color w:val="22201D"/>
                <w:sz w:val="18"/>
                <w:szCs w:val="18"/>
              </w:rPr>
              <w:t xml:space="preserve">, profesor e investigador de la Universidad Francisco de Vitoria: la mirada del mercado y la idea que resuelve el problema de fondo. </w:t>
            </w:r>
            <w:hyperlink w:history="1" r:id="rIdupqaixraw7foc10ad_j0k">
              <w:r>
                <w:rPr>
                  <w:rFonts w:ascii="Calibri" w:cs="Calibri" w:eastAsia="Calibri" w:hAnsi="Calibri"/>
                  <w:b/>
                  <w:bCs/>
                  <w:color w:val="2F5597"/>
                  <w:sz w:val="18"/>
                  <w:szCs w:val="18"/>
                  <w:u w:val="single"/>
                </w:rPr>
                <w:t xml:space="preserve">Miguel Ángel Domínguez Castellano</w:t>
              </w:r>
            </w:hyperlink>
            <w:r>
              <w:rPr>
                <w:rFonts w:ascii="Calibri" w:cs="Calibri" w:eastAsia="Calibri" w:hAnsi="Calibri"/>
                <w:color w:val="22201D"/>
                <w:sz w:val="18"/>
                <w:szCs w:val="18"/>
              </w:rPr>
              <w:t xml:space="preserve">, CEO de Add4u y presidente de Alastria y del Clúster de Blockchain de la Comunidad de Madrid: la perspectiva de quien conoce las dos orillas, y la responsabilidad editorial de la publicación. </w:t>
            </w:r>
            <w:hyperlink w:history="1" r:id="rIdokwbb59z4e9w8gelzcrjt">
              <w:r>
                <w:rPr>
                  <w:rFonts w:ascii="Calibri" w:cs="Calibri" w:eastAsia="Calibri" w:hAnsi="Calibri"/>
                  <w:b/>
                  <w:bCs/>
                  <w:color w:val="2F5597"/>
                  <w:sz w:val="18"/>
                  <w:szCs w:val="18"/>
                  <w:u w:val="single"/>
                </w:rPr>
                <w:t xml:space="preserve">Delfina Lafuente Veira</w:t>
              </w:r>
            </w:hyperlink>
            <w:r>
              <w:rPr>
                <w:rFonts w:ascii="Calibri" w:cs="Calibri" w:eastAsia="Calibri" w:hAnsi="Calibri"/>
                <w:color w:val="22201D"/>
                <w:sz w:val="18"/>
                <w:szCs w:val="18"/>
              </w:rPr>
              <w:t xml:space="preserve">, Concejal de Administración Digital, Calidad e Innovación del Ayuntamiento de Pozuelo de Alarcón, </w:t>
            </w:r>
            <w:r>
              <w:rPr>
                <w:rFonts w:ascii="Calibri" w:cs="Calibri" w:eastAsia="Calibri" w:hAnsi="Calibri"/>
                <w:b/>
                <w:bCs/>
                <w:color w:val="22201D"/>
                <w:sz w:val="18"/>
                <w:szCs w:val="18"/>
              </w:rPr>
              <w:t xml:space="preserve">co-impulsora del proyecto</w:t>
            </w:r>
            <w:r>
              <w:rPr>
                <w:rFonts w:ascii="Calibri" w:cs="Calibri" w:eastAsia="Calibri" w:hAnsi="Calibri"/>
                <w:color w:val="22201D"/>
                <w:sz w:val="18"/>
                <w:szCs w:val="18"/>
              </w:rPr>
              <w:t xml:space="preserve">: de ella nace, suya es la pregunta de partida y suya la primera redacción. Firma a título personal.</w:t>
            </w:r>
          </w:p>
          <w:p>
            <w:pPr>
              <w:spacing w:after="36" w:line="216"/>
              <w:jc w:val="both"/>
            </w:pPr>
            <w:r>
              <w:rPr>
                <w:rFonts w:ascii="Calibri" w:cs="Calibri" w:eastAsia="Calibri" w:hAnsi="Calibri"/>
                <w:b/>
                <w:bCs/>
                <w:color w:val="22201D"/>
                <w:sz w:val="18"/>
                <w:szCs w:val="18"/>
              </w:rPr>
              <w:t xml:space="preserve">Reconocimiento a los servicios técnicos municipales.</w:t>
            </w:r>
            <w:r>
              <w:rPr>
                <w:rFonts w:ascii="Calibri" w:cs="Calibri" w:eastAsia="Calibri" w:hAnsi="Calibri"/>
                <w:color w:val="22201D"/>
                <w:sz w:val="18"/>
                <w:szCs w:val="18"/>
              </w:rPr>
              <w:t xml:space="preserve"> El contraste con la práctica real de la contratación y la lectura crítica de los borradores son suyos, y han cambiado el documento. Se reconoce de forma colectiva y deliberada: se hizo en el ejercicio de sus funciones y en beneficio del interés general.</w:t>
            </w:r>
          </w:p>
          <w:p>
            <w:pPr>
              <w:spacing w:after="36" w:line="216"/>
              <w:jc w:val="both"/>
            </w:pPr>
            <w:r>
              <w:rPr>
                <w:rFonts w:ascii="Calibri" w:cs="Calibri" w:eastAsia="Calibri" w:hAnsi="Calibri"/>
                <w:b/>
                <w:bCs/>
                <w:color w:val="22201D"/>
                <w:sz w:val="18"/>
                <w:szCs w:val="18"/>
              </w:rPr>
              <w:t xml:space="preserve">Uso de inteligencia artificial.</w:t>
            </w:r>
            <w:r>
              <w:rPr>
                <w:rFonts w:ascii="Calibri" w:cs="Calibri" w:eastAsia="Calibri" w:hAnsi="Calibri"/>
                <w:color w:val="22201D"/>
                <w:sz w:val="18"/>
                <w:szCs w:val="18"/>
              </w:rPr>
              <w:t xml:space="preserve"> En la elaboración de este trabajo se han utilizado sistemas de IA: el clon digital (</w:t>
            </w:r>
            <w:r>
              <w:rPr>
                <w:rFonts w:ascii="Calibri" w:cs="Calibri" w:eastAsia="Calibri" w:hAnsi="Calibri"/>
                <w:i/>
                <w:iCs/>
                <w:color w:val="22201D"/>
                <w:sz w:val="18"/>
                <w:szCs w:val="18"/>
              </w:rPr>
              <w:t xml:space="preserve">second brain</w:t>
            </w:r>
            <w:r>
              <w:rPr>
                <w:rFonts w:ascii="Calibri" w:cs="Calibri" w:eastAsia="Calibri" w:hAnsi="Calibri"/>
                <w:color w:val="22201D"/>
                <w:sz w:val="18"/>
                <w:szCs w:val="18"/>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18"/>
                <w:szCs w:val="18"/>
              </w:rPr>
              <w:t xml:space="preserve">Documento completo, presentación y modelos:</w:t>
            </w:r>
            <w:r>
              <w:rPr>
                <w:rFonts w:ascii="Calibri" w:cs="Calibri" w:eastAsia="Calibri" w:hAnsi="Calibri"/>
                <w:color w:val="22201D"/>
                <w:sz w:val="18"/>
                <w:szCs w:val="18"/>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v48jey9puiqiepz6wpv1" Type="http://schemas.openxmlformats.org/officeDocument/2006/relationships/hyperlink" Target="https://www.ufv.es/una-nueva-definicion-para-las-ciudades-que-transformaran-el-mundo-noticias-actualidad/" TargetMode="External"/><Relationship Id="rIdupqaixraw7foc10ad_j0k" Type="http://schemas.openxmlformats.org/officeDocument/2006/relationships/hyperlink" Target="https://miguelangeldominguez.info" TargetMode="External"/><Relationship Id="rIdokwbb59z4e9w8gelzcrjt" Type="http://schemas.openxmlformats.org/officeDocument/2006/relationships/hyperlink" Target="https://www.pozuelodealarcon.org/tu-ayuntamiento/organizacion-municipal/trayectoria-profesional-delfina-lafuente-veir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dc:creator>
  <dc:description>Resumen ejecutivo del catálogo de cláusulas de IA y deep tech para contratación pública</dc:description>
  <cp:lastModifiedBy>Un-named</cp:lastModifiedBy>
  <cp:revision>1</cp:revision>
  <dcterms:created xsi:type="dcterms:W3CDTF">2026-09-11T06:29:08.769Z</dcterms:created>
  <dcterms:modified xsi:type="dcterms:W3CDTF">2026-09-11T06:29:08.769Z</dcterms:modified>
</cp:coreProperties>
</file>

<file path=docProps/custom.xml><?xml version="1.0" encoding="utf-8"?>
<Properties xmlns="http://schemas.openxmlformats.org/officeDocument/2006/custom-properties" xmlns:vt="http://schemas.openxmlformats.org/officeDocument/2006/docPropsVTypes"/>
</file>