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 de septiembre de 2026</w:t>
      </w:r>
    </w:p>
    <w:p>
      <w:pPr>
        <w:spacing w:after="140" w:line="276"/>
      </w:pPr>
      <w:r>
        <w:rPr>
          <w:rFonts w:ascii="Calibri" w:cs="Calibri" w:eastAsia="Calibri" w:hAnsi="Calibri"/>
          <w:b/>
          <w:bCs/>
          <w:sz w:val="21"/>
          <w:szCs w:val="21"/>
        </w:rPr>
        <w:t xml:space="preserve">Qué ha aprobado el Ayuntamiento de Pozuelo de Alarcón:</w:t>
      </w:r>
      <w:r>
        <w:rPr>
          <w:rFonts w:ascii="Calibri" w:cs="Calibri" w:eastAsia="Calibri" w:hAnsi="Calibri"/>
          <w:sz w:val="21"/>
          <w:szCs w:val="21"/>
        </w:rPr>
        <w:t xml:space="preserve"> nada. Este documento no es un acto</w:t>
      </w:r>
    </w:p>
    <w:p>
      <w:pPr>
        <w:spacing w:after="140" w:line="276"/>
      </w:pPr>
      <w:r>
        <w:rPr>
          <w:rFonts w:ascii="Calibri" w:cs="Calibri" w:eastAsia="Calibri" w:hAnsi="Calibri"/>
          <w:sz w:val="21"/>
          <w:szCs w:val="21"/>
        </w:rPr>
        <w:t xml:space="preserve">administrativo, no ha sido aprobado por ningún órgano municipal y no vincula a la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tres personas que lo firman, una de las cuales ejerce un</w:t>
      </w:r>
    </w:p>
    <w:p>
      <w:pPr>
        <w:spacing w:after="140" w:line="276"/>
      </w:pPr>
      <w:r>
        <w:rPr>
          <w:rFonts w:ascii="Calibri" w:cs="Calibri" w:eastAsia="Calibri" w:hAnsi="Calibri"/>
          <w:sz w:val="21"/>
          <w:szCs w:val="21"/>
        </w:rPr>
        <w:t xml:space="preserve">cargo público en ese Ayuntamiento.</w:t>
      </w:r>
    </w:p>
    <w:p>
      <w:pPr>
        <w:spacing w:after="140" w:line="276"/>
      </w:pPr>
      <w:r>
        <w:rPr>
          <w:rFonts w:ascii="Calibri" w:cs="Calibri" w:eastAsia="Calibri" w:hAnsi="Calibri"/>
          <w:b/>
          <w:bCs/>
          <w:sz w:val="21"/>
          <w:szCs w:val="21"/>
        </w:rPr>
        <w:t xml:space="preserve">Qué falta para que pueda incorporarse a un expediente:</w:t>
      </w:r>
      <w:r>
        <w:rPr>
          <w:rFonts w:ascii="Calibri" w:cs="Calibri" w:eastAsia="Calibri" w:hAnsi="Calibri"/>
          <w:sz w:val="21"/>
          <w:szCs w:val="21"/>
        </w:rPr>
        <w:t xml:space="preserve"> las tres condiciones suspensivas que la</w:t>
      </w:r>
    </w:p>
    <w:p>
      <w:pPr>
        <w:spacing w:after="140" w:line="276"/>
      </w:pPr>
      <w:r>
        <w:rPr>
          <w:rFonts w:ascii="Calibri" w:cs="Calibri" w:eastAsia="Calibri" w:hAnsi="Calibri"/>
          <w:sz w:val="21"/>
          <w:szCs w:val="21"/>
        </w:rPr>
        <w:t xml:space="preserve">propia memoria justificativa enumera (Parte IV, §M11, filas 1 a 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aplicarse en un expediente que supere el umbral del recurso especial</w:t>
      </w:r>
      <w:r>
        <w:rPr>
          <w:rFonts w:ascii="Calibri" w:cs="Calibri" w:eastAsia="Calibri" w:hAnsi="Calibri"/>
          <w:sz w:val="21"/>
          <w:szCs w:val="21"/>
        </w:rPr>
        <w:t xml:space="preserve"> ni citarse</w:t>
      </w:r>
    </w:p>
    <w:p>
      <w:pPr>
        <w:spacing w:after="140" w:line="276"/>
      </w:pPr>
      <w:r>
        <w:rPr>
          <w:rFonts w:ascii="Calibri" w:cs="Calibri" w:eastAsia="Calibri" w:hAnsi="Calibri"/>
          <w:sz w:val="21"/>
          <w:szCs w:val="21"/>
        </w:rPr>
        <w:t xml:space="preserve">como modelo aprobado.</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ejecutar las correcciones de prioridad P1 del expediente piloto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tres personas, cada una desde su oficio, con el Ayuntamiento de</w:t>
      </w:r>
    </w:p>
    <w:p>
      <w:pPr>
        <w:spacing w:after="140" w:line="276"/>
      </w:pPr>
      <w:r>
        <w:rPr>
          <w:rFonts w:ascii="Calibri" w:cs="Calibri" w:eastAsia="Calibri" w:hAnsi="Calibri"/>
          <w:sz w:val="21"/>
          <w:szCs w:val="21"/>
        </w:rPr>
        <w:t xml:space="preserve">Pozuelo de Alarcón como banco de pruebas real.</w:t>
      </w:r>
    </w:p>
    <w:p>
      <w:pPr>
        <w:spacing w:after="140" w:line="276"/>
      </w:pPr>
      <w:hyperlink w:history="1" r:id="rIdywjxpzvqtzvwpxk8enrjp">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llevarlo a los</w:t>
      </w:r>
    </w:p>
    <w:p>
      <w:pPr>
        <w:spacing w:after="140" w:line="276"/>
      </w:pPr>
      <w:r>
        <w:rPr>
          <w:rFonts w:ascii="Calibri" w:cs="Calibri" w:eastAsia="Calibri" w:hAnsi="Calibri"/>
          <w:sz w:val="21"/>
          <w:szCs w:val="21"/>
        </w:rPr>
        <w:t xml:space="preserve">servicios de contratación y jurídicos de su propio ayuntamiento, aguantar sus objeciones sin</w:t>
      </w:r>
    </w:p>
    <w:p>
      <w:pPr>
        <w:spacing w:after="140" w:line="276"/>
      </w:pPr>
      <w:r>
        <w:rPr>
          <w:rFonts w:ascii="Calibri" w:cs="Calibri" w:eastAsia="Calibri" w:hAnsi="Calibri"/>
          <w:sz w:val="21"/>
          <w:szCs w:val="21"/>
        </w:rPr>
        <w:t xml:space="preserve">defenderse, y traerlas de vuelta enteras. La versión que se publica existe porque ella hizo eso.</w:t>
      </w:r>
    </w:p>
    <w:p>
      <w:pPr>
        <w:spacing w:after="140" w:line="276"/>
      </w:pPr>
      <w:hyperlink w:history="1" r:id="rIdvrsergk1cwxsbyntfua0n">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g-pt0sicsp1p5hw3vrcid">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El área de contratación del Ayuntamiento de Pozuelo de Alarcón</w:t>
      </w:r>
      <w:r>
        <w:rPr>
          <w:rFonts w:ascii="Calibri" w:cs="Calibri" w:eastAsia="Calibri" w:hAnsi="Calibri"/>
          <w:sz w:val="21"/>
          <w:szCs w:val="21"/>
        </w:rPr>
        <w:t xml:space="preserve"> no figura como autora y sin</w:t>
      </w:r>
    </w:p>
    <w:p>
      <w:pPr>
        <w:spacing w:after="140" w:line="276"/>
      </w:pPr>
      <w:r>
        <w:rPr>
          <w:rFonts w:ascii="Calibri" w:cs="Calibri" w:eastAsia="Calibri" w:hAnsi="Calibri"/>
          <w:sz w:val="21"/>
          <w:szCs w:val="21"/>
        </w:rPr>
        <w:t xml:space="preserve">embargo ha determinado la forma del documento más que ninguna otra aportación. Sus tres objeciones</w:t>
      </w:r>
    </w:p>
    <w:p>
      <w:pPr>
        <w:spacing w:after="140" w:line="276"/>
      </w:pPr>
      <w:r>
        <w:rPr>
          <w:rFonts w:ascii="Calibri" w:cs="Calibri" w:eastAsia="Calibri" w:hAnsi="Calibri"/>
          <w:sz w:val="21"/>
          <w:szCs w:val="21"/>
        </w:rPr>
        <w:t xml:space="preserve">—que unas cláusulas que no nacen de una necesidad demandada son artificiosas al contrato, que el</w:t>
      </w:r>
    </w:p>
    <w:p>
      <w:pPr>
        <w:spacing w:after="140" w:line="276"/>
      </w:pPr>
      <w:r>
        <w:rPr>
          <w:rFonts w:ascii="Calibri" w:cs="Calibri" w:eastAsia="Calibri" w:hAnsi="Calibri"/>
          <w:sz w:val="21"/>
          <w:szCs w:val="21"/>
        </w:rPr>
        <w:t xml:space="preserve">grado de abstracción era demasiado alto, y que había que probarlo en un contrato real antes de</w:t>
      </w:r>
    </w:p>
    <w:p>
      <w:pPr>
        <w:spacing w:after="140" w:line="276"/>
      </w:pPr>
      <w:r>
        <w:rPr>
          <w:rFonts w:ascii="Calibri" w:cs="Calibri" w:eastAsia="Calibri" w:hAnsi="Calibri"/>
          <w:sz w:val="21"/>
          <w:szCs w:val="21"/>
        </w:rPr>
        <w:t xml:space="preserve">generalizarlo— están respondidas en el cuerpo del texto y son la razón de ser de esta versión.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del Ayuntamiento de Pozuelo de Alarcón.</w:t>
      </w:r>
      <w:r>
        <w:rPr>
          <w:rFonts w:ascii="Calibri" w:cs="Calibri" w:eastAsia="Calibri" w:hAnsi="Calibri"/>
          <w:sz w:val="21"/>
          <w:szCs w:val="21"/>
        </w:rPr>
        <w:t xml:space="preserve"> No ha sido</w:t>
      </w:r>
    </w:p>
    <w:p>
      <w:pPr>
        <w:spacing w:after="140" w:line="276"/>
      </w:pPr>
      <w:r>
        <w:rPr>
          <w:rFonts w:ascii="Calibri" w:cs="Calibri" w:eastAsia="Calibri" w:hAnsi="Calibri"/>
          <w:sz w:val="21"/>
          <w:szCs w:val="21"/>
        </w:rPr>
        <w:t xml:space="preserve">aprobado por ningún órgano municipal, no vincula al Ayuntamiento, no forma parte de ningún expediente</w:t>
      </w:r>
    </w:p>
    <w:p>
      <w:pPr>
        <w:spacing w:after="140" w:line="276"/>
      </w:pPr>
      <w:r>
        <w:rPr>
          <w:rFonts w:ascii="Calibri" w:cs="Calibri" w:eastAsia="Calibri" w:hAnsi="Calibri"/>
          <w:sz w:val="21"/>
          <w:szCs w:val="21"/>
        </w:rPr>
        <w:t xml:space="preserve">y no expresa la posición de la Corporación. Es un trabajo profesional de las tres personas que lo</w:t>
      </w:r>
    </w:p>
    <w:p>
      <w:pPr>
        <w:spacing w:after="140" w:line="276"/>
      </w:pPr>
      <w:r>
        <w:rPr>
          <w:rFonts w:ascii="Calibri" w:cs="Calibri" w:eastAsia="Calibri" w:hAnsi="Calibri"/>
          <w:sz w:val="21"/>
          <w:szCs w:val="21"/>
        </w:rPr>
        <w:t xml:space="preserve">firman, una de las cuales ejerce un cargo público en ese Ayuntamiento.</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se ha construido sobre un caso real de</w:t>
      </w:r>
    </w:p>
    <w:p>
      <w:pPr>
        <w:spacing w:after="140" w:line="276"/>
      </w:pPr>
      <w:r>
        <w:rPr>
          <w:rFonts w:ascii="Calibri" w:cs="Calibri" w:eastAsia="Calibri" w:hAnsi="Calibri"/>
          <w:sz w:val="21"/>
          <w:szCs w:val="21"/>
        </w:rPr>
        <w:t xml:space="preserve">ese Ayuntamiento, se ha sometido al criterio de su área de contratación, y las objeciones que esa área</w:t>
      </w:r>
    </w:p>
    <w:p>
      <w:pPr>
        <w:spacing w:after="140" w:line="276"/>
      </w:pPr>
      <w:r>
        <w:rPr>
          <w:rFonts w:ascii="Calibri" w:cs="Calibri" w:eastAsia="Calibri" w:hAnsi="Calibri"/>
          <w:sz w:val="21"/>
          <w:szCs w:val="21"/>
        </w:rPr>
        <w:t xml:space="preserve">formuló —que constan literalmente en el texto— son las que han dado forma a esta versión. Ese contraste</w:t>
      </w:r>
    </w:p>
    <w:p>
      <w:pPr>
        <w:spacing w:after="140" w:line="276"/>
      </w:pPr>
      <w:r>
        <w:rPr>
          <w:rFonts w:ascii="Calibri" w:cs="Calibri" w:eastAsia="Calibri" w:hAnsi="Calibri"/>
          <w:sz w:val="21"/>
          <w:szCs w:val="21"/>
        </w:rPr>
        <w:t xml:space="preserve">con quien tiene que redactar y fiscalizar de verdad es lo que distingue este documento de un</w:t>
      </w:r>
    </w:p>
    <w:p>
      <w:pPr>
        <w:spacing w:after="140" w:line="276"/>
      </w:pPr>
      <w:r>
        <w:rPr>
          <w:rFonts w:ascii="Calibri" w:cs="Calibri" w:eastAsia="Calibri" w:hAnsi="Calibri"/>
          <w:sz w:val="21"/>
          <w:szCs w:val="21"/>
        </w:rPr>
        <w:t xml:space="preserve">clausulado de despacho.</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 la objeción del área de contratación, que estaba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del abogado de un licitador excluido, de un interventor, de un técnico de contratación,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prisa, que empiece por la Parte 0, que está escrita para leerse en veinte minutos y para</w:t>
      </w:r>
    </w:p>
    <w:p>
      <w:pPr>
        <w:spacing w:after="140" w:line="276"/>
      </w:pPr>
      <w:r>
        <w:rPr>
          <w:rFonts w:ascii="Calibri" w:cs="Calibri" w:eastAsia="Calibri" w:hAnsi="Calibri"/>
          <w:sz w:val="21"/>
          <w:szCs w:val="21"/>
        </w:rPr>
        <w:t xml:space="preserve">entenderse sin conocimientos previos de contratación ni de tecnología. Quien vaya a redactar un</w:t>
      </w:r>
    </w:p>
    <w:p>
      <w:pPr>
        <w:spacing w:after="140" w:line="276"/>
      </w:pPr>
      <w:r>
        <w:rPr>
          <w:rFonts w:ascii="Calibri" w:cs="Calibri" w:eastAsia="Calibri" w:hAnsi="Calibri"/>
          <w:sz w:val="21"/>
          <w:szCs w:val="21"/>
        </w:rPr>
        <w:t xml:space="preserve">pliego, que lea además la Parte V y rellene la ficha de aplicabilidad 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II y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Dos siglas se usan desde la primera tabla: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y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siete partes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que no cubre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dieciocho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numeran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 cláusula</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por el que el área de contratación municipal escribió que las cláusulas «nacen a partir de unas necesidades que no se demandan por ninguno de los gestores y si no es así no dejan de ser algo artificioso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funcionarios de habilitación nacional—,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2mwzitwgm97u3negcfjpp">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la respuesta a la segunda queja del área de contratación municipal: que el grado de abstracción del documento anterior era «muy elevado».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Hay pliegos ya redactados que citan los códigos de la versión 2.0, y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sz w:val="21"/>
          <w:szCs w:val="21"/>
        </w:rPr>
        <w:t xml:space="preserve">Tres reglas del catálogo actúan directamente sobre la causa de que en estos contratos se presente casi siempre el mismo: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contrato de contabilidad y patrimonio se analiza en la Parte VI; sus cifras son otras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*Base del cálculo: </w:t>
      </w:r>
      <w:hyperlink w:history="1" r:id="rIdpmdtukyltognxhodbucih">
        <w:r>
          <w:rPr>
            <w:rFonts w:ascii="Calibri" w:cs="Calibri" w:eastAsia="Calibri" w:hAnsi="Calibri"/>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sz w:val="21"/>
          <w:szCs w:val="21"/>
        </w:rPr>
        <w:t xml:space="preserve"> («el límite del 20 por 100 del precio inicial previsto en el artículo 204 de la LCSP […] ha de calcularse sobre el precio de adjudicación del contrato»), y </w:t>
      </w:r>
      <w:hyperlink w:history="1" r:id="rIdvuw2wh5jd2edtrzcqchat">
        <w:r>
          <w:rPr>
            <w:rFonts w:ascii="Calibri" w:cs="Calibri" w:eastAsia="Calibri" w:hAnsi="Calibri"/>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sz w:val="21"/>
          <w:szCs w:val="21"/>
        </w:rPr>
        <w:t xml:space="preserve"> («en el cálculo del VEC el porcentaje máximo de modificación debe aplicarse sobre el PBL, sin IVA, no sobre este más las prórrogas previstas»).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recurso especial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(DOUE de 24 de julio de 2026; referencia BOE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El área de contratación municipal advirtió que «son pocos los contratos en los que se haga un seguimiento real y este se basa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dieciocho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contabilidad no puede firmar la ficha de la seguridad ni la de la Intervención,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dieciocho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los dieciocho documentos con su tramo, quién los firma y cuáles se publican, y cinco de ellos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que este catálogo NO cubre</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Aquí se dice, caso por caso, por qué no cabe y qué se puede hacer en su lugar. </w:t>
      </w:r>
      <w:r>
        <w:rPr>
          <w:rFonts w:ascii="Calibri" w:cs="Calibri" w:eastAsia="Calibri" w:hAnsi="Calibri"/>
          <w:b/>
          <w:bCs/>
          <w:sz w:val="21"/>
          <w:szCs w:val="21"/>
        </w:rPr>
        <w:t xml:space="preserve">La regla, con su lista cerrada, está en la Parte I §2.4 y en la Parte V, V.7; este apartado la explica y no la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La lista es cerrada y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son seis elementos que caben en el encargo o en la aceptación de la oferta, y ninguno más. No se reproduce aquí para que no haya dos versiones de la misma lista. Además, y fuera de ella,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gwittahlkpte-60upgrxp">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dpvsej8jfjdeenjzxijdh">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hv0-we0q4bmerecmx4sq8">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única objeción que bloquea la aprobación: </w:t>
      </w:r>
      <w:r>
        <w:rPr>
          <w:rFonts w:ascii="Calibri" w:cs="Calibri" w:eastAsia="Calibri" w:hAnsi="Calibri"/>
          <w:i/>
          <w:iCs/>
          <w:sz w:val="21"/>
          <w:szCs w:val="21"/>
        </w:rPr>
        <w:t xml:space="preserve">«[las cláusulas] nacen a partir de unas necesidades que no se demandan por ninguno de los gestores y si no es así no dejan de ser algo artificioso al contrato»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 objeción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 contabilidad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bj6bj4je7f9aztldgxao5">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contabilidad no puede firmar la ficha del ENS ni la del acceso de la Intervención: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vgbetl4lb_fz4iwx4barn">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sfzehnius7x34iw5wjoj4">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r83httptz0na3op5hbe91">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mvg3xri9zjs6odanr05sx">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ltlozcgzxun8dlwjo_t8t">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eg7v_r3dbaezf7_wqvjdq">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3vd1giw8ekcvj9yyt4aml">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bd_12ffu0zbkimmg1udyg">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ooydv-lzmdpsckdeyk6oa">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xly2uxwanq2rbvo5a1vqs">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DT-4·v3, DT-7·v3 y DT-9·v3 exigen cada una un apéndice distinto del PPT.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Las cláusulas DT-4·v3, DT-7·v3 y DT-9·v3 exigen cada una un apéndice distinto, que se transcribe físicamente dentro del PPT y al que remiten como «Apéndice [núm.]».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1kewvywv-cyosn4anm0sr">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yn0imtvjrft6r-xr7yji9">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la Intervención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q5h7tc2xb2-xhh1oo7lv2">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atendiendo a la relación directa, clara y proporcional con el objeto del contrato exigida por el artículo 116.4.e) LCSP. No se extiende a otras aplicaciones municipales, ni a prestaciones ajenas al objeto de este contrato.</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las funciones de consulta correspondientes a los módulos del Apéndice [núm.] y, cuando el Apéndice lo indique, las funciones de escritura que en él se relacionen.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2, con esta estructura mínima: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Apéndice del apartado 2 se transcribe físicamente dentro del PPT.</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y exigir la acreditación al licitador propuesto como adjudicatario en el trámite del artículo 150.2 LCSP.</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contabilidad,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de contabilidad,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es el que señalaron a la vez el área de contratación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la Intervención)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tlzi8vbi5_w_ia6vtptx1">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todos los corchetes está en el Anexo X.</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lwvph83tzjy1dfmczazz4">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hsxrnvwjb_ofhe8nuonls">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0r2h9opkftnadkns1pxy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p-ujgas7zxprzvcvbedok">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cxfj_mb2jhdnxjz2jlo2g">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c-typkhytb3u2lyjxsyxk">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w3pcdxqfp8uch6a8hgsne">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jjt2hbddbf3av9xpqhuz4">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st6axu17btgpewak-rnse">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karbgd7wx8dc0kheznf81">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importe del contrato, sin superar en ningún caso el 10 por ciento</w:t>
            </w:r>
            <w:r>
              <w:rPr>
                <w:rFonts w:ascii="Georgia" w:cs="Georgia" w:eastAsia="Georgia" w:hAnsi="Georgia"/>
                <w:sz w:val="20"/>
                <w:szCs w:val="20"/>
              </w:rPr>
              <w:t xml:space="preserve">. Se consigna en el cuadro de características y forma parte del presupuesto base de licitación y del valor estimado del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objeción interna: «son pocos los contratos en los que se haga un seguimiento real y este se basa exclusivamente en el control del gasto, ni eficiencia, ni eficacia».)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28–48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liberar el depósito de código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no pública en un sistema de inteligencia artificial no autorizado.</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rzolrraig8lx8fjitdevg">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o la negativa a liberarlo concurriendo un supuesto tasado de liberación, o la entrega de material incompleto o no verificable no subsanada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no pública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contabilidad y patrimonio municipal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llevar la contabilidad del Ayuntamiento; la interfaz es una capacidad accesoria y valiosa, pero accesoria. Resolver por ella deja al Ayuntamiento sin contabilidad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 mera tenencia de certificaciones que acrediten sistemas de gestión de la empresa; la experiencia previa del licitador; ni la disponibilidad, a la fecha de finalización del plazo de presentación de ofertas, de instalaciones, desarrollos, productos o infraestructuras anteriores a la licitación.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de servicios de mantenimiento, evolución y soporte de la aplicación de contabilidad y patrimonio. </w:t>
      </w:r>
      <w:r>
        <w:rPr>
          <w:rFonts w:ascii="Calibri" w:cs="Calibri" w:eastAsia="Calibri" w:hAnsi="Calibri"/>
          <w:b/>
          <w:bCs/>
          <w:sz w:val="21"/>
          <w:szCs w:val="21"/>
        </w:rPr>
        <w:t xml:space="preserve">Es el mismo contrato de ejemplo que emplea la aplicación piloto de la Parte VI, con sus mismas cifras</w:t>
      </w:r>
      <w:r>
        <w:rPr>
          <w:rFonts w:ascii="Calibri" w:cs="Calibri" w:eastAsia="Calibri" w:hAnsi="Calibri"/>
          <w:sz w:val="21"/>
          <w:szCs w:val="21"/>
        </w:rPr>
        <w:t xml:space="preserve">, para que no existan dos baremos modelo distintos para el mismo objeto: presupuesto base de licitación 240.000 euros (IVA excluido) para dos años, a razón de 120.000 euros anuales; prórroga prevista de dos años por 240.000 euros; bolsa de servicios evolutivos de 24.000 euros;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acreditada</w:t>
                  </w:r>
                  <w:r>
                    <w:rPr>
                      <w:rFonts w:ascii="Calibri" w:cs="Calibri" w:eastAsia="Calibri" w:hAnsi="Calibri"/>
                      <w:b w:val="false"/>
                      <w:bCs w:val="false"/>
                      <w:sz w:val="18"/>
                      <w:szCs w:val="18"/>
                    </w:rPr>
                    <w:t xml:space="preserve"> sobre la relación cerrada de requisitos del pliego de prescripciones técnicas, contando únicamente los requisitos identificados como «valorables» en dicha relación. Los requisitos identificados como «mínimos obligatorios» no puntúan. Umbrales publicados en 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la matriz de requisitos del Anexo [ ] de este pliego, verificable conforme a la cláusula [ADM-9]; la declaración se presenta en el sobre de criterios sujetos a juicio de valor (cláusula [ADM-9], apartado 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 los servicios de Intervención, Tesorería y Contabilidad,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del Anexo de Exigencias Tecnológicas Determinadas incorporado a este contrato, contando únicamente las funciones y conjuntos de datos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verificable conforme a la cláusula [ADM-9] y presentada en el sobre de criterios sujetos a juicio de valor (cláusula [ADM-9], apartado 2); el alcance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pliego de prescripciones técnicas, contando únicamente los que excedan del mínimo obligatorio.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verificable conforme a la cláusula [ADM-9] y presentada en el sobre de criterios sujetos a juicio de valor (cláusula [ADM-9], apartado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Tres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El criterio B refleja indirectamente la disponibilidad previa</w:t>
      </w:r>
      <w:r>
        <w:rPr>
          <w:rFonts w:ascii="Calibri" w:cs="Calibri" w:eastAsia="Calibri" w:hAnsi="Calibri"/>
          <w:sz w:val="21"/>
          <w:szCs w:val="21"/>
        </w:rPr>
        <w:t xml:space="preserve">, y conviene decirlo por escrito en lugar de negarlo: quien ya tiene la interfaz puede ofertar el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[6] meses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Lo que se valora es una cualidad de la prestación (cuándo estará disponible para el Ayuntamiento), no una característica de la empresa. Esta motivación se reproduce en la ficha del criterio B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(verificación mediante demostración funcional).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contabilidad sin puntuar la contabilidad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de los componentes de terceros, y </w:t>
            </w:r>
            <w:r>
              <w:rPr>
                <w:rFonts w:ascii="Georgia" w:cs="Georgia" w:eastAsia="Georgia" w:hAnsi="Georgia"/>
                <w:b/>
                <w:bCs/>
                <w:sz w:val="20"/>
                <w:szCs w:val="20"/>
              </w:rPr>
              <w:t xml:space="preserve">como mínimo, aunque este pliego no disponga otra cosa</w:t>
            </w:r>
            <w:r>
              <w:rPr>
                <w:rFonts w:ascii="Georgia" w:cs="Georgia" w:eastAsia="Georgia" w:hAnsi="Georgia"/>
                <w:sz w:val="20"/>
                <w:szCs w:val="20"/>
              </w:rPr>
              <w:t xml:space="preserve">, el Ayuntamiento ostentará una licencia de uso no exclusiva, sin límite de personas usuarias ni de instalaciones, para todos los fines propios de sus competencias, durante la vigencia del contrato, sus prórrogas y el periodo de reversión, y </w:t>
            </w:r>
            <w:r>
              <w:rPr>
                <w:rFonts w:ascii="Georgia" w:cs="Georgia" w:eastAsia="Georgia" w:hAnsi="Georgia"/>
                <w:b/>
                <w:bCs/>
                <w:sz w:val="20"/>
                <w:szCs w:val="20"/>
              </w:rPr>
              <w:t xml:space="preserve">transferible a otras entidades del sector público</w:t>
            </w:r>
            <w:r>
              <w:rPr>
                <w:rFonts w:ascii="Georgia" w:cs="Georgia" w:eastAsia="Georgia" w:hAnsi="Georgia"/>
                <w:sz w:val="20"/>
                <w:szCs w:val="20"/>
              </w:rPr>
              <w:t xml:space="preserve"> a los solos efectos de los artículos 157 y 158 de la Ley 40/2015.</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w:t>
      </w:r>
      <w:r>
        <w:rPr>
          <w:rFonts w:ascii="Calibri" w:cs="Calibri" w:eastAsia="Calibri" w:hAnsi="Calibri"/>
          <w:sz w:val="21"/>
          <w:szCs w:val="21"/>
        </w:rPr>
        <w:t xml:space="preserve"> sobre el producto base, el Ayuntamiento no puede poner la aplicación a disposición de otra Administración que se la pida y, por tanto, no puede cumplir el art. 157.1 de la Ley 40/2015, que obliga a hacerlo respecto de las aplicaciones «de cuyos derechos de propiedad intelectual sean titulares». El art. 99 TRLPI presume la cesión de uso no exclusiva e intransferible: si el pliego calla, el Ayuntamiento no puede ceder.</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en la sesión se puntuarán con cero en el subcriterio correspondiente.</w:t>
            </w:r>
          </w:p>
          <w:p>
            <w:pPr>
              <w:spacing w:after="100" w:line="264"/>
            </w:pPr>
            <w:r>
              <w:rPr>
                <w:rFonts w:ascii="Georgia" w:cs="Georgia" w:eastAsia="Georgia" w:hAnsi="Georgia"/>
                <w:sz w:val="20"/>
                <w:szCs w:val="20"/>
              </w:rPr>
              <w:t xml:space="preserve">Las declaraciones del licitador sobre los elementos de la relación cerrada que hayan de verificarse en la sesión —matriz de requisitos funcionales, relación de funciones expuestas por la interfaz y relación de procesos automatizados— </w:t>
            </w:r>
            <w:r>
              <w:rPr>
                <w:rFonts w:ascii="Georgia" w:cs="Georgia" w:eastAsia="Georgia" w:hAnsi="Georgia"/>
                <w:b/>
                <w:bCs/>
                <w:sz w:val="20"/>
                <w:szCs w:val="20"/>
              </w:rPr>
              <w:t xml:space="preserve">se presentarán en el sobre de criterios sujetos a juicio de valor, aunque el criterio que las valore sea evaluable mediante la mera aplicación de fórmulas</w:t>
            </w:r>
            <w:r>
              <w:rPr>
                <w:rFonts w:ascii="Georgia" w:cs="Georgia" w:eastAsia="Georgia" w:hAnsi="Georgia"/>
                <w:sz w:val="20"/>
                <w:szCs w:val="20"/>
              </w:rPr>
              <w:t xml:space="preserve">. En caso contrario, esta cláusula no se aplica sobre ellas.</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No se admite documentación adicional aportada durante la sesión ni con posterioridad.</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Con cinco licitadores, entre 19 y 24 horas por expediente.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mención «verificable conforme a la cláusula [ADM-9]» en la columna de medios de comprobación del baremo de ADM-7·v3, la regla de presentación en el sobre de juicio de valor del apartado 2, la nota del criterio D sobre confirmación o retirada de puntos, y la mención de la demostración en el Anexo VII (declaración responsable).</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obligaciones del contratista en materia de seguimiento.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w:t>
      </w:r>
      <w:r>
        <w:rPr>
          <w:rFonts w:ascii="Calibri" w:cs="Calibri" w:eastAsia="Calibri" w:hAnsi="Calibri"/>
          <w:sz w:val="21"/>
          <w:szCs w:val="21"/>
        </w:rPr>
        <w:t xml:space="preserve">: la falta de actualización documental de un depósito vigente no supera el juicio comparativo de perjuicios de ADM-6·v3, apartado 4.d).</w:t>
      </w:r>
    </w:p>
    <w:p>
      <w:pPr>
        <w:pStyle w:val="ListParagraph"/>
        <w:numPr>
          <w:ilvl w:val="0"/>
          <w:numId w:val="1"/>
        </w:numPr>
        <w:spacing w:after="70" w:line="268"/>
      </w:pPr>
      <w:r>
        <w:rPr>
          <w:rFonts w:ascii="Calibri" w:cs="Calibri" w:eastAsia="Calibri" w:hAnsi="Calibri"/>
          <w:b/>
          <w:bCs/>
          <w:sz w:val="21"/>
          <w:szCs w:val="21"/>
        </w:rPr>
        <w:t xml:space="preserve">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ADM-6·v3, bloque B —negativa a constituir el depósito o el plan equivalente, negativa a liberarlo y entrega de material incompleto o no verificable—, y no respecto de ningún otro apartado de esta cláusula.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con el alcance esencial que resulta de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del artículo 202.1 de la LCSP, está vinculada al objeto del contrato en el sentido del artículo 145 de la LCSP —por referirse a la ejecución y a la fase de explotación de su ciclo de vida— y tiene el carácter de obligación contractual esencial a los efectos del artículo 211.1.f) de la LCSP, en los términos de la cláusula [ADM-6], bloque B.</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la declaró por escrito el propio órgano municipal competente en materia de contratación, en su comentario de 18 de junio de 2026 al clausulado de la versión 2.0. </w:t>
      </w:r>
      <w:r>
        <w:rPr>
          <w:rFonts w:ascii="Calibri" w:cs="Calibri" w:eastAsia="Calibri" w:hAnsi="Calibri"/>
          <w:b/>
          <w:bCs/>
          <w:sz w:val="21"/>
          <w:szCs w:val="21"/>
        </w:rPr>
        <w:t xml:space="preserve">Ese comentario no es un informe</w:t>
      </w:r>
      <w:r>
        <w:rPr>
          <w:rFonts w:ascii="Calibri" w:cs="Calibri" w:eastAsia="Calibri" w:hAnsi="Calibri"/>
          <w:sz w:val="21"/>
          <w:szCs w:val="21"/>
        </w:rPr>
        <w:t xml:space="preserve">: es un comentario incorporado al final de un documento de trabajo. Se cita como lo que es,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 «Siendo este seguimiento parte de las obligaciones de control de la Intervención no podemos pedir que se implementen estos instrumentos; lo que sí entraría dentro de nuestro ámbito sería la explotación de los datos al mismo rango que el gestor, al objeto de cumplir con nuestras obligaciones legales». Antes de aprobar el catálogo debe recabarse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sustituya a ese comentario; mientras no exista, la memoria no puede referirse a él como informe.</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19-24 h por expediente con 5 licitadores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El problema real, dicho sin rodeos</w:t>
      </w:r>
    </w:p>
    <w:p>
      <w:pPr>
        <w:spacing w:after="140" w:line="276"/>
      </w:pPr>
      <w:r>
        <w:rPr>
          <w:rFonts w:ascii="Calibri" w:cs="Calibri" w:eastAsia="Calibri" w:hAnsi="Calibri"/>
          <w:sz w:val="21"/>
          <w:szCs w:val="21"/>
        </w:rPr>
        <w:t xml:space="preserve">La objeción más seria que ha recibido este catálogo no viene de un licitador. Viene de dentro. En el comentario que el área de contratación municipal incorporó al final del clausulado de junio de 2026 se escribió:</w:t>
      </w:r>
    </w:p>
    <w:p>
      <w:pPr>
        <w:pBdr>
          <w:left w:val="single" w:color="BFBFBF" w:sz="12" w:space="8"/>
        </w:pBdr>
        <w:spacing w:after="140" w:line="264"/>
        <w:ind w:left="400"/>
      </w:pPr>
      <w:r>
        <w:rPr>
          <w:rFonts w:ascii="Georgia" w:cs="Georgia" w:eastAsia="Georgia" w:hAnsi="Georgia"/>
          <w:i/>
          <w:iCs/>
          <w:color w:val="595959"/>
          <w:sz w:val="20"/>
          <w:szCs w:val="20"/>
        </w:rPr>
        <w:t xml:space="preserve">«La mayor de las pegas que veo para poder aplicar estas cláusulas es que nacen a partir de unas necesidades que no se demandan por ninguno de los gestores y si no es así no dejan de ser algo artificioso al contrato. Primero siempre surge la necesidad y las cláusulas del contrato es la forma de obligar al contratista para que satisfaga esa necesidad.»</w:t>
      </w:r>
    </w:p>
    <w:p>
      <w:pPr>
        <w:spacing w:after="140" w:line="276"/>
      </w:pPr>
      <w:r>
        <w:rPr>
          <w:rFonts w:ascii="Calibri" w:cs="Calibri" w:eastAsia="Calibri" w:hAnsi="Calibri"/>
          <w:sz w:val="21"/>
          <w:szCs w:val="21"/>
        </w:rPr>
        <w:t xml:space="preserve">Esa objeción no es de oportunidad: es, traducida al lenguaje de la ley, una objeción de art. 116.4.e) LCSP, que exige que la relación entre la necesidad y el objeto del contrato sea </w:t>
      </w:r>
      <w:r>
        <w:rPr>
          <w:rFonts w:ascii="Calibri" w:cs="Calibri" w:eastAsia="Calibri" w:hAnsi="Calibri"/>
          <w:i/>
          <w:iCs/>
          <w:sz w:val="21"/>
          <w:szCs w:val="21"/>
        </w:rPr>
        <w:t xml:space="preserve">«directa, clara y proporcional»</w:t>
      </w:r>
      <w:r>
        <w:rPr>
          <w:rFonts w:ascii="Calibri" w:cs="Calibri" w:eastAsia="Calibri" w:hAnsi="Calibri"/>
          <w:sz w:val="21"/>
          <w:szCs w:val="21"/>
        </w:rPr>
        <w:t xml:space="preserve">. Es también, exactamente, el motivo por el que un recurrente pediría la anulación de un pliego. Por eso se responde aquí, y se responde con instrumentos, no con retórica.</w:t>
      </w:r>
    </w:p>
    <w:p>
      <w:pPr>
        <w:spacing w:after="140" w:line="276"/>
      </w:pPr>
      <w:r>
        <w:rPr>
          <w:rFonts w:ascii="Calibri" w:cs="Calibri" w:eastAsia="Calibri" w:hAnsi="Calibri"/>
          <w:sz w:val="21"/>
          <w:szCs w:val="21"/>
        </w:rPr>
        <w:t xml:space="preserve">Ese texto </w:t>
      </w: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y así se cita en todo el catálogo: entero, con su naturaleza expresada y con la parte que juega en contra, en el </w:t>
      </w:r>
      <w:r>
        <w:rPr>
          <w:rFonts w:ascii="Calibri" w:cs="Calibri" w:eastAsia="Calibri" w:hAnsi="Calibri"/>
          <w:b/>
          <w:bCs/>
          <w:sz w:val="21"/>
          <w:szCs w:val="21"/>
        </w:rPr>
        <w:t xml:space="preserve">§M1.5</w:t>
      </w:r>
      <w:r>
        <w:rPr>
          <w:rFonts w:ascii="Calibri" w:cs="Calibri" w:eastAsia="Calibri" w:hAnsi="Calibri"/>
          <w:sz w:val="21"/>
          <w:szCs w:val="21"/>
        </w:rPr>
        <w:t xml:space="preserve">, que es la única sede de su cita completa. Las demás partes remiten a ella.</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el comentario de contratación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 sistema de contabilidad exponga una interfaz de acceso programático para agentes de IA. Y el gestor de contabilidad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El comentario del área de contratación de 18 de junio de 2026: qué es y cómo se cita</w:t>
      </w:r>
    </w:p>
    <w:p>
      <w:pPr>
        <w:spacing w:after="140" w:line="276"/>
      </w:pP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Este catálogo no puede citarlo como «informe de la Intervención» ni como «informe del área de contratación», ni atribuirlo a dos órganos distintos en dos apartados distintos. Se cita como lo que es, con su naturaleza expresada,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w:t>
      </w:r>
    </w:p>
    <w:p>
      <w:pPr>
        <w:pBdr>
          <w:left w:val="single" w:color="BFBFBF" w:sz="12" w:space="8"/>
        </w:pBdr>
        <w:spacing w:after="140" w:line="264"/>
        <w:ind w:left="400"/>
      </w:pPr>
      <w:r>
        <w:rPr>
          <w:rFonts w:ascii="Georgia" w:cs="Georgia" w:eastAsia="Georgia" w:hAnsi="Georgia"/>
          <w:i/>
          <w:iCs/>
          <w:color w:val="595959"/>
          <w:sz w:val="20"/>
          <w:szCs w:val="20"/>
        </w:rPr>
        <w:t xml:space="preserve">«Son pocos los contratos en los que se haga un seguimiento real y este se basa exclusivamente en el control del gasto, ni eficiencia, ni eficacia. Siendo este seguimiento parte de las obligaciones de control de la Intervención </w:t>
      </w:r>
      <w:r>
        <w:rPr>
          <w:rFonts w:ascii="Georgia" w:cs="Georgia" w:eastAsia="Georgia" w:hAnsi="Georgia"/>
          <w:b/>
          <w:bCs/>
          <w:i/>
          <w:iCs/>
          <w:color w:val="595959"/>
          <w:sz w:val="20"/>
          <w:szCs w:val="20"/>
        </w:rPr>
        <w:t xml:space="preserve">no podemos pedir que se implementen estos instrumentos</w:t>
      </w:r>
      <w:r>
        <w:rPr>
          <w:rFonts w:ascii="Georgia" w:cs="Georgia" w:eastAsia="Georgia" w:hAnsi="Georgia"/>
          <w:i/>
          <w:iCs/>
          <w:color w:val="595959"/>
          <w:sz w:val="20"/>
          <w:szCs w:val="20"/>
        </w:rPr>
        <w:t xml:space="preserve">; lo que sí entraría dentro de nuestro ámbito sería la explotación de los datos al mismo rango que el gestor, al objeto de cumplir con nuestras obligaciones legales.»</w:t>
      </w:r>
    </w:p>
    <w:p>
      <w:pPr>
        <w:spacing w:after="140" w:line="276"/>
      </w:pPr>
      <w:r>
        <w:rPr>
          <w:rFonts w:ascii="Calibri" w:cs="Calibri" w:eastAsia="Calibri" w:hAnsi="Calibri"/>
          <w:sz w:val="21"/>
          <w:szCs w:val="21"/>
        </w:rPr>
        <w:t xml:space="preserve">Leído entero dice dos cosas, y las dos se han incorporado: que hay una necesidad real de explotación de datos por el órgano de control (de ahí ADM-12·v3) y que el propio comentarista duda de que corresponda al Ayuntamiento imponer al contratista los instrumentos de seguimiento (de ahí la regla de verificabilidad municipal del §M4.4 y la degradación de ADM-10·v3, que deja de ser fuente autónoma de obligaciones esenciales).</w:t>
      </w:r>
    </w:p>
    <w:p>
      <w:pPr>
        <w:spacing w:after="140" w:line="276"/>
      </w:pPr>
      <w:r>
        <w:rPr>
          <w:rFonts w:ascii="Calibri" w:cs="Calibri" w:eastAsia="Calibri" w:hAnsi="Calibri"/>
          <w:b/>
          <w:bCs/>
          <w:sz w:val="21"/>
          <w:szCs w:val="21"/>
        </w:rPr>
        <w:t xml:space="preserve">Recomendación vinculante para el expediente de aprobación:</w:t>
      </w:r>
      <w:r>
        <w:rPr>
          <w:rFonts w:ascii="Calibri" w:cs="Calibri" w:eastAsia="Calibri" w:hAnsi="Calibri"/>
          <w:sz w:val="21"/>
          <w:szCs w:val="21"/>
        </w:rPr>
        <w:t xml:space="preserve"> antes de publicar este catálogo, solicítese al área de contratación y a la Intervención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y sustitúyase en esta memoria la cita del comentario por la cita del informe. Mientras no exista, la necesidad declarada por el órgano de control se apoya en un comentario de trabajo, y así debe constar.</w:t>
      </w:r>
    </w:p>
    <w:p>
      <w:pPr>
        <w:pStyle w:val="Heading3"/>
        <w:keepNext/>
        <w:spacing w:after="140" w:before="320"/>
      </w:pPr>
      <w:r>
        <w:rPr>
          <w:rFonts w:ascii="Georgia" w:cs="Georgia" w:eastAsia="Georgia" w:hAnsi="Georgia"/>
          <w:b/>
          <w:bCs/>
          <w:color w:val="2F5496"/>
          <w:sz w:val="22"/>
          <w:szCs w:val="22"/>
        </w:rPr>
        <w:t xml:space="preserve">M1.6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identificados en el Anexo V (art. 116.4.e). No se puntúa la tenencia previa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área de contratación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importe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del importe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importe del contrato, nunca superior al 10 %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del área de contratación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la Intervención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del área de contratación y de la Intervención que sustituya al comentario de trabajo de 18/06/2026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del expediente piloto</w:t>
            </w:r>
            <w:r>
              <w:rPr>
                <w:rFonts w:ascii="Calibri" w:cs="Calibri" w:eastAsia="Calibri" w:hAnsi="Calibri"/>
                <w:b w:val="false"/>
                <w:bCs w:val="false"/>
                <w:sz w:val="18"/>
                <w:szCs w:val="18"/>
              </w:rPr>
              <w:t xml:space="preserve"> redactado con el clausulado anterior: si está aprobado, procede rectificación previa a licitar, no simple revisión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dieciocho documentos</w:t>
      </w:r>
      <w:r>
        <w:rPr>
          <w:rFonts w:ascii="Calibri" w:cs="Calibri" w:eastAsia="Calibri" w:hAnsi="Calibri"/>
          <w:sz w:val="21"/>
          <w:szCs w:val="21"/>
        </w:rPr>
        <w:t xml:space="preserve">, no doce. Cinco de ellos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un área de contratación y, además, nadie de contratación puede hacer por su cuenta un estudio de mercado de tecnologías emergentes.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imywdmwyjwaigfogq-69x">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cuatro exigencias siguientes, y sólo ellas. Ésta es la </w:t>
      </w:r>
      <w:r>
        <w:rPr>
          <w:rFonts w:ascii="Calibri" w:cs="Calibri" w:eastAsia="Calibri" w:hAnsi="Calibri"/>
          <w:b/>
          <w:bCs/>
          <w:sz w:val="21"/>
          <w:szCs w:val="21"/>
        </w:rPr>
        <w:t xml:space="preserve">relación cerrada</w:t>
      </w:r>
      <w:r>
        <w:rPr>
          <w:rFonts w:ascii="Calibri" w:cs="Calibri" w:eastAsia="Calibri" w:hAnsi="Calibri"/>
          <w:sz w:val="21"/>
          <w:szCs w:val="21"/>
        </w:rPr>
        <w:t xml:space="preserve"> a la que remite la Parte I, §2.4.a), que la tiene por fuente única; no derivan del catálogo sino de la norma, y por eso caben sin pliego:</w:t>
      </w:r>
    </w:p>
    <w:p>
      <w:pPr>
        <w:pStyle w:val="ListParagraph"/>
        <w:numPr>
          <w:ilvl w:val="0"/>
          <w:numId w:val="2"/>
        </w:numPr>
        <w:spacing w:after="70" w:line="268"/>
      </w:pPr>
      <w:r>
        <w:rPr>
          <w:rFonts w:ascii="Calibri" w:cs="Calibri" w:eastAsia="Calibri" w:hAnsi="Calibri"/>
          <w:sz w:val="21"/>
          <w:szCs w:val="21"/>
        </w:rPr>
        <w:t xml:space="preserve">Sometimiento a la normativa de protección de datos y, cuando haya tratamiento por cuenta del Ayuntamiento, encargo de tratamiento en los términos del art. 28 del Reglamento (UE) 2016/679.</w:t>
      </w:r>
    </w:p>
    <w:p>
      <w:pPr>
        <w:pStyle w:val="ListParagraph"/>
        <w:numPr>
          <w:ilvl w:val="0"/>
          <w:numId w:val="2"/>
        </w:numPr>
        <w:spacing w:after="70" w:line="268"/>
      </w:pPr>
      <w:r>
        <w:rPr>
          <w:rFonts w:ascii="Calibri" w:cs="Calibri" w:eastAsia="Calibri" w:hAnsi="Calibri"/>
          <w:sz w:val="21"/>
          <w:szCs w:val="21"/>
        </w:rPr>
        <w:t xml:space="preserve">Ubicación de los servidores y lugar desde el que se prestan los servicios asociados, cuando haya tratamiento por cuenta del Ayuntamiento.</w:t>
      </w:r>
    </w:p>
    <w:p>
      <w:pPr>
        <w:pStyle w:val="ListParagraph"/>
        <w:numPr>
          <w:ilvl w:val="0"/>
          <w:numId w:val="2"/>
        </w:numPr>
        <w:spacing w:after="70" w:line="268"/>
      </w:pPr>
      <w:r>
        <w:rPr>
          <w:rFonts w:ascii="Calibri" w:cs="Calibri" w:eastAsia="Calibri" w:hAnsi="Calibri"/>
          <w:sz w:val="21"/>
          <w:szCs w:val="21"/>
        </w:rPr>
        <w:t xml:space="preserve">Conformidad con el ENS que corresponda a la categoría del sistema, en los términos del art. 2.3 del RD 311/2022.</w:t>
      </w:r>
    </w:p>
    <w:p>
      <w:pPr>
        <w:pStyle w:val="ListParagraph"/>
        <w:numPr>
          <w:ilvl w:val="0"/>
          <w:numId w:val="2"/>
        </w:numPr>
        <w:spacing w:after="70" w:line="268"/>
      </w:pPr>
      <w:r>
        <w:rPr>
          <w:rFonts w:ascii="Calibri" w:cs="Calibri" w:eastAsia="Calibri" w:hAnsi="Calibri"/>
          <w:sz w:val="21"/>
          <w:szCs w:val="21"/>
        </w:rPr>
        <w:t xml:space="preserve">Entrega de los datos municipales y de su diccionario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La consulta al directorio general de aplicaciones se hace igualmente</w:t>
      </w:r>
      <w:r>
        <w:rPr>
          <w:rFonts w:ascii="Calibri" w:cs="Calibri" w:eastAsia="Calibri" w:hAnsi="Calibri"/>
          <w:sz w:val="21"/>
          <w:szCs w:val="21"/>
        </w:rPr>
        <w:t xml:space="preserve"> si el objeto es una aplicación: el art. 157.3 de la Ley 40/2015 no tiene umbral.</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_cpbikguqwhuyj0th6jsj">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APLICACIÓN PILOTO: EL CONTRATO DE CONTABILIDAD Y PATRIMONIO</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El área de contratación del Ayuntamiento formuló, junto a la objeción principal sobre el origen de la necesidad, una petición concreta: </w:t>
      </w:r>
      <w:r>
        <w:rPr>
          <w:rFonts w:ascii="Calibri" w:cs="Calibri" w:eastAsia="Calibri" w:hAnsi="Calibri"/>
          <w:b/>
          <w:bCs/>
          <w:sz w:val="21"/>
          <w:szCs w:val="21"/>
        </w:rPr>
        <w:t xml:space="preserve">ponerlo a funcionar en un contrato municipal a modo de experimento piloto, por resultar demasiado elevado el grado de abstracción del documento</w:t>
      </w:r>
      <w:r>
        <w:rPr>
          <w:rFonts w:ascii="Calibri" w:cs="Calibri" w:eastAsia="Calibri" w:hAnsi="Calibri"/>
          <w:sz w:val="21"/>
          <w:szCs w:val="21"/>
        </w:rPr>
        <w:t xml:space="preserve">. La petición consta en un comentario interno del área de contratación, sin firma ni fecha de registro, que se reproduce íntegro y con identificación de su naturaleza en la Parte IV, M1.5, único lugar del documento donde se cita completo. Todo uso de ese comentario, aquí y en el resto del documento, se hace por remisión a esa cita.</w:t>
      </w:r>
    </w:p>
    <w:p>
      <w:pPr>
        <w:spacing w:after="140" w:line="276"/>
      </w:pPr>
      <w:r>
        <w:rPr>
          <w:rFonts w:ascii="Calibri" w:cs="Calibri" w:eastAsia="Calibri" w:hAnsi="Calibri"/>
          <w:sz w:val="21"/>
          <w:szCs w:val="21"/>
        </w:rPr>
        <w:t xml:space="preserve">Esta parte es la respuesta. No describe cómo se aplicaría el catálogo: lo aplica a un expediente real, con las casillas marcadas, las cláusulas descartadas con su motivo, la categoría de seguridad razonada, el baremo completo —con el precio dentro— y la lista de documentos que el expediente debe contener. Y termina con lo que ningún documento de este tipo suele incluir: la tabla de lo que hay que rectificar en unos pliegos que ya están escritos.</w:t>
      </w:r>
    </w:p>
    <w:p>
      <w:pPr>
        <w:spacing w:after="140" w:line="276"/>
      </w:pPr>
      <w:r>
        <w:rPr>
          <w:rFonts w:ascii="Calibri" w:cs="Calibri" w:eastAsia="Calibri" w:hAnsi="Calibri"/>
          <w:sz w:val="21"/>
          <w:szCs w:val="21"/>
        </w:rPr>
        <w:t xml:space="preserve">Regla de lectura para otra administración que reutilice el documento (R-5): lo que sigue es un caso, no una plantilla. Lo reutilizable 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 instrumento, baremo, valor estimado, documentos—, no las conclusiones concretas de este contrato, que dependen de sus datos.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Estado real del expediente a la fecha de corte (01/09/2026) y regla de tramitación</w:t>
      </w:r>
    </w:p>
    <w:p>
      <w:pPr>
        <w:spacing w:after="140" w:line="276"/>
      </w:pPr>
      <w:r>
        <w:rPr>
          <w:rFonts w:ascii="Calibri" w:cs="Calibri" w:eastAsia="Calibri" w:hAnsi="Calibri"/>
          <w:sz w:val="21"/>
          <w:szCs w:val="21"/>
        </w:rPr>
        <w:t xml:space="preserve">Hecho que condiciona todo lo demás: </w:t>
      </w:r>
      <w:r>
        <w:rPr>
          <w:rFonts w:ascii="Calibri" w:cs="Calibri" w:eastAsia="Calibri" w:hAnsi="Calibri"/>
          <w:b/>
          <w:bCs/>
          <w:sz w:val="21"/>
          <w:szCs w:val="21"/>
        </w:rPr>
        <w:t xml:space="preserve">las cláusulas de inteligencia artificial del PPT y del PCAP de este contrato se redactaron el 24 de agosto de 2026 con el texto de la versión 2</w:t>
      </w:r>
      <w:r>
        <w:rPr>
          <w:rFonts w:ascii="Calibri" w:cs="Calibri" w:eastAsia="Calibri" w:hAnsi="Calibri"/>
          <w:sz w:val="21"/>
          <w:szCs w:val="21"/>
        </w:rPr>
        <w:t xml:space="preserve">, es decir, con los defectos que la versión 3 corrige. Así consta en la documentación de preparación del proyecto.</w:t>
      </w:r>
    </w:p>
    <w:p>
      <w:pPr>
        <w:spacing w:after="140" w:line="276"/>
      </w:pPr>
      <w:r>
        <w:rPr>
          <w:rFonts w:ascii="Calibri" w:cs="Calibri" w:eastAsia="Calibri" w:hAnsi="Calibri"/>
          <w:b/>
          <w:bCs/>
          <w:sz w:val="21"/>
          <w:szCs w:val="21"/>
        </w:rPr>
        <w:t xml:space="preserve">Identificación del expediente.</w:t>
      </w:r>
      <w:r>
        <w:rPr>
          <w:rFonts w:ascii="Calibri" w:cs="Calibri" w:eastAsia="Calibri" w:hAnsi="Calibri"/>
          <w:sz w:val="21"/>
          <w:szCs w:val="21"/>
        </w:rPr>
        <w:t xml:space="preserve"> A la fecha de corte, el expediente </w:t>
      </w:r>
      <w:r>
        <w:rPr>
          <w:rFonts w:ascii="Calibri" w:cs="Calibri" w:eastAsia="Calibri" w:hAnsi="Calibri"/>
          <w:b/>
          <w:bCs/>
          <w:sz w:val="21"/>
          <w:szCs w:val="21"/>
        </w:rPr>
        <w:t xml:space="preserve">no ha sido publicado en el perfil de contratante</w:t>
      </w:r>
      <w:r>
        <w:rPr>
          <w:rFonts w:ascii="Calibri" w:cs="Calibri" w:eastAsia="Calibri" w:hAnsi="Calibri"/>
          <w:sz w:val="21"/>
          <w:szCs w:val="21"/>
        </w:rPr>
        <w:t xml:space="preserve"> y sus datos identificativos no son información pública. Este apartado se completará con el número de expediente, el objeto formal, el valor estimado real y la situación procedimental en el momento de su publicación, y </w:t>
      </w:r>
      <w:r>
        <w:rPr>
          <w:rFonts w:ascii="Calibri" w:cs="Calibri" w:eastAsia="Calibri" w:hAnsi="Calibri"/>
          <w:b/>
          <w:bCs/>
          <w:sz w:val="21"/>
          <w:szCs w:val="21"/>
        </w:rPr>
        <w:t xml:space="preserve">hasta entonces toda la Parte VI debe leerse como caso trabajado sobre datos hipotéticos</w:t>
      </w:r>
      <w:r>
        <w:rPr>
          <w:rFonts w:ascii="Calibri" w:cs="Calibri" w:eastAsia="Calibri" w:hAnsi="Calibri"/>
          <w:sz w:val="21"/>
          <w:szCs w:val="21"/>
        </w:rPr>
        <w:t xml:space="preserve">, no como la reproducción de un expediente en 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01/09/2026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formal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real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Situación procedimental (A, B o C de la tabla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consignar</w:t>
            </w:r>
          </w:p>
        </w:tc>
      </w:tr>
    </w:tbl>
    <w:p>
      <w:pPr>
        <w:spacing w:after="200"/>
      </w:pPr>
    </w:p>
    <w:p>
      <w:pPr>
        <w:spacing w:after="140" w:line="276"/>
      </w:pPr>
      <w:r>
        <w:rPr>
          <w:rFonts w:ascii="Calibri" w:cs="Calibri" w:eastAsia="Calibri" w:hAnsi="Calibri"/>
          <w:sz w:val="21"/>
          <w:szCs w:val="21"/>
        </w:rPr>
        <w:t xml:space="preserve">Antes de continuar, el órgano de contratación debe consignar en el expediente en cuál de estas tres situaciones se encuentra, porque de ella depende el cauce de la corrección: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consta en la preparación del expediente que el pliego se elaboró tomando como referencia el de otro ayuntamiento que tiene implantada una solución determinada. Si eso se confirma,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Por qué este contrato es el piloto adecuado</w:t>
      </w:r>
    </w:p>
    <w:p>
      <w:pPr>
        <w:spacing w:after="140" w:line="276"/>
      </w:pPr>
      <w:r>
        <w:rPr>
          <w:rFonts w:ascii="Calibri" w:cs="Calibri" w:eastAsia="Calibri" w:hAnsi="Calibri"/>
          <w:sz w:val="21"/>
          <w:szCs w:val="21"/>
        </w:rPr>
        <w:t xml:space="preserve">Cuatro razones, y ninguna es que sea el contrato más grande:</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del objetor.</w:t>
      </w:r>
      <w:r>
        <w:rPr>
          <w:rFonts w:ascii="Calibri" w:cs="Calibri" w:eastAsia="Calibri" w:hAnsi="Calibri"/>
          <w:sz w:val="21"/>
          <w:szCs w:val="21"/>
        </w:rPr>
        <w:t xml:space="preserve"> La necesidad de acceso de los órganos de control a los datos de ejecución (ADM-12·v3) es la única necesidad de todo este proyecto declarada por escrito por un órgano municipal, y la contabilidad y el patrimonio son exactamente la materia sobre la que ese órgano ejerce sus funciones de control (art. 214 TRLRHL; arts. 4.3, 6.3, 6.7, 20 y 30 del RD 424/2017). El piloto empieza dando, no pidiendo.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Todo lo que el catálogo exige —interfaz de consulta, registro de auditoría, exportación en formato abierto, diccionario de datos— se comprueba aquí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 obliga a usar las dos vías de firma de la ficha de aplicabilidad (Anexo II) y, por tanto, el que prueba si el circuito funciona.</w:t>
      </w:r>
    </w:p>
    <w:p>
      <w:pPr>
        <w:pStyle w:val="ListParagraph"/>
        <w:numPr>
          <w:ilvl w:val="0"/>
          <w:numId w:val="2"/>
        </w:numPr>
        <w:spacing w:after="70" w:line="268"/>
      </w:pPr>
      <w:r>
        <w:rPr>
          <w:rFonts w:ascii="Calibri" w:cs="Calibri" w:eastAsia="Calibri" w:hAnsi="Calibri"/>
          <w:b/>
          <w:bCs/>
          <w:sz w:val="21"/>
          <w:szCs w:val="21"/>
        </w:rPr>
        <w:t xml:space="preserve">Ya está escrito con la versión anterior.</w:t>
      </w:r>
      <w:r>
        <w:rPr>
          <w:rFonts w:ascii="Calibri" w:cs="Calibri" w:eastAsia="Calibri" w:hAnsi="Calibri"/>
          <w:sz w:val="21"/>
          <w:szCs w:val="21"/>
        </w:rPr>
        <w:t xml:space="preserve"> Es un piloto y a la vez un caso de rectificación: enseña las dos cosas que hay que saber hacer.</w:t>
      </w:r>
    </w:p>
    <w:p>
      <w:pPr>
        <w:spacing w:after="140" w:line="276"/>
      </w:pPr>
      <w:r>
        <w:rPr>
          <w:rFonts w:ascii="Calibri" w:cs="Calibri" w:eastAsia="Calibri" w:hAnsi="Calibri"/>
          <w:sz w:val="21"/>
          <w:szCs w:val="21"/>
        </w:rPr>
        <w:t xml:space="preserve">Lo que el piloto </w:t>
      </w:r>
      <w:r>
        <w:rPr>
          <w:rFonts w:ascii="Calibri" w:cs="Calibri" w:eastAsia="Calibri" w:hAnsi="Calibri"/>
          <w:b/>
          <w:bCs/>
          <w:sz w:val="21"/>
          <w:szCs w:val="21"/>
        </w:rPr>
        <w:t xml:space="preserve">no</w:t>
      </w:r>
      <w:r>
        <w:rPr>
          <w:rFonts w:ascii="Calibri" w:cs="Calibri" w:eastAsia="Calibri" w:hAnsi="Calibri"/>
          <w:sz w:val="21"/>
          <w:szCs w:val="21"/>
        </w:rPr>
        <w:t xml:space="preserve"> demuestra: no demuestra que el catálogo funcione en contratos menores, en contratos basados en acuerdo marco o en adhesiones a centrales de compra, ni en prórrogas de contratos vivos. Para esos tres supuestos rigen las reglas específicas de la Parte I y no hay experiencia todavía.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contabilidad y patrimonio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 la licencia mínima supletoria y la delimitación del código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Llevanza de la contabilidad municipal y del inventario de bienes y derechos conforme a la normativa presupuestaria y contable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 y del órgano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que el área de contratación señaló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contabilidad no es hoy actuación administrativa automatizada,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llevanza de la contabilidad y del inventario.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Bloque A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medio de comprobación de la exactitud de lo declarado por escrito en el criterio D y, en lo que proceda, en los criterios C1, A y H, </w:t>
            </w:r>
            <w:r>
              <w:rPr>
                <w:rFonts w:ascii="Calibri" w:cs="Calibri" w:eastAsia="Calibri" w:hAnsi="Calibri"/>
                <w:b/>
                <w:bCs/>
                <w:sz w:val="18"/>
                <w:szCs w:val="18"/>
              </w:rPr>
              <w:t xml:space="preserve">sin atribuir puntuación alguna</w:t>
            </w:r>
            <w:r>
              <w:rPr>
                <w:rFonts w:ascii="Calibri" w:cs="Calibri" w:eastAsia="Calibri" w:hAnsi="Calibri"/>
                <w:b w:val="false"/>
                <w:bCs w:val="false"/>
                <w:sz w:val="18"/>
                <w:szCs w:val="18"/>
              </w:rPr>
              <w:t xml:space="preserve">. La demostración sólo confirma o retira puntos ya asignados a la memoria técnica.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Que la contabilidad figure en la lista tasada de servicios no basta: la lista es una de las cuatro circunstancias, no una vía alternativa.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TÉCNICO [N]. EXIGENCIAS TECNOLÓGICAS DETERMINADAS APLICABLES A ESTE CONTRATO</w:t>
            </w:r>
          </w:p>
          <w:p>
            <w:pPr>
              <w:spacing w:after="100" w:line="264"/>
            </w:pPr>
            <w:r>
              <w:rPr>
                <w:rFonts w:ascii="Georgia" w:cs="Georgia" w:eastAsia="Georgia" w:hAnsi="Georgia"/>
                <w:sz w:val="20"/>
                <w:szCs w:val="20"/>
              </w:rPr>
              <w:t xml:space="preserve">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Módulos alcanzados por la exigencia ET-1: (i) contabilidad presupuestaria y financiera; (ii) gestión patrimonial e inventario de bienes y derechos; (iii) terceros y endosos. Quedan excluidos los módulos [relación de módulos excluidos].</w:t>
            </w:r>
          </w:p>
          <w:p>
            <w:pPr>
              <w:spacing w:after="100" w:line="264"/>
            </w:pPr>
            <w:r>
              <w:rPr>
                <w:rFonts w:ascii="Georgia" w:cs="Georgia" w:eastAsia="Georgia" w:hAnsi="Georgia"/>
                <w:sz w:val="20"/>
                <w:szCs w:val="20"/>
              </w:rPr>
              <w:t xml:space="preserve">Funciones mínimas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acreditada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 la lista cerrada «deseables» del PPT que la solución cubre sin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«obligatorios» del PPT,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(gestor contable, patrimonio,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 la </w:t>
            </w:r>
            <w:r>
              <w:rPr>
                <w:rFonts w:ascii="Calibri" w:cs="Calibri" w:eastAsia="Calibri" w:hAnsi="Calibri"/>
                <w:b/>
                <w:bCs/>
                <w:sz w:val="18"/>
                <w:szCs w:val="18"/>
              </w:rPr>
              <w:t xml:space="preserve">lista cerrada publicada en el PPT</w:t>
            </w:r>
            <w:r>
              <w:rPr>
                <w:rFonts w:ascii="Calibri" w:cs="Calibri" w:eastAsia="Calibri" w:hAnsi="Calibri"/>
                <w:b w:val="false"/>
                <w:bCs w:val="false"/>
                <w:sz w:val="18"/>
                <w:szCs w:val="18"/>
              </w:rPr>
              <w:t xml:space="preserve">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funciones mínimas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w:t>
            </w:r>
            <w:r>
              <w:rPr>
                <w:rFonts w:ascii="Calibri" w:cs="Calibri" w:eastAsia="Calibri" w:hAnsi="Calibri"/>
                <w:b/>
                <w:bCs/>
                <w:sz w:val="18"/>
                <w:szCs w:val="18"/>
              </w:rPr>
              <w:t xml:space="preserve">lista cerrada y numerada del PPT</w:t>
            </w:r>
            <w:r>
              <w:rPr>
                <w:rFonts w:ascii="Calibri" w:cs="Calibri" w:eastAsia="Calibri" w:hAnsi="Calibri"/>
                <w:b w:val="false"/>
                <w:bCs w:val="false"/>
                <w:sz w:val="18"/>
                <w:szCs w:val="18"/>
              </w:rPr>
              <w:t xml:space="preserve">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calificadas de esenciales del bloque B.2 de ADM-6·v3: acumular sobre el mismo elemento un premio y una pena de máxima intensidad está prohibido (Anexo IV).</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ya disponibles a fecha de licitación.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puede reflejar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Lo que se valora es una cualidad de la prestación —cuándo estará disponible para el Ayuntamiento—, no una característica de la empresa. Esta motivación se reproduce en la ficha del criterio B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w:t>
      </w:r>
      <w:r>
        <w:rPr>
          <w:rFonts w:ascii="Calibri" w:cs="Calibri" w:eastAsia="Calibri" w:hAnsi="Calibri"/>
          <w:sz w:val="21"/>
          <w:szCs w:val="21"/>
        </w:rPr>
        <w:t xml:space="preserve"> con 45 puntos de precio entre P y F, el PCAP debe fijar los parámetros objetivos de identificación de la oferta anormalmente baja y el trámite del art. 149 LCSP. Se emplean los del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acreditada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(importe anual sin IVA × años de duración inicial)</w:t>
      </w:r>
    </w:p>
    <w:p>
      <w:pPr>
        <w:spacing w:after="140" w:line="276"/>
      </w:pPr>
      <w:r>
        <w:rPr>
          <w:rFonts w:ascii="Calibri" w:cs="Calibri" w:eastAsia="Calibri" w:hAnsi="Calibri"/>
          <w:sz w:val="21"/>
          <w:szCs w:val="21"/>
        </w:rPr>
        <w:t xml:space="preserve">+ (importe anual sin IVA × años de prórrogas previstas)</w:t>
      </w:r>
    </w:p>
    <w:p>
      <w:pPr>
        <w:spacing w:after="140" w:line="276"/>
      </w:pPr>
      <w:r>
        <w:rPr>
          <w:rFonts w:ascii="Calibri" w:cs="Calibri" w:eastAsia="Calibri" w:hAnsi="Calibri"/>
          <w:sz w:val="21"/>
          <w:szCs w:val="21"/>
        </w:rPr>
        <w:t xml:space="preserve">+ importe máximo de la bolsa de servicios evolutivos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w:t>
      </w:r>
      <w:r>
        <w:rPr>
          <w:rFonts w:ascii="Calibri" w:cs="Calibri" w:eastAsia="Calibri" w:hAnsi="Calibri"/>
          <w:sz w:val="21"/>
          <w:szCs w:val="21"/>
        </w:rPr>
        <w:t xml:space="preserve"> Está en el presupuesto base de licitación, luego está en el valor estimado. Escribir que no lo infla es un error de cálculo del valor estimado, y el valor estimado determina la publicidad armonizada y el acceso al recurso especial.</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 anual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 2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[X; se recomienda 5] % del importe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y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El área de contratación advirtió, en el comentario interno que se reproduce íntegro en la Parte IV, M1.5,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toma de allí las horas por acto y las periodicidades, y las ajusta a las cláusulas que VI.4.3 marca aplicables en este expediente. Hay una fila por cada una de ellas, sin excepción.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ET-1, ET-2 y ET-3 (DT-7·v3,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vencer el plazo de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anual del mantenimiento de las capacidades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(añadida)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y régimen de decisiones automatizadas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(añadida)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Procesos de la lista cerrada efectivamente automatizados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y 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(añadida)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los servicios comunes de obligada utilización e interfaces documentadas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y 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(añadida)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y extensión a la cadena de suministro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y 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(añadida)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del Inventario de Componentes (DT-8·v3.2)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78,5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119,5 h</w:t>
            </w:r>
          </w:p>
        </w:tc>
      </w:tr>
    </w:tbl>
    <w:p>
      <w:pPr>
        <w:spacing w:after="200"/>
      </w:pPr>
    </w:p>
    <w:p>
      <w:pPr>
        <w:spacing w:after="140" w:line="276"/>
      </w:pPr>
      <w:r>
        <w:rPr>
          <w:rFonts w:ascii="Calibri" w:cs="Calibri" w:eastAsia="Calibri" w:hAnsi="Calibri"/>
          <w:sz w:val="21"/>
          <w:szCs w:val="21"/>
        </w:rPr>
        <w:t xml:space="preserve">A lo anterior se añaden, </w:t>
      </w: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8 horas en el año del ensayo de reversibilidad; entre 20 y 40 horas en el último año por la reversión efectiva; y, </w:t>
      </w:r>
      <w:r>
        <w:rPr>
          <w:rFonts w:ascii="Calibri" w:cs="Calibri" w:eastAsia="Calibri" w:hAnsi="Calibri"/>
          <w:b/>
          <w:bCs/>
          <w:sz w:val="21"/>
          <w:szCs w:val="21"/>
        </w:rPr>
        <w:t xml:space="preserve">por licitación y no por año</w:t>
      </w:r>
      <w:r>
        <w:rPr>
          <w:rFonts w:ascii="Calibri" w:cs="Calibri" w:eastAsia="Calibri" w:hAnsi="Calibri"/>
          <w:sz w:val="21"/>
          <w:szCs w:val="21"/>
        </w:rPr>
        <w:t xml:space="preserve">, entre </w:t>
      </w:r>
      <w:r>
        <w:rPr>
          <w:rFonts w:ascii="Calibri" w:cs="Calibri" w:eastAsia="Calibri" w:hAnsi="Calibri"/>
          <w:b/>
          <w:bCs/>
          <w:sz w:val="21"/>
          <w:szCs w:val="21"/>
        </w:rPr>
        <w:t xml:space="preserve">19 y 24 horas</w:t>
      </w:r>
      <w:r>
        <w:rPr>
          <w:rFonts w:ascii="Calibri" w:cs="Calibri" w:eastAsia="Calibri" w:hAnsi="Calibri"/>
          <w:sz w:val="21"/>
          <w:szCs w:val="21"/>
        </w:rPr>
        <w:t xml:space="preserve"> de la demostración funcional de ADM-9·v3 con cinco licitadores, que es la cláusula más cara del catálogo en horas municipales.</w:t>
      </w:r>
    </w:p>
    <w:p>
      <w:pPr>
        <w:spacing w:after="140" w:line="276"/>
      </w:pPr>
      <w:r>
        <w:rPr>
          <w:rFonts w:ascii="Calibri" w:cs="Calibri" w:eastAsia="Calibri" w:hAnsi="Calibri"/>
          <w:sz w:val="21"/>
          <w:szCs w:val="21"/>
        </w:rPr>
        <w:t xml:space="preserve">Cinco filas se han añadido a la tabla de ADM-4·v3.5 porque las cláusulas DT-1·v3, DT-4·v3, DT-5·v3, DT-6·v3 y el cotejo del Inventario de Componentes están marcadas aplicables en VI.4.3 y su verificación no figura en aquella tabla. Se hace constar para que la fuente única se corrija en el mismo sentido.</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unas 6 horas por expediente de penalidad.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supera las 780 horas, del orden de </w:t>
      </w:r>
      <w:r>
        <w:rPr>
          <w:rFonts w:ascii="Calibri" w:cs="Calibri" w:eastAsia="Calibri" w:hAnsi="Calibri"/>
          <w:b/>
          <w:bCs/>
          <w:sz w:val="21"/>
          <w:szCs w:val="21"/>
        </w:rPr>
        <w:t xml:space="preserve">0,45 efectivos a jornada completa</w:t>
      </w:r>
      <w:r>
        <w:rPr>
          <w:rFonts w:ascii="Calibri" w:cs="Calibri" w:eastAsia="Calibri" w:hAnsi="Calibri"/>
          <w:sz w:val="21"/>
          <w:szCs w:val="21"/>
        </w:rPr>
        <w:t xml:space="preserve">.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presentan las declaraciones verificables.</w:t>
      </w:r>
      <w:r>
        <w:rPr>
          <w:rFonts w:ascii="Calibri" w:cs="Calibri" w:eastAsia="Calibri" w:hAnsi="Calibri"/>
          <w:sz w:val="21"/>
          <w:szCs w:val="21"/>
        </w:rPr>
        <w:t xml:space="preserve"> Las declaraciones de la memoria técnica que hayan de comprobarse en la sesión se presentan en el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aunque el criterio que las valore sea evaluable mediante fórmula. En otro caso, la sesión no puede versar sobre ellas: ADM-9·v3.5 impone celebrarla antes de abrir el sobre de criterios evaluables por fórmula, y una mesa que lo abriera antes de tiempo incurriría en un vicio que no se retrotrae.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Revisión de lo ya redactado el 24/08/2026</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en los pliegos del 24/08/2026 (texto 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contabilidad en el contrato de contabilidad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el Ayuntamiento no puede ceder la aplicación a otra administración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 (el producto base)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 rectificar y publicar después (regla general); o aprobar los pliegos rectificados y publicar el modelo en el mismo acto, cuando el expediente esté en las situaciones A o B y la coordinación entre el área promotora y el área de contratación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lo que el área de contratación pidió —un experimento—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de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en el anexo técnico de este pliego, sobre los módulos allí identificados.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y de funciones mínimas se publica en el anexo técnico del pliego, cerrada</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 ADM-2·v3 completa (queda sin alcance) · ADM-3·v3 en lo referido a plazos del catálogo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en cuanto miden el exceso sobre las exigencias del Anexo V · filas de penalidades · lista de esenciales · ADM-14·v3, que sólo opera sobre capacidades no determinadas en el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columna «verificable conforme a ADM-9·v3» de los criterios del baremo · el guion, la relación cerrada y numerada de elementos verificables y la matriz de comprobación · las reglas de momento procedimental del PCAP · el apartado de la declaración responsable. </w:t>
            </w:r>
            <w:r>
              <w:rPr>
                <w:rFonts w:ascii="Calibri" w:cs="Calibri" w:eastAsia="Calibri" w:hAnsi="Calibri"/>
                <w:b/>
                <w:bCs/>
                <w:sz w:val="18"/>
                <w:szCs w:val="18"/>
              </w:rPr>
              <w:t xml:space="preserve">No arrastra la supresión de ningún criterio</w:t>
            </w:r>
            <w:r>
              <w:rPr>
                <w:rFonts w:ascii="Calibri" w:cs="Calibri" w:eastAsia="Calibri" w:hAnsi="Calibri"/>
                <w:b w:val="false"/>
                <w:bCs w:val="false"/>
                <w:sz w:val="18"/>
                <w:szCs w:val="18"/>
              </w:rPr>
              <w:t xml:space="preserve">: ADM-9·v3 no reparte puntos, y los criterios que comprueba se valoran igual sobre la memoria técnica escrita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fila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no pública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Todo parámetro de decisión económica, de calendario y de configuración del expediente aparece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los parámetros de trámite propios de cada cláusula administrativa están en el cuadro de cierre de la Parte III, según se indica al final del apartado X.1.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importe del contrato</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Sólo en contratos de desarrollo o mantenimiento de aplicaciones (art. 308.3 LCSP). Computa en el presupuesto base y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spacing w:after="140" w:line="276"/>
      </w:pPr>
      <w:r>
        <w:rPr>
          <w:rFonts w:ascii="Calibri" w:cs="Calibri" w:eastAsia="Calibri" w:hAnsi="Calibri"/>
          <w:b/>
          <w:bCs/>
          <w:sz w:val="21"/>
          <w:szCs w:val="21"/>
        </w:rPr>
        <w:t xml:space="preserve">Qué no está aquí.</w:t>
      </w:r>
      <w:r>
        <w:rPr>
          <w:rFonts w:ascii="Calibri" w:cs="Calibri" w:eastAsia="Calibri" w:hAnsi="Calibri"/>
          <w:sz w:val="21"/>
          <w:szCs w:val="21"/>
        </w:rPr>
        <w:t xml:space="preserve"> Los parámetros propios de cada cláusula administrativa que ya llevan su valor recomendado dentro del bloque de pliego correspondiente —plazos de audiencia, de requerimiento y de subsanación de ADM-4·v3, ADM-5·v3, ADM-6·v3 y ADM-11·v3— se consultan en el cuadro de cierre de la Parte III, que es su sede. Esta tabla recoge los parámetros de decisión económica, de calendario y de configuración del expediente.</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el Ayuntamiento no puede ceder la aplicación a otra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piloto resuelto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expediente piloto completo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en la sesión se puntuará con cero en el subcriterio correspondiente.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en el sobre de criterios sujetos a juicio de valor, aunque el criterio al que sirvan sea evaluable mediante fórmula.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 y página de la memoria técnica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resultante se documenta antes de la apertura del sobre de criterios evaluables mediante fórmulas. Una demostración cuya puntuación se cierre después de conocidos los precios no admite retroacción.</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Con cinco licitadores, un expediente completo.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evitar que tres cláusulas técnicas remitan cada una a «el apéndice de este pliego» sin que nadie diga cuántos son ni cómo se numeran. Las cláusulas DT-4·v3, DT-7·v3 y DT-9·v3 exigen cada una un apéndice distinto, y el Anexo XIX de este catálogo añade un cuarto. Un pliego con cuatro apéndices sin rotular produce remisiones que no resuelven.</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Módulos y funciones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cerrada de los módulos sobre los que se expone la interfaz y de las funciones mínimas exigidas, separando las adicionales que puedan ofertarse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1 no procede, el pliego empieza por el 2 y lo hace constar en el índice: «Apéndice técnico 1 · No procede».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Módulos y funciones de la interfaz normalizada».</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El área de contratación lo pidió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wjxpzvqtzvwpxk8enrjp" Type="http://schemas.openxmlformats.org/officeDocument/2006/relationships/hyperlink" Target="https://www.pozuelodealarcon.org/tu-ayuntamiento/organizacion-municipal/trayectoria-profesional-delfina-lafuente-veira" TargetMode="External"/><Relationship Id="rIdvrsergk1cwxsbyntfua0n" Type="http://schemas.openxmlformats.org/officeDocument/2006/relationships/hyperlink" Target="https://www.ufv.es/una-nueva-definicion-para-las-ciudades-que-transformaran-el-mundo-noticias-actualidad/" TargetMode="External"/><Relationship Id="rIdg-pt0sicsp1p5hw3vrcid" Type="http://schemas.openxmlformats.org/officeDocument/2006/relationships/hyperlink" Target="https://miguelangeldominguez.info" TargetMode="External"/><Relationship Id="rId2mwzitwgm97u3negcfjpp" Type="http://schemas.openxmlformats.org/officeDocument/2006/relationships/hyperlink" Target="https://www.comunidad.madrid/tacp/sites/default/files/resolucion_383-2024_expediente_383-2024.pdf" TargetMode="External"/><Relationship Id="rIdpmdtukyltognxhodbucih" Type="http://schemas.openxmlformats.org/officeDocument/2006/relationships/hyperlink" Target="https://www.hacienda.gob.es/dgpatrimonio/junta%20consultiva/informes/informes2026/informe202518modificaciones204y205delalcsp.pdf" TargetMode="External"/><Relationship Id="rIdvuw2wh5jd2edtrzcqchat" Type="http://schemas.openxmlformats.org/officeDocument/2006/relationships/hyperlink" Target="https://contratos-publicos.comunidad.madrid/media/827829/download" TargetMode="External"/><Relationship Id="rIdgwittahlkpte-60upgrxp" Type="http://schemas.openxmlformats.org/officeDocument/2006/relationships/hyperlink" Target="https://www.boe.es/buscar/act.php?id=BOE-A-2017-12902" TargetMode="External"/><Relationship Id="rIddpvsej8jfjdeenjzxijdh" Type="http://schemas.openxmlformats.org/officeDocument/2006/relationships/hyperlink" Target="https://www.boe.es/buscar/doc.php?id=DOUE-L-2025-81543" TargetMode="External"/><Relationship Id="rIdhv0-we0q4bmerecmx4sq8" Type="http://schemas.openxmlformats.org/officeDocument/2006/relationships/hyperlink" Target="https://www.boe.es/buscar/doc.php?id=BOE-A-2016-11098" TargetMode="External"/><Relationship Id="rIdbj6bj4je7f9aztldgxao5" Type="http://schemas.openxmlformats.org/officeDocument/2006/relationships/hyperlink" Target="https://www.boe.es/buscar/doc.php?id=DOUE-L-2026-81147" TargetMode="External"/><Relationship Id="rIdvgbetl4lb_fz4iwx4barn" Type="http://schemas.openxmlformats.org/officeDocument/2006/relationships/hyperlink" Target="https://www.comunidad.madrid/tacp/sites/default/files/resolucion_383-2024_expediente_383-2024.pdf" TargetMode="External"/><Relationship Id="rIdsfzehnius7x34iw5wjoj4" Type="http://schemas.openxmlformats.org/officeDocument/2006/relationships/hyperlink" Target="https://www.boe.es/buscar/doc.php?id=DOUE-L-2026-81147" TargetMode="External"/><Relationship Id="rIdr83httptz0na3op5hbe91" Type="http://schemas.openxmlformats.org/officeDocument/2006/relationships/hyperlink" Target="https://www.linuxfoundation.org/press/linux-foundation-announces-the-formation-of-the-agentic-ai-foundation" TargetMode="External"/><Relationship Id="rIdmvg3xri9zjs6odanr05sx" Type="http://schemas.openxmlformats.org/officeDocument/2006/relationships/hyperlink" Target="https://single-market-economy.ec.europa.eu/single-market/european-standards/ict-standardisation/ict-technical-specifications_en" TargetMode="External"/><Relationship Id="rIdltlozcgzxun8dlwjo_t8t" Type="http://schemas.openxmlformats.org/officeDocument/2006/relationships/hyperlink" Target="https://www.hacienda.gob.es/TACRC/Resoluciones/A%C3%B1o%202022/Recurso%200998-2022%20(Res%201113" TargetMode="External"/><Relationship Id="rIdeg7v_r3dbaezf7_wqvjdq" Type="http://schemas.openxmlformats.org/officeDocument/2006/relationships/hyperlink" Target="https://www.comunidad.madrid/tacp/sites/default/files/resolucion_535-2025_expediente_526-2025.pdf" TargetMode="External"/><Relationship Id="rId3vd1giw8ekcvj9yyt4aml" Type="http://schemas.openxmlformats.org/officeDocument/2006/relationships/hyperlink" Target="https://eur-lex.europa.eu/legal-content/ES/TXT/HTML/?uri=CELEX:62023CJ0424" TargetMode="External"/><Relationship Id="rIdbd_12ffu0zbkimmg1udyg" Type="http://schemas.openxmlformats.org/officeDocument/2006/relationships/hyperlink" Target="https://eur-lex.europa.eu/legal-content/ES/TXT/HTML/?uri=CELEX:62017CJ0014" TargetMode="External"/><Relationship Id="rIdooydv-lzmdpsckdeyk6oa" Type="http://schemas.openxmlformats.org/officeDocument/2006/relationships/hyperlink" Target="https://www.hacienda.gob.es/TACRC/Resoluciones/A%C3%B1o%202021/Recurso%201372-2021%20VAL%20314-2021%20(Res%201727" TargetMode="External"/><Relationship Id="rIdxly2uxwanq2rbvo5a1vqs" Type="http://schemas.openxmlformats.org/officeDocument/2006/relationships/hyperlink" Target="https://www.hacienda.gob.es/TACRC/Resoluciones/A%C3%B1o%202020/Recurso%200323-2020%20%20(Res%20549" TargetMode="External"/><Relationship Id="rId1kewvywv-cyosn4anm0sr" Type="http://schemas.openxmlformats.org/officeDocument/2006/relationships/hyperlink" Target="https://www.comunidad.madrid/tacp/sites/default/files/resolucion_535-2025_expediente_526-2025.pdf" TargetMode="External"/><Relationship Id="rIdyn0imtvjrft6r-xr7yji9" Type="http://schemas.openxmlformats.org/officeDocument/2006/relationships/hyperlink" Target="https://www.comunidad.madrid/tacp/sites/default/files/resolucion_92-2024_recurso_070-2024_web.pdf" TargetMode="External"/><Relationship Id="rIdq5h7tc2xb2-xhh1oo7lv2" Type="http://schemas.openxmlformats.org/officeDocument/2006/relationships/hyperlink" Target="https://www.comunidad.madrid/tacp/sites/default/files/resolucion_383-2024_expediente_383-2024.pdf" TargetMode="External"/><Relationship Id="rIdtlzi8vbi5_w_ia6vtptx1" Type="http://schemas.openxmlformats.org/officeDocument/2006/relationships/hyperlink" Target="https://www.comunidad.madrid/tacp/sites/default/files/resolucion_383-2024_expediente_383-2024.pdf" TargetMode="External"/><Relationship Id="rIdlwvph83tzjy1dfmczazz4" Type="http://schemas.openxmlformats.org/officeDocument/2006/relationships/hyperlink" Target="https://www.comunidad.madrid/tacp/sites/default/files/resolucion_535-2025_expediente_526-2025.pdf" TargetMode="External"/><Relationship Id="rIdhsxrnvwjb_ofhe8nuonls" Type="http://schemas.openxmlformats.org/officeDocument/2006/relationships/hyperlink" Target="https://www.hacienda.gob.es/tacrc/resoluciones/a%C3%B1o%202019/recurso%200557-2019%20val%20113-2019%20(res%20786" TargetMode="External"/><Relationship Id="rId0r2h9opkftnadkns1pxyf" Type="http://schemas.openxmlformats.org/officeDocument/2006/relationships/hyperlink" Target="https://www.hacienda.gob.es/TACRC/Resoluciones/A%C3%B1o%202021/Recurso%201372-2021%20VAL%20314-2021%20(Res%201727" TargetMode="External"/><Relationship Id="rIdp-ujgas7zxprzvcvbedok" Type="http://schemas.openxmlformats.org/officeDocument/2006/relationships/hyperlink" Target="https://tienda.aenor.com/p/norma-une-en-iso-iec-42001-2026-n0075951" TargetMode="External"/><Relationship Id="rIdcxfj_mb2jhdnxjz2jlo2g" Type="http://schemas.openxmlformats.org/officeDocument/2006/relationships/hyperlink" Target="https://www.euskadi.eus/contenidos/informacion/kpecpe_oarc_memorias_doctrina/eu_def/adjuntos/Doktrina-2018-2023.pdf" TargetMode="External"/><Relationship Id="rIdc-typkhytb3u2lyjxsyxk" Type="http://schemas.openxmlformats.org/officeDocument/2006/relationships/hyperlink" Target="https://www.hacienda.gob.es/TACRC/Resoluciones/A%C3%B1o%202022/Recurso%200998-2022%20(Res%201113" TargetMode="External"/><Relationship Id="rIdw3pcdxqfp8uch6a8hgsne" Type="http://schemas.openxmlformats.org/officeDocument/2006/relationships/hyperlink" Target="https://www.hacienda.gob.es/tacrc/resoluciones/a%C3%B1o%202022/recurso%200846-2022%20(res%201287" TargetMode="External"/><Relationship Id="rIdjjt2hbddbf3av9xpqhuz4" Type="http://schemas.openxmlformats.org/officeDocument/2006/relationships/hyperlink" Target="https://www.hacienda.gob.es/TACRC/Documentos/RESOLUCIONES%20DE%20PLENO%202022/Resoluci%C3%B3n%20Recurso%20842-2022%20(Res%201111" TargetMode="External"/><Relationship Id="rIdst6axu17btgpewak-rnse" Type="http://schemas.openxmlformats.org/officeDocument/2006/relationships/hyperlink" Target="https://contratacion.castillalamancha.es/sites/default/files/infocontrataclm/descargar_consulta_019-2022.pdf" TargetMode="External"/><Relationship Id="rIdkarbgd7wx8dc0kheznf81" Type="http://schemas.openxmlformats.org/officeDocument/2006/relationships/hyperlink" Target="http://www.contratosdelsectorpublico.es/DocumentosWEB/02TribunalesContractuales/TACP%20Aragon/TACP%20Arag%C3%B3n%2076-2015.pdf" TargetMode="External"/><Relationship Id="rIdrzolrraig8lx8fjitdevg" Type="http://schemas.openxmlformats.org/officeDocument/2006/relationships/hyperlink" Target="https://www.hacienda.gob.es/TACRC/Documentos/RESOLUCIONES%20DE%20PLENO%202022/Resoluci%C3%B3n%20Recurso%20842-2022%20(Res%201111" TargetMode="External"/><Relationship Id="rIdimywdmwyjwaigfogq-69x" Type="http://schemas.openxmlformats.org/officeDocument/2006/relationships/hyperlink" Target="https://www.comunidad.madrid/tacp/sites/default/files/resolucion_383-2024_expediente_383-2024.pdf" TargetMode="External"/><Relationship Id="rId_cpbikguqwhuyj0th6jsj" Type="http://schemas.openxmlformats.org/officeDocument/2006/relationships/hyperlink" Target="https://www.comunidad.madrid/tacp/sites/default/files/resolucion_383-2024_expediente_383-2024.pdf"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2026-09-01T11:04:55.088Z</dcterms:created>
  <dcterms:modified xsi:type="dcterms:W3CDTF">2026-09-01T11:04:55.088Z</dcterms:modified>
</cp:coreProperties>
</file>

<file path=docProps/custom.xml><?xml version="1.0" encoding="utf-8"?>
<Properties xmlns="http://schemas.openxmlformats.org/officeDocument/2006/custom-properties" xmlns:vt="http://schemas.openxmlformats.org/officeDocument/2006/docPropsVTypes"/>
</file>