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240"/>
        <w:jc w:val="center"/>
      </w:pPr>
      <w:r>
        <w:rPr>
          <w:rFonts w:ascii="Georgia" w:cs="Georgia" w:eastAsia="Georgia" w:hAnsi="Georgia"/>
          <w:b/>
          <w:bCs/>
          <w:color w:val="1F3864"/>
          <w:sz w:val="60"/>
          <w:szCs w:val="60"/>
        </w:rPr>
        <w:t xml:space="preserve">Un contrato público de tecnología dura años. La tecnología que compra, no.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Cláusulas de IA y deep tech para pliegos de contratación pública · resumen en dos páginas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El problema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Un ayuntamiento contrata un sistema de gestión —tributos, padrón, contabilidad, atención al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ciudadano— por cuatro o cinco años, con prórrogas. El día de la firma la herramienta está al día.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Dos años después han aparecido capacidades que entonces no existían y que nadie podía nombrar al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redactar el pliego. El contrato no dice nada sobre ellas, porque no podía decirlo.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Entonces sólo hay tres salidas, y las tres cuestan dinero público: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Se paga dos veces.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Un contrato nuevo para «modernizar» lo que ya se compró.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Se aguanta.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Años de servicio público prestado con herramientas de otra época.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Se queda cautivo.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Cambiar de proveedor obligaría a dejar atrás los datos y los desarrollos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propios, y sale tan caro que no se cambia. La licitación siguiente está decidida antes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publicarse.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Nadie ha hecho nada mal por el camino. Es un defecto de diseño del contrato.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Por qué no basta con pedir «que se mantenga actualizado»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Es lo primero que uno escribiría, y no funciona.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La empresa no puede ponerle precio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porque se le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pide algo cuyo contenido nadie conoce todavía: o infla la oferta por si acaso, o la ignora y ya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discutirá durante la ejecución.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La administración no puede exigirlo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porque demostrar que una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tecnología concreta «era necesaria» es una apreciación técnica que no se sostiene frente a un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contratista bien asesorado.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Y un tribunal la anula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una obligación genérica no puede ser ni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siquiera una obligación contractual, y menos aún una cuyo incumplimiento permita resolver 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contrato.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La solución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En lugar de comprar una evolución futura indefinida, **se compran capacidades concretas, con plazo y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 criterios de aceptación verificables**, fijadas en el momento de licitar y revisadas cada año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para las licitaciones siguientes.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La empresa sabe exactamente qué está ofertando y puede presupuestarlo. La administración sabe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exactamente qué puede exigir y cuándo. El tribunal no tiene nada indeterminado que anular. Y 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cumplimiento se comprueba con un acta, no con una discusión.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La otra mitad: de quién son los datos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Un pliego puede restringir la competencia de dos maneras. La conocida es escribirlo a medida de un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proveedor. La otra es más silenciosa: dejar que quien ya está dentro se quede dentro para siempre.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Por eso una parte central del clausulado no habla de inteligencia artificial, sino de **propiedad,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reversibilidad y salida ordenada**: de quién son los datos, de quién son los algoritmos hechos 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medida, qué se entrega al terminar el contrato, en qué formato, en qué plazo y quién comprueba que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funciona. Y por eso renuncia expresamente a puntuar el hecho de tener ya una tecnología a fecha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licitación: eso premia al proveedor que ya está dentro, y la propia ley lo declara anulable.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Qué es esto, y qué no es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Es un catálogo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de cláusulas ya redactadas, cada una con su justificación, su medio de prueba, su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forma de verificación y su consecuencia; con la memoria justificativa, el circuito completo del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expediente, un caso piloto resuelto entero y los modelos que hacen falta.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es una norma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no obliga a nadie por sí mismo.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es de aplicación automática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ninguna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cláusula entra en un pliego por el hecho de existir aquí.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es un «copia y pega»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una cláusula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incorporada sin necesidad acreditada en la memoria del expediente no protege a la administración, le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añade un motivo de recurso.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Qué se promete, y qué no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se promete que ningún tribunal pueda anular nada.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No es prometible: todavía no existe doctrina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sobre cláusulas de inteligencia artificial en contratación pública, y el primer recurso creará 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precedente.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Lo que sí está diseñado, y puede comprobarse cláusula por cláusula: cada exigencia tiene una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necesidad identificada y la norma o el acuerdo que la impone; un instrumento correcto —prescripción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técnica, solvencia, criterio de adjudicación o condición especial de ejecución— y sólo uno, para que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nada se compute dos veces; un medio de acreditación y una forma de verificación, con actor municipal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designado y carga estimada; una consecuencia tasada si se incumple; y una regla de separabilidad,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para que la caída de una pieza no arrastre el pliego entero.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Las referencias normativas y de doctrina están verificadas en su fuente primaria, a fecha de corte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del 1 de septiembre de 2026. Lo que no ha podido verificarse se dice expresamente.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De dónde sale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Del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Ayuntamiento de Pozuelo de Alarcón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y de las objeciones de su propia área de contratación: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que unas cláusulas que no nacen de una necesidad demandada por nadie son artificiosas al contrato,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que el nivel de abstracción era demasiado alto para quien redacta pliegos, y que había que probarlo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en un contrato real antes de generalizarlo. Las tres están respondidas dentro del documento.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Cómo debe usarse: no copie sin entender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Se publica *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tal cual (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as is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)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*, sin garantía de ningún tipo. No es asesoramiento legal ni sustituye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 los informes preceptivos de ninguna administración. Se recomienda su lectura y su uso — y con la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misma firmeza, no copiarlo sin entenderlo: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Una cláusula copiada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necesidad acreditada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añade un motivo de recurso. La justificación no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vive en el catálogo, vive en la memoria del expediente, y no se puede completar después.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Una exigencia copiada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contrastar con el mercado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no es más ambiciosa: es más restrictiva.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Una obligación copiada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nadie que la verifique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es peor que no tenerla.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 parámetro copiado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adaptar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puede ser ilegal en otra entidad: categorías de seguridad,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órganos competentes y umbrales cambian de una administración a otra.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Un aviso, antes de citarlo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Este no es un documento oficial del Ayuntamiento de Pozuelo de Alarcón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no ha sido aprobado por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ningún órgano municipal ni expresa la posición de la Corporación. Es un trabajo profesional de las tres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personas que lo firman, una de las cuales ejerce un cargo público en ese Ayuntamiento. Y el propio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documento enumera las condiciones que aún no se cumplen —entre ellas, que las declaraciones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conflicto de interés no están firmadas—: mientras no se cumplan, es una propuesta técnica publicada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para el debate, no un instrumento listo para meter en un expediente.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Quién lo ha hecho</w:t>
      </w:r>
    </w:p>
    <w:p>
      <w:pPr>
        <w:spacing w:after="140"/>
        <w:jc w:val="center"/>
      </w:pPr>
      <w:hyperlink w:history="1" r:id="rId363qwlxbudaka8qefnsqf">
        <w:r>
          <w:rPr>
            <w:rFonts w:ascii="Calibri" w:cs="Calibri" w:eastAsia="Calibri" w:hAnsi="Calibri"/>
            <w:b/>
            <w:bCs/>
            <w:color w:val="2F5496"/>
            <w:sz w:val="20"/>
            <w:szCs w:val="20"/>
            <w:u w:val="single"/>
          </w:rPr>
          <w:t xml:space="preserve">Delfina Lafuente Veira</w:t>
        </w:r>
      </w:hyperlink>
      <w:r>
        <w:rPr>
          <w:rFonts w:ascii="Calibri" w:cs="Calibri" w:eastAsia="Calibri" w:hAnsi="Calibri"/>
          <w:color w:val="595959"/>
          <w:sz w:val="20"/>
          <w:szCs w:val="20"/>
        </w:rPr>
        <w:t xml:space="preserve">, Concejal de Administración Digital, Calidad e Innovación del Ayuntamiento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 Pozuelo de Alarcón: de ella nace el proyecto y suya es la primera redacción. </w:t>
      </w:r>
      <w:hyperlink w:history="1" r:id="rIdhlonkl51qxc_riudvazyg">
        <w:r>
          <w:rPr>
            <w:rFonts w:ascii="Calibri" w:cs="Calibri" w:eastAsia="Calibri" w:hAnsi="Calibri"/>
            <w:b/>
            <w:bCs/>
            <w:color w:val="2F5496"/>
            <w:sz w:val="20"/>
            <w:szCs w:val="20"/>
            <w:u w:val="single"/>
          </w:rPr>
          <w:t xml:space="preserve">Dr. José Antonio Ondiviela García</w:t>
        </w:r>
      </w:hyperlink>
      <w:r>
        <w:rPr>
          <w:rFonts w:ascii="Calibri" w:cs="Calibri" w:eastAsia="Calibri" w:hAnsi="Calibri"/>
          <w:color w:val="595959"/>
          <w:sz w:val="20"/>
          <w:szCs w:val="20"/>
        </w:rPr>
        <w:t xml:space="preserve">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profesor e investigador de la Universidad Francisco de Vitoria: la mirada del mercado y la idea que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resuelve el problema de fondo. </w:t>
      </w:r>
      <w:hyperlink w:history="1" r:id="rIdwlonyjxnkwvt74mvcrmo5">
        <w:r>
          <w:rPr>
            <w:rFonts w:ascii="Calibri" w:cs="Calibri" w:eastAsia="Calibri" w:hAnsi="Calibri"/>
            <w:b/>
            <w:bCs/>
            <w:color w:val="2F5496"/>
            <w:sz w:val="20"/>
            <w:szCs w:val="20"/>
            <w:u w:val="single"/>
          </w:rPr>
          <w:t xml:space="preserve">Miguel Ángel Domínguez Castellano</w:t>
        </w:r>
      </w:hyperlink>
      <w:r>
        <w:rPr>
          <w:rFonts w:ascii="Calibri" w:cs="Calibri" w:eastAsia="Calibri" w:hAnsi="Calibri"/>
          <w:color w:val="595959"/>
          <w:sz w:val="20"/>
          <w:szCs w:val="20"/>
        </w:rPr>
        <w:t xml:space="preserve">, CEO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Add4u y presidente de Alastria y del Clúster de Blockchain de la Comunidad de Madrid: la perspectiva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 quien conoce las dos orillas, y la responsabilidad editorial de la publicación.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Uso de inteligencia artificial.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En la elaboración de este trabajo se han utilizado sistemas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IA: el clon digital (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second brain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) de Miguel Ángel Domínguez, determinante en la recuperación del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material, la investigación jurídica, la verificación de las fuentes y la redacción de los borradores.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Se declara aunque el artículo 50.4 del Reglamento (UE) 2024/1689 exima de hacerlo cuando hay revisión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humana y responsabilidad editorial, porque un documento que exige transparencia de IA no puede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ocultarla en sí mismo. Las decisiones y la responsabilidad son de las personas que lo firman.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Documento completo, presentación y modelos: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github.com/migueldadd4u/ai-clauses ·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Licencia Creative Commons Attribution 4.0 · Versión 3.0, septiembre de 2026</w:t>
      </w:r>
    </w:p>
    <w:p>
      <w:r>
        <w:br w:type="page"/>
      </w:r>
    </w:p>
    <w:p>
      <w:pPr>
        <w:spacing w:after="300"/>
      </w:pPr>
      <w:r>
        <w:rPr>
          <w:rFonts w:ascii="Georgia" w:cs="Georgia" w:eastAsia="Georgia" w:hAnsi="Georgia"/>
          <w:b/>
          <w:bCs/>
          <w:color w:val="1F3864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4" w:space="4"/>
      </w:pBdr>
      <w:spacing w:after="200"/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Cláusulas de IA y Deep Tech · versión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63qwlxbudaka8qefnsqf" Type="http://schemas.openxmlformats.org/officeDocument/2006/relationships/hyperlink" Target="https://www.pozuelodealarcon.org/tu-ayuntamiento/organizacion-municipal/trayectoria-profesional-delfina-lafuente-veira" TargetMode="External"/><Relationship Id="rIdhlonkl51qxc_riudvazyg" Type="http://schemas.openxmlformats.org/officeDocument/2006/relationships/hyperlink" Target="https://www.ufv.es/una-nueva-definicion-para-las-ciudades-que-transformaran-el-mundo-noticias-actualidad/" TargetMode="External"/><Relationship Id="rIdwlonyjxnkwvt74mvcrmo5" Type="http://schemas.openxmlformats.org/officeDocument/2006/relationships/hyperlink" Target="https://miguelangeldominguez.inf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Cláusulas de IA y Deep Tech para la contratación pública</dc:title>
  <dc:creator>Miguel Ángel Domínguez Castellano</dc:creator>
  <dc:description>Clausulado tipo, versión 3.0</dc:description>
  <cp:lastModifiedBy>Un-named</cp:lastModifiedBy>
  <cp:revision>1</cp:revision>
  <dcterms:created xsi:type="dcterms:W3CDTF">2026-09-01T11:05:10.155Z</dcterms:created>
  <dcterms:modified xsi:type="dcterms:W3CDTF">2026-09-01T11:05:10.156Z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